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783590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27940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-194310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23" w:lineRule="exact"/>
        <w:rPr>
          <w:sz w:val="24"/>
          <w:szCs w:val="24"/>
          <w:color w:val="auto"/>
        </w:rPr>
      </w:pPr>
    </w:p>
    <w:p>
      <w:pPr>
        <w:ind w:left="4000" w:right="2320" w:hanging="3992"/>
        <w:spacing w:after="0" w:line="315" w:lineRule="auto"/>
        <w:tabs>
          <w:tab w:leader="none" w:pos="219"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2019</w:t>
      </w:r>
    </w:p>
    <w:p>
      <w:pPr>
        <w:jc w:val="center"/>
        <w:ind w:right="-19"/>
        <w:spacing w:after="0"/>
        <w:rPr>
          <w:sz w:val="20"/>
          <w:szCs w:val="20"/>
          <w:color w:val="auto"/>
        </w:rPr>
      </w:pPr>
      <w:r>
        <w:rPr>
          <w:rFonts w:ascii="Arial" w:cs="Arial" w:eastAsia="Arial" w:hAnsi="Arial"/>
          <w:sz w:val="17"/>
          <w:szCs w:val="17"/>
          <w:color w:val="auto"/>
        </w:rPr>
        <w:t>or</w:t>
      </w:r>
    </w:p>
    <w:p>
      <w:pPr>
        <w:spacing w:after="0" w:line="4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71755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Sabre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25400</wp:posOffset>
            </wp:positionV>
            <wp:extent cx="1355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Pr>
          <w:p>
            <w:pPr>
              <w:jc w:val="center"/>
              <w:ind w:left="1083"/>
              <w:spacing w:after="0"/>
              <w:rPr>
                <w:sz w:val="20"/>
                <w:szCs w:val="20"/>
                <w:color w:val="auto"/>
              </w:rPr>
            </w:pPr>
            <w:r>
              <w:rPr>
                <w:rFonts w:ascii="Arial" w:cs="Arial" w:eastAsia="Arial" w:hAnsi="Arial"/>
                <w:sz w:val="17"/>
                <w:szCs w:val="17"/>
                <w:b w:val="1"/>
                <w:bCs w:val="1"/>
                <w:color w:val="auto"/>
              </w:rPr>
              <w:t>Delaware</w:t>
            </w:r>
          </w:p>
        </w:tc>
        <w:tc>
          <w:tcPr>
            <w:tcW w:w="2960" w:type="dxa"/>
            <w:vAlign w:val="bottom"/>
            <w:gridSpan w:val="2"/>
          </w:tcPr>
          <w:p>
            <w:pPr>
              <w:jc w:val="right"/>
              <w:ind w:right="581"/>
              <w:spacing w:after="0"/>
              <w:rPr>
                <w:sz w:val="20"/>
                <w:szCs w:val="20"/>
                <w:color w:val="auto"/>
              </w:rPr>
            </w:pPr>
            <w:r>
              <w:rPr>
                <w:rFonts w:ascii="Arial" w:cs="Arial" w:eastAsia="Arial" w:hAnsi="Arial"/>
                <w:sz w:val="17"/>
                <w:szCs w:val="17"/>
                <w:b w:val="1"/>
                <w:bCs w:val="1"/>
                <w:color w:val="auto"/>
              </w:rPr>
              <w:t>001-36422</w:t>
            </w: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20-8647322</w:t>
            </w:r>
          </w:p>
        </w:tc>
        <w:tc>
          <w:tcPr>
            <w:tcW w:w="840" w:type="dxa"/>
            <w:vAlign w:val="bottom"/>
          </w:tcPr>
          <w:p>
            <w:pPr>
              <w:spacing w:after="0"/>
              <w:rPr>
                <w:sz w:val="19"/>
                <w:szCs w:val="19"/>
                <w:color w:val="auto"/>
              </w:rPr>
            </w:pPr>
          </w:p>
        </w:tc>
      </w:tr>
      <w:tr>
        <w:trPr>
          <w:trHeight w:val="153"/>
        </w:trPr>
        <w:tc>
          <w:tcPr>
            <w:tcW w:w="3840" w:type="dxa"/>
            <w:vAlign w:val="bottom"/>
          </w:tcPr>
          <w:p>
            <w:pPr>
              <w:jc w:val="center"/>
              <w:ind w:left="1083"/>
              <w:spacing w:after="0"/>
              <w:rPr>
                <w:sz w:val="20"/>
                <w:szCs w:val="20"/>
                <w:color w:val="auto"/>
              </w:rPr>
            </w:pPr>
            <w:r>
              <w:rPr>
                <w:rFonts w:ascii="Arial" w:cs="Arial" w:eastAsia="Arial" w:hAnsi="Arial"/>
                <w:sz w:val="13"/>
                <w:szCs w:val="13"/>
                <w:b w:val="1"/>
                <w:bCs w:val="1"/>
                <w:color w:val="auto"/>
                <w:w w:val="95"/>
              </w:rPr>
              <w:t>(State or other jurisdiction</w:t>
            </w:r>
          </w:p>
        </w:tc>
        <w:tc>
          <w:tcPr>
            <w:tcW w:w="820" w:type="dxa"/>
            <w:vAlign w:val="bottom"/>
          </w:tcPr>
          <w:p>
            <w:pPr>
              <w:spacing w:after="0"/>
              <w:rPr>
                <w:sz w:val="13"/>
                <w:szCs w:val="13"/>
                <w:color w:val="auto"/>
              </w:rPr>
            </w:pPr>
          </w:p>
        </w:tc>
        <w:tc>
          <w:tcPr>
            <w:tcW w:w="290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6"/>
              </w:rPr>
              <w:t>(Commission File Number)</w:t>
            </w:r>
          </w:p>
        </w:tc>
        <w:tc>
          <w:tcPr>
            <w:tcW w:w="1920" w:type="dxa"/>
            <w:vAlign w:val="bottom"/>
            <w:gridSpan w:val="2"/>
          </w:tcPr>
          <w:p>
            <w:pPr>
              <w:jc w:val="center"/>
              <w:ind w:left="769"/>
              <w:spacing w:after="0"/>
              <w:rPr>
                <w:sz w:val="20"/>
                <w:szCs w:val="20"/>
                <w:color w:val="auto"/>
              </w:rPr>
            </w:pPr>
            <w:r>
              <w:rPr>
                <w:rFonts w:ascii="Arial" w:cs="Arial" w:eastAsia="Arial" w:hAnsi="Arial"/>
                <w:sz w:val="13"/>
                <w:szCs w:val="13"/>
                <w:b w:val="1"/>
                <w:bCs w:val="1"/>
                <w:color w:val="auto"/>
                <w:w w:val="96"/>
              </w:rPr>
              <w:t>(I.R.S. Employer</w:t>
            </w:r>
          </w:p>
        </w:tc>
        <w:tc>
          <w:tcPr>
            <w:tcW w:w="840" w:type="dxa"/>
            <w:vAlign w:val="bottom"/>
          </w:tcPr>
          <w:p>
            <w:pPr>
              <w:spacing w:after="0"/>
              <w:rPr>
                <w:sz w:val="13"/>
                <w:szCs w:val="13"/>
                <w:color w:val="auto"/>
              </w:rPr>
            </w:pPr>
          </w:p>
        </w:tc>
      </w:tr>
      <w:tr>
        <w:trPr>
          <w:trHeight w:val="149"/>
        </w:trPr>
        <w:tc>
          <w:tcPr>
            <w:tcW w:w="3840" w:type="dxa"/>
            <w:vAlign w:val="bottom"/>
          </w:tcPr>
          <w:p>
            <w:pPr>
              <w:jc w:val="center"/>
              <w:ind w:left="1083"/>
              <w:spacing w:after="0"/>
              <w:rPr>
                <w:sz w:val="20"/>
                <w:szCs w:val="20"/>
                <w:color w:val="auto"/>
              </w:rPr>
            </w:pPr>
            <w:r>
              <w:rPr>
                <w:rFonts w:ascii="Arial" w:cs="Arial" w:eastAsia="Arial" w:hAnsi="Arial"/>
                <w:sz w:val="13"/>
                <w:szCs w:val="13"/>
                <w:b w:val="1"/>
                <w:bCs w:val="1"/>
                <w:color w:val="auto"/>
                <w:w w:val="97"/>
              </w:rPr>
              <w:t>of incorporation or organization)</w:t>
            </w:r>
          </w:p>
        </w:tc>
        <w:tc>
          <w:tcPr>
            <w:tcW w:w="8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jc w:val="center"/>
              <w:ind w:left="789"/>
              <w:spacing w:after="0"/>
              <w:rPr>
                <w:sz w:val="20"/>
                <w:szCs w:val="20"/>
                <w:color w:val="auto"/>
              </w:rPr>
            </w:pPr>
            <w:r>
              <w:rPr>
                <w:rFonts w:ascii="Arial" w:cs="Arial" w:eastAsia="Arial" w:hAnsi="Arial"/>
                <w:sz w:val="13"/>
                <w:szCs w:val="13"/>
                <w:b w:val="1"/>
                <w:bCs w:val="1"/>
                <w:color w:val="auto"/>
                <w:w w:val="96"/>
              </w:rPr>
              <w:t>Identification No.)</w:t>
            </w:r>
          </w:p>
        </w:tc>
        <w:tc>
          <w:tcPr>
            <w:tcW w:w="840" w:type="dxa"/>
            <w:vAlign w:val="bottom"/>
          </w:tcPr>
          <w:p>
            <w:pPr>
              <w:spacing w:after="0"/>
              <w:rPr>
                <w:sz w:val="12"/>
                <w:szCs w:val="12"/>
                <w:color w:val="auto"/>
              </w:rPr>
            </w:pPr>
          </w:p>
        </w:tc>
      </w:tr>
      <w:tr>
        <w:trPr>
          <w:trHeight w:val="175"/>
        </w:trPr>
        <w:tc>
          <w:tcPr>
            <w:tcW w:w="3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900" w:type="dxa"/>
            <w:vAlign w:val="bottom"/>
            <w:gridSpan w:val="2"/>
          </w:tcPr>
          <w:p>
            <w:pPr>
              <w:jc w:val="center"/>
              <w:ind w:right="760"/>
              <w:spacing w:after="0" w:line="175" w:lineRule="exact"/>
              <w:rPr>
                <w:sz w:val="20"/>
                <w:szCs w:val="20"/>
                <w:color w:val="auto"/>
              </w:rPr>
            </w:pPr>
            <w:r>
              <w:rPr>
                <w:rFonts w:ascii="Arial" w:cs="Arial" w:eastAsia="Arial" w:hAnsi="Arial"/>
                <w:sz w:val="17"/>
                <w:szCs w:val="17"/>
                <w:b w:val="1"/>
                <w:bCs w:val="1"/>
                <w:color w:val="auto"/>
              </w:rPr>
              <w:t>3150 Sabre Drive</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9"/>
        </w:trPr>
        <w:tc>
          <w:tcPr>
            <w:tcW w:w="3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00" w:type="dxa"/>
            <w:vAlign w:val="bottom"/>
            <w:gridSpan w:val="2"/>
          </w:tcPr>
          <w:p>
            <w:pPr>
              <w:jc w:val="center"/>
              <w:ind w:right="780"/>
              <w:spacing w:after="0"/>
              <w:rPr>
                <w:sz w:val="20"/>
                <w:szCs w:val="20"/>
                <w:color w:val="auto"/>
              </w:rPr>
            </w:pPr>
            <w:r>
              <w:rPr>
                <w:rFonts w:ascii="Arial" w:cs="Arial" w:eastAsia="Arial" w:hAnsi="Arial"/>
                <w:sz w:val="17"/>
                <w:szCs w:val="17"/>
                <w:b w:val="1"/>
                <w:bCs w:val="1"/>
                <w:color w:val="auto"/>
              </w:rPr>
              <w:t xml:space="preserve">Southlake, TX </w:t>
            </w:r>
            <w:r>
              <w:rPr>
                <w:rFonts w:ascii="Arial" w:cs="Arial" w:eastAsia="Arial" w:hAnsi="Arial"/>
                <w:sz w:val="18"/>
                <w:szCs w:val="18"/>
                <w:b w:val="1"/>
                <w:bCs w:val="1"/>
                <w:color w:val="auto"/>
              </w:rPr>
              <w:t>76092</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94"/>
        </w:trPr>
        <w:tc>
          <w:tcPr>
            <w:tcW w:w="8480" w:type="dxa"/>
            <w:vAlign w:val="bottom"/>
            <w:gridSpan w:val="5"/>
          </w:tcPr>
          <w:p>
            <w:pPr>
              <w:jc w:val="center"/>
              <w:ind w:left="2903"/>
              <w:spacing w:after="0"/>
              <w:rPr>
                <w:sz w:val="20"/>
                <w:szCs w:val="20"/>
                <w:color w:val="auto"/>
              </w:rPr>
            </w:pPr>
            <w:r>
              <w:rPr>
                <w:rFonts w:ascii="Arial" w:cs="Arial" w:eastAsia="Arial" w:hAnsi="Arial"/>
                <w:sz w:val="14"/>
                <w:szCs w:val="14"/>
                <w:b w:val="1"/>
                <w:bCs w:val="1"/>
                <w:i w:val="1"/>
                <w:iCs w:val="1"/>
                <w:color w:val="auto"/>
              </w:rPr>
              <w:t>(Address, including zip code, of principal executive offices)</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5"/>
        </w:trPr>
        <w:tc>
          <w:tcPr>
            <w:tcW w:w="3840" w:type="dxa"/>
            <w:vAlign w:val="bottom"/>
          </w:tcPr>
          <w:p>
            <w:pPr>
              <w:spacing w:after="0"/>
              <w:rPr>
                <w:sz w:val="19"/>
                <w:szCs w:val="19"/>
                <w:color w:val="auto"/>
              </w:rPr>
            </w:pPr>
          </w:p>
        </w:tc>
        <w:tc>
          <w:tcPr>
            <w:tcW w:w="2960" w:type="dxa"/>
            <w:vAlign w:val="bottom"/>
            <w:gridSpan w:val="2"/>
          </w:tcPr>
          <w:p>
            <w:pPr>
              <w:jc w:val="right"/>
              <w:ind w:right="401"/>
              <w:spacing w:after="0"/>
              <w:rPr>
                <w:sz w:val="20"/>
                <w:szCs w:val="20"/>
                <w:color w:val="auto"/>
              </w:rPr>
            </w:pPr>
            <w:r>
              <w:rPr>
                <w:rFonts w:ascii="Arial" w:cs="Arial" w:eastAsia="Arial" w:hAnsi="Arial"/>
                <w:sz w:val="17"/>
                <w:szCs w:val="17"/>
                <w:b w:val="1"/>
                <w:bCs w:val="1"/>
                <w:color w:val="auto"/>
              </w:rPr>
              <w:t>(682) 605-1000</w:t>
            </w: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4"/>
        </w:trPr>
        <w:tc>
          <w:tcPr>
            <w:tcW w:w="3840" w:type="dxa"/>
            <w:vAlign w:val="bottom"/>
          </w:tcPr>
          <w:p>
            <w:pPr>
              <w:spacing w:after="0"/>
              <w:rPr>
                <w:sz w:val="18"/>
                <w:szCs w:val="18"/>
                <w:color w:val="auto"/>
              </w:rPr>
            </w:pPr>
          </w:p>
        </w:tc>
        <w:tc>
          <w:tcPr>
            <w:tcW w:w="372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4660" w:type="dxa"/>
            <w:vAlign w:val="bottom"/>
            <w:gridSpan w:val="2"/>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6"/>
        </w:trPr>
        <w:tc>
          <w:tcPr>
            <w:tcW w:w="8480" w:type="dxa"/>
            <w:vAlign w:val="bottom"/>
            <w:gridSpan w:val="5"/>
          </w:tcPr>
          <w:p>
            <w:pPr>
              <w:jc w:val="center"/>
              <w:ind w:left="2903"/>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3"/>
        </w:trPr>
        <w:tc>
          <w:tcPr>
            <w:tcW w:w="3840" w:type="dxa"/>
            <w:vAlign w:val="bottom"/>
          </w:tcPr>
          <w:p>
            <w:pPr>
              <w:jc w:val="center"/>
              <w:ind w:left="1083"/>
              <w:spacing w:after="0"/>
              <w:rPr>
                <w:sz w:val="20"/>
                <w:szCs w:val="20"/>
                <w:color w:val="auto"/>
              </w:rPr>
            </w:pPr>
            <w:r>
              <w:rPr>
                <w:rFonts w:ascii="Arial" w:cs="Arial" w:eastAsia="Arial" w:hAnsi="Arial"/>
                <w:sz w:val="17"/>
                <w:szCs w:val="17"/>
                <w:b w:val="1"/>
                <w:bCs w:val="1"/>
                <w:color w:val="auto"/>
                <w:w w:val="99"/>
              </w:rPr>
              <w:t>Common Stock, $0.01 par value</w:t>
            </w:r>
          </w:p>
        </w:tc>
        <w:tc>
          <w:tcPr>
            <w:tcW w:w="820" w:type="dxa"/>
            <w:vAlign w:val="bottom"/>
          </w:tcPr>
          <w:p>
            <w:pPr>
              <w:spacing w:after="0"/>
              <w:rPr>
                <w:sz w:val="21"/>
                <w:szCs w:val="21"/>
                <w:color w:val="auto"/>
              </w:rPr>
            </w:pPr>
          </w:p>
        </w:tc>
        <w:tc>
          <w:tcPr>
            <w:tcW w:w="2900" w:type="dxa"/>
            <w:vAlign w:val="bottom"/>
            <w:gridSpan w:val="2"/>
          </w:tcPr>
          <w:p>
            <w:pPr>
              <w:jc w:val="center"/>
              <w:ind w:right="780"/>
              <w:spacing w:after="0"/>
              <w:rPr>
                <w:sz w:val="20"/>
                <w:szCs w:val="20"/>
                <w:color w:val="auto"/>
              </w:rPr>
            </w:pPr>
            <w:r>
              <w:rPr>
                <w:rFonts w:ascii="Arial" w:cs="Arial" w:eastAsia="Arial" w:hAnsi="Arial"/>
                <w:sz w:val="17"/>
                <w:szCs w:val="17"/>
                <w:b w:val="1"/>
                <w:bCs w:val="1"/>
                <w:color w:val="auto"/>
                <w:w w:val="99"/>
              </w:rPr>
              <w:t>SABR</w:t>
            </w:r>
          </w:p>
        </w:tc>
        <w:tc>
          <w:tcPr>
            <w:tcW w:w="2760" w:type="dxa"/>
            <w:vAlign w:val="bottom"/>
            <w:gridSpan w:val="3"/>
          </w:tcPr>
          <w:p>
            <w:pPr>
              <w:jc w:val="center"/>
              <w:spacing w:after="0"/>
              <w:rPr>
                <w:sz w:val="20"/>
                <w:szCs w:val="20"/>
                <w:color w:val="auto"/>
              </w:rPr>
            </w:pPr>
            <w:r>
              <w:rPr>
                <w:rFonts w:ascii="Arial" w:cs="Arial" w:eastAsia="Arial" w:hAnsi="Arial"/>
                <w:sz w:val="17"/>
                <w:szCs w:val="17"/>
                <w:b w:val="1"/>
                <w:bCs w:val="1"/>
                <w:color w:val="auto"/>
              </w:rPr>
              <w:t>The NASDAQ Stock Market LLC</w:t>
            </w:r>
          </w:p>
        </w:tc>
      </w:tr>
      <w:tr>
        <w:trPr>
          <w:trHeight w:val="222"/>
        </w:trPr>
        <w:tc>
          <w:tcPr>
            <w:tcW w:w="3840" w:type="dxa"/>
            <w:vAlign w:val="bottom"/>
          </w:tcPr>
          <w:p>
            <w:pPr>
              <w:jc w:val="center"/>
              <w:ind w:left="1083"/>
              <w:spacing w:after="0"/>
              <w:rPr>
                <w:sz w:val="20"/>
                <w:szCs w:val="20"/>
                <w:color w:val="auto"/>
              </w:rPr>
            </w:pPr>
            <w:r>
              <w:rPr>
                <w:rFonts w:ascii="Arial" w:cs="Arial" w:eastAsia="Arial" w:hAnsi="Arial"/>
                <w:sz w:val="14"/>
                <w:szCs w:val="14"/>
                <w:b w:val="1"/>
                <w:bCs w:val="1"/>
                <w:color w:val="auto"/>
              </w:rPr>
              <w:t>(Title of class)</w:t>
            </w:r>
          </w:p>
        </w:tc>
        <w:tc>
          <w:tcPr>
            <w:tcW w:w="820" w:type="dxa"/>
            <w:vAlign w:val="bottom"/>
          </w:tcPr>
          <w:p>
            <w:pPr>
              <w:spacing w:after="0"/>
              <w:rPr>
                <w:sz w:val="19"/>
                <w:szCs w:val="19"/>
                <w:color w:val="auto"/>
              </w:rPr>
            </w:pPr>
          </w:p>
        </w:tc>
        <w:tc>
          <w:tcPr>
            <w:tcW w:w="2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(Trading symbol)</w:t>
            </w:r>
          </w:p>
        </w:tc>
        <w:tc>
          <w:tcPr>
            <w:tcW w:w="2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(Name of exchange on which registered)</w:t>
            </w:r>
          </w:p>
        </w:tc>
      </w:tr>
      <w:tr>
        <w:trPr>
          <w:trHeight w:val="238"/>
        </w:trPr>
        <w:tc>
          <w:tcPr>
            <w:tcW w:w="8480" w:type="dxa"/>
            <w:vAlign w:val="bottom"/>
            <w:gridSpan w:val="5"/>
          </w:tcPr>
          <w:p>
            <w:pPr>
              <w:jc w:val="center"/>
              <w:ind w:left="2903"/>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4"/>
        </w:trPr>
        <w:tc>
          <w:tcPr>
            <w:tcW w:w="3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None</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63"/>
        </w:trPr>
        <w:tc>
          <w:tcPr>
            <w:tcW w:w="848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100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8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848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1000" w:type="dxa"/>
            <w:vAlign w:val="bottom"/>
          </w:tcPr>
          <w:p>
            <w:pPr>
              <w:ind w:left="1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8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5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92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1"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184" w:lineRule="exact"/>
        <w:tabs>
          <w:tab w:leader="none" w:pos="826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aggregate market value of the registrant’s common stock held by non-affiliates, as of June 28, 2019, was $6,064,679,095. As of February 21, 2020, there were 273,750,471 shares of the registrant’s common stock outstanding.</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4"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Portions of the registrant’s definitive proxy statement relating to its 2020 annual meeting of stockholders to be held on April 29, 2020,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5" w:right="2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PART I</w:t>
        </w:r>
      </w:hyperlink>
    </w:p>
    <w:p>
      <w:pPr>
        <w:spacing w:after="0" w:line="10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1A.</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1B.</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3.</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4.</w:t>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6"/>
          <w:szCs w:val="16"/>
          <w:b w:val="1"/>
          <w:bCs w:val="1"/>
          <w:u w:val="single" w:color="auto"/>
          <w:color w:val="0000FF"/>
        </w:rPr>
      </w:pPr>
      <w:hyperlink w:anchor="page26">
        <w:r>
          <w:rPr>
            <w:rFonts w:ascii="Arial" w:cs="Arial" w:eastAsia="Arial" w:hAnsi="Arial"/>
            <w:sz w:val="16"/>
            <w:szCs w:val="16"/>
            <w:b w:val="1"/>
            <w:bCs w:val="1"/>
            <w:u w:val="single" w:color="auto"/>
            <w:color w:val="0000FF"/>
          </w:rPr>
          <w:t>PART II</w:t>
        </w:r>
      </w:hyperlink>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5.</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6.</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7.</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7A.</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9A.</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9B.</w:t>
      </w:r>
    </w:p>
    <w:p>
      <w:pPr>
        <w:spacing w:after="0" w:line="269" w:lineRule="exact"/>
        <w:rPr>
          <w:sz w:val="20"/>
          <w:szCs w:val="20"/>
          <w:color w:val="auto"/>
        </w:rPr>
      </w:pPr>
    </w:p>
    <w:p>
      <w:pPr>
        <w:spacing w:after="0"/>
        <w:rPr>
          <w:rFonts w:ascii="Arial" w:cs="Arial" w:eastAsia="Arial" w:hAnsi="Arial"/>
          <w:sz w:val="16"/>
          <w:szCs w:val="16"/>
          <w:b w:val="1"/>
          <w:bCs w:val="1"/>
          <w:u w:val="single" w:color="auto"/>
          <w:color w:val="0000FF"/>
        </w:rPr>
      </w:pPr>
      <w:hyperlink w:anchor="page100">
        <w:r>
          <w:rPr>
            <w:rFonts w:ascii="Arial" w:cs="Arial" w:eastAsia="Arial" w:hAnsi="Arial"/>
            <w:sz w:val="16"/>
            <w:szCs w:val="16"/>
            <w:b w:val="1"/>
            <w:bCs w:val="1"/>
            <w:u w:val="single" w:color="auto"/>
            <w:color w:val="0000FF"/>
          </w:rPr>
          <w:t>PART III</w:t>
        </w:r>
      </w:hyperlink>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13.</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14.</w:t>
      </w:r>
    </w:p>
    <w:p>
      <w:pPr>
        <w:spacing w:after="0" w:line="269" w:lineRule="exact"/>
        <w:rPr>
          <w:sz w:val="20"/>
          <w:szCs w:val="20"/>
          <w:color w:val="auto"/>
        </w:rPr>
      </w:pPr>
    </w:p>
    <w:p>
      <w:pPr>
        <w:spacing w:after="0"/>
        <w:rPr>
          <w:rFonts w:ascii="Arial" w:cs="Arial" w:eastAsia="Arial" w:hAnsi="Arial"/>
          <w:sz w:val="16"/>
          <w:szCs w:val="16"/>
          <w:b w:val="1"/>
          <w:bCs w:val="1"/>
          <w:u w:val="single" w:color="auto"/>
          <w:color w:val="0000FF"/>
        </w:rPr>
      </w:pPr>
      <w:hyperlink w:anchor="page102">
        <w:r>
          <w:rPr>
            <w:rFonts w:ascii="Arial" w:cs="Arial" w:eastAsia="Arial" w:hAnsi="Arial"/>
            <w:sz w:val="16"/>
            <w:szCs w:val="16"/>
            <w:b w:val="1"/>
            <w:bCs w:val="1"/>
            <w:u w:val="single" w:color="auto"/>
            <w:color w:val="0000FF"/>
          </w:rPr>
          <w:t>PART IV</w:t>
        </w:r>
      </w:hyperlink>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15.</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 16.</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Business</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Risk Factors</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Unresolved Staff Comments</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Properties</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Legal Proceedings</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Mine Safety Disclosures</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Information About Our Executive Officers</w:t>
        </w:r>
      </w:hyperlink>
    </w:p>
    <w:p>
      <w:pPr>
        <w:spacing w:after="0" w:line="200" w:lineRule="exact"/>
        <w:rPr>
          <w:sz w:val="20"/>
          <w:szCs w:val="20"/>
          <w:color w:val="auto"/>
        </w:rPr>
      </w:pPr>
    </w:p>
    <w:p>
      <w:pPr>
        <w:spacing w:after="0" w:line="332" w:lineRule="exact"/>
        <w:rPr>
          <w:sz w:val="20"/>
          <w:szCs w:val="20"/>
          <w:color w:val="auto"/>
        </w:rPr>
      </w:pPr>
    </w:p>
    <w:p>
      <w:pPr>
        <w:ind w:right="800"/>
        <w:spacing w:after="0" w:line="308" w:lineRule="auto"/>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Market for Registrant’s Common Equity, Related Stockholder Matters and Issuer Purchases of Equity Securities</w:t>
        </w:r>
      </w:hyperlink>
      <w:r>
        <w:rPr>
          <w:rFonts w:ascii="Arial" w:cs="Arial" w:eastAsia="Arial" w:hAnsi="Arial"/>
          <w:sz w:val="16"/>
          <w:szCs w:val="16"/>
          <w:u w:val="single" w:color="auto"/>
          <w:color w:val="0000FF"/>
        </w:rPr>
        <w:t xml:space="preserve"> </w:t>
      </w:r>
      <w:hyperlink w:anchor="page27">
        <w:r>
          <w:rPr>
            <w:rFonts w:ascii="Arial" w:cs="Arial" w:eastAsia="Arial" w:hAnsi="Arial"/>
            <w:sz w:val="16"/>
            <w:szCs w:val="16"/>
            <w:u w:val="single" w:color="auto"/>
            <w:color w:val="0000FF"/>
          </w:rPr>
          <w:t>Selected Financial Data</w:t>
        </w:r>
      </w:hyperlink>
    </w:p>
    <w:p>
      <w:pPr>
        <w:ind w:right="2400"/>
        <w:spacing w:after="0" w:line="317" w:lineRule="auto"/>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Management’s Discussion and Analysis of Financial Condition and Results of Operations</w:t>
        </w:r>
      </w:hyperlink>
      <w:r>
        <w:rPr>
          <w:rFonts w:ascii="Arial" w:cs="Arial" w:eastAsia="Arial" w:hAnsi="Arial"/>
          <w:sz w:val="16"/>
          <w:szCs w:val="16"/>
          <w:u w:val="single" w:color="auto"/>
          <w:color w:val="0000FF"/>
        </w:rPr>
        <w:t xml:space="preserve"> </w:t>
      </w:r>
      <w:hyperlink w:anchor="page50">
        <w:r>
          <w:rPr>
            <w:rFonts w:ascii="Arial" w:cs="Arial" w:eastAsia="Arial" w:hAnsi="Arial"/>
            <w:sz w:val="16"/>
            <w:szCs w:val="16"/>
            <w:u w:val="single" w:color="auto"/>
            <w:color w:val="0000FF"/>
          </w:rPr>
          <w:t>Quantitative and Qualitative Disclosures About Market Risk</w:t>
        </w:r>
      </w:hyperlink>
      <w:r>
        <w:rPr>
          <w:rFonts w:ascii="Arial" w:cs="Arial" w:eastAsia="Arial" w:hAnsi="Arial"/>
          <w:sz w:val="16"/>
          <w:szCs w:val="16"/>
          <w:u w:val="single" w:color="auto"/>
          <w:color w:val="0000FF"/>
        </w:rPr>
        <w:t xml:space="preserve"> </w:t>
      </w:r>
      <w:hyperlink w:anchor="page52">
        <w:r>
          <w:rPr>
            <w:rFonts w:ascii="Arial" w:cs="Arial" w:eastAsia="Arial" w:hAnsi="Arial"/>
            <w:sz w:val="16"/>
            <w:szCs w:val="16"/>
            <w:u w:val="single" w:color="auto"/>
            <w:color w:val="0000FF"/>
          </w:rPr>
          <w:t>Financial Statements and Supplementary Data</w:t>
        </w:r>
      </w:hyperlink>
    </w:p>
    <w:p>
      <w:pPr>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Changes in and Disagreements With Accountants on Accounting and Financial Disclosure</w:t>
        </w:r>
      </w:hyperlink>
    </w:p>
    <w:p>
      <w:pPr>
        <w:spacing w:after="0" w:line="59"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Controls and Procedures</w:t>
        </w:r>
      </w:hyperlink>
    </w:p>
    <w:p>
      <w:pPr>
        <w:spacing w:after="0" w:line="59"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Other Information</w:t>
        </w:r>
      </w:hyperlink>
    </w:p>
    <w:p>
      <w:pPr>
        <w:spacing w:after="0" w:line="200" w:lineRule="exact"/>
        <w:rPr>
          <w:rFonts w:ascii="Arial" w:cs="Arial" w:eastAsia="Arial" w:hAnsi="Arial"/>
          <w:sz w:val="16"/>
          <w:szCs w:val="16"/>
          <w:u w:val="single" w:color="auto"/>
          <w:color w:val="0000FF"/>
        </w:rPr>
      </w:pPr>
    </w:p>
    <w:p>
      <w:pPr>
        <w:spacing w:after="0" w:line="34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Directors, Executive Officers and Corporate Governance</w:t>
        </w:r>
      </w:hyperlink>
    </w:p>
    <w:p>
      <w:pPr>
        <w:spacing w:after="0" w:line="59"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Executive Compensation</w:t>
        </w:r>
      </w:hyperlink>
    </w:p>
    <w:p>
      <w:pPr>
        <w:spacing w:after="0" w:line="59" w:lineRule="exact"/>
        <w:rPr>
          <w:rFonts w:ascii="Arial" w:cs="Arial" w:eastAsia="Arial" w:hAnsi="Arial"/>
          <w:sz w:val="16"/>
          <w:szCs w:val="16"/>
          <w:u w:val="single" w:color="auto"/>
          <w:color w:val="0000FF"/>
        </w:rPr>
      </w:pPr>
    </w:p>
    <w:p>
      <w:pPr>
        <w:ind w:right="1560"/>
        <w:spacing w:after="0" w:line="324" w:lineRule="auto"/>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Security Ownership of Certain Beneficial Owners and Management and Related Stockholder Matters</w:t>
        </w:r>
      </w:hyperlink>
      <w:r>
        <w:rPr>
          <w:rFonts w:ascii="Arial" w:cs="Arial" w:eastAsia="Arial" w:hAnsi="Arial"/>
          <w:sz w:val="16"/>
          <w:szCs w:val="16"/>
          <w:u w:val="single" w:color="auto"/>
          <w:color w:val="0000FF"/>
        </w:rPr>
        <w:t xml:space="preserve"> </w:t>
      </w:r>
      <w:hyperlink w:anchor="page102">
        <w:r>
          <w:rPr>
            <w:rFonts w:ascii="Arial" w:cs="Arial" w:eastAsia="Arial" w:hAnsi="Arial"/>
            <w:sz w:val="16"/>
            <w:szCs w:val="16"/>
            <w:u w:val="single" w:color="auto"/>
            <w:color w:val="0000FF"/>
          </w:rPr>
          <w:t>Certain Relationships and Related Transactions, and Director Independence</w:t>
        </w:r>
      </w:hyperlink>
      <w:r>
        <w:rPr>
          <w:rFonts w:ascii="Arial" w:cs="Arial" w:eastAsia="Arial" w:hAnsi="Arial"/>
          <w:sz w:val="16"/>
          <w:szCs w:val="16"/>
          <w:u w:val="single" w:color="auto"/>
          <w:color w:val="0000FF"/>
        </w:rPr>
        <w:t xml:space="preserve"> </w:t>
      </w:r>
      <w:hyperlink w:anchor="page102">
        <w:r>
          <w:rPr>
            <w:rFonts w:ascii="Arial" w:cs="Arial" w:eastAsia="Arial" w:hAnsi="Arial"/>
            <w:sz w:val="16"/>
            <w:szCs w:val="16"/>
            <w:u w:val="single" w:color="auto"/>
            <w:color w:val="0000FF"/>
          </w:rPr>
          <w:t>Principal Accountant Fees and Services</w:t>
        </w:r>
      </w:hyperlink>
    </w:p>
    <w:p>
      <w:pPr>
        <w:spacing w:after="0" w:line="200" w:lineRule="exact"/>
        <w:rPr>
          <w:rFonts w:ascii="Arial" w:cs="Arial" w:eastAsia="Arial" w:hAnsi="Arial"/>
          <w:sz w:val="16"/>
          <w:szCs w:val="16"/>
          <w:u w:val="single" w:color="auto"/>
          <w:color w:val="0000FF"/>
        </w:rPr>
      </w:pPr>
    </w:p>
    <w:p>
      <w:pPr>
        <w:spacing w:after="0" w:line="270"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03">
        <w:r>
          <w:rPr>
            <w:rFonts w:ascii="Arial" w:cs="Arial" w:eastAsia="Arial" w:hAnsi="Arial"/>
            <w:sz w:val="16"/>
            <w:szCs w:val="16"/>
            <w:u w:val="single" w:color="auto"/>
            <w:color w:val="0000FF"/>
          </w:rPr>
          <w:t>Exhibits and Financial Statement Schedules</w:t>
        </w:r>
      </w:hyperlink>
    </w:p>
    <w:p>
      <w:pPr>
        <w:spacing w:after="0" w:line="59"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Form 10-K Summary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-883285</wp:posOffset>
            </wp:positionH>
            <wp:positionV relativeFrom="paragraph">
              <wp:posOffset>314960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9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-128270</wp:posOffset>
            </wp:positionH>
            <wp:positionV relativeFrom="paragraph">
              <wp:posOffset>22225</wp:posOffset>
            </wp:positionV>
            <wp:extent cx="454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314"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4</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23</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24</w:t>
        </w:r>
      </w:hyperlink>
    </w:p>
    <w:p>
      <w:pPr>
        <w:spacing w:after="0" w:line="200" w:lineRule="exact"/>
        <w:rPr>
          <w:rFonts w:ascii="Arial" w:cs="Arial" w:eastAsia="Arial" w:hAnsi="Arial"/>
          <w:sz w:val="16"/>
          <w:szCs w:val="16"/>
          <w:u w:val="single" w:color="auto"/>
          <w:color w:val="0000FF"/>
        </w:rPr>
      </w:pPr>
    </w:p>
    <w:p>
      <w:pPr>
        <w:spacing w:after="0" w:line="318"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25</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26</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33</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48</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51</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98</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98</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98</w:t>
        </w:r>
      </w:hyperlink>
    </w:p>
    <w:p>
      <w:pPr>
        <w:spacing w:after="0" w:line="200" w:lineRule="exact"/>
        <w:rPr>
          <w:rFonts w:ascii="Arial" w:cs="Arial" w:eastAsia="Arial" w:hAnsi="Arial"/>
          <w:sz w:val="16"/>
          <w:szCs w:val="16"/>
          <w:u w:val="single" w:color="auto"/>
          <w:color w:val="0000FF"/>
        </w:rPr>
      </w:pPr>
    </w:p>
    <w:p>
      <w:pPr>
        <w:spacing w:after="0" w:line="345"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99</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99</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99</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100</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100</w:t>
        </w:r>
      </w:hyperlink>
    </w:p>
    <w:p>
      <w:pPr>
        <w:spacing w:after="0" w:line="200" w:lineRule="exact"/>
        <w:rPr>
          <w:rFonts w:ascii="Arial" w:cs="Arial" w:eastAsia="Arial" w:hAnsi="Arial"/>
          <w:sz w:val="16"/>
          <w:szCs w:val="16"/>
          <w:u w:val="single" w:color="auto"/>
          <w:color w:val="0000FF"/>
        </w:rPr>
      </w:pPr>
    </w:p>
    <w:p>
      <w:pPr>
        <w:spacing w:after="0" w:line="345"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3">
        <w:r>
          <w:rPr>
            <w:rFonts w:ascii="Arial" w:cs="Arial" w:eastAsia="Arial" w:hAnsi="Arial"/>
            <w:sz w:val="16"/>
            <w:szCs w:val="16"/>
            <w:u w:val="single" w:color="auto"/>
            <w:color w:val="0000FF"/>
          </w:rPr>
          <w:t>101</w:t>
        </w:r>
      </w:hyperlink>
    </w:p>
    <w:p>
      <w:pPr>
        <w:spacing w:after="0" w:line="59" w:lineRule="exact"/>
        <w:rPr>
          <w:rFonts w:ascii="Arial" w:cs="Arial" w:eastAsia="Arial" w:hAnsi="Arial"/>
          <w:sz w:val="16"/>
          <w:szCs w:val="16"/>
          <w:u w:val="single" w:color="auto"/>
          <w:color w:val="0000FF"/>
        </w:rPr>
      </w:pPr>
    </w:p>
    <w:p>
      <w:pPr>
        <w:jc w:val="right"/>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107</w:t>
        </w:r>
      </w:hyperlink>
    </w:p>
    <w:p>
      <w:pPr>
        <w:sectPr>
          <w:pgSz w:w="11900" w:h="16838" w:orient="portrait"/>
          <w:cols w:equalWidth="0" w:num="3">
            <w:col w:w="720" w:space="640"/>
            <w:col w:w="8780" w:space="720"/>
            <w:col w:w="500"/>
          </w:cols>
          <w:pgMar w:left="260" w:top="88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strategies. In many cases, you can identify forward-looking statements by terms such as “expects,” "believes," "will," "intends," "outlook," "provisional," “may,” “predicts,” “potential,” “anticipates,” “estimates,” "should,” “plans”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191"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which is the sole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At Sabre, we make travel happen. We are a software and technology company that powers the global travel industry. We partner with airlines, hoteliers, agencies and other travel partners to retail, distribute and fulfill travel.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We are committed to helping customers operate more efficiently, drive revenue and offer personalized traveler experiences with next-generation technology solutions.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 xml:space="preserve">We operate our business and present our results through three business segments: (i) Travel Network, our global travel marketplace for travel suppliers and travel buyers, (ii) Airline Solutions, a broad portfolio of software technology products and solutions primarily for airlines, and (iii) Hospitality Solutions, an extensive suite of leading software solutions for hoteliers. Financial information about our business segments and geographic areas is provided in Note 17. Segment Information, to our consolidated financial statements in Part II,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in this Annual Report on Form 10-K.</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July 2018, we announced the creation of the Travel Solutions organization, which consists of Travel Network and Airline Solutions. This structure reinforces our focus on the next generation of retailing, distribution and fulfillment. Sabre’s reportable segments continue to be Travel Network, Airline Solutions and Hospitality Solutions.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Network</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Travel Network is our global business-to-business travel marketplace and consists primarily of our global distribution system (“GDS”) and a broad set of solutions that integrate with our GDS to add value for travel suppliers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p>
      <w:pPr>
        <w:ind w:left="500"/>
        <w:spacing w:after="0"/>
        <w:rPr>
          <w:sz w:val="20"/>
          <w:szCs w:val="20"/>
          <w:color w:val="auto"/>
        </w:rPr>
      </w:pPr>
      <w:r>
        <w:rPr>
          <w:rFonts w:ascii="Arial" w:cs="Arial" w:eastAsia="Arial" w:hAnsi="Arial"/>
          <w:sz w:val="16"/>
          <w:szCs w:val="16"/>
          <w:b w:val="1"/>
          <w:bCs w:val="1"/>
          <w:i w:val="1"/>
          <w:iCs w:val="1"/>
          <w:color w:val="auto"/>
        </w:rPr>
        <w:t>Airline Solutions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Airline Solutions business offers a broad portfolio of software technology products and solutions, through software-as-a-service (“SaaS”) and hosted delivery model, to airlines and other travel suppliers and provides industry-leading and comprehensive software solutions that help our airline customers better market, sell, serve and operate. We offer airline software solutions in four functional platforms: the Sabre Commercial Platform; the Sabre AirCentre Operations Platform; the Intelligence Exchange Data &amp; Analytics Platform; and the Radixx Platform. The Sabre Commercial Platform brings together intelligent decision support solutions from our AirVision commercial planning suite with the SabreSonic passenger service system, enabling end-to-end retailing, distribution and fulfillment. The Sabre AirCentre Operations Platform is a set of strategic solutions that drive operational effectiveness through holistic planning and management of airline, airport and customer operations. The Intelligence Exchange Data &amp; Analytics Platform is a Platform-as-a-Service ("PaaS") solution that helps our customers to make recommended decisions across commercial and operations. The Radixx Platform is focused on the low-cost carrier ("LCC") market, offering retailing solutions for sales and customer service. Additionally, Airlines Solutions offers services to our customers to enable them to better use our products and help optimize their commercial and operations platforms.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Hospitality Solutions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Hospitality Solutions business provides software and solutions, through SaaS and hosted delivery models, to hoteliers around the world. Our SaaS solutions empower hotels and hotel chains to manage pricing, reservations, and retail offerings across thousands of distribution channels while improving guest experience throughout the traveler journey. We serve over 42,000 properties in 174 countries.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connect people and places with technology that reimagines the business of travel. The key elements of our strategy include:</w:t>
      </w:r>
    </w:p>
    <w:p>
      <w:pPr>
        <w:spacing w:after="0" w:line="113" w:lineRule="exact"/>
        <w:rPr>
          <w:sz w:val="20"/>
          <w:szCs w:val="20"/>
          <w:color w:val="auto"/>
        </w:rPr>
      </w:pPr>
    </w:p>
    <w:p>
      <w:pPr>
        <w:jc w:val="both"/>
        <w:ind w:left="820" w:hanging="326"/>
        <w:spacing w:after="0" w:line="253"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Developing innovative technology products through investment of significant resources in solutions that address key customer needs in the areas of retailing, distribution, and fulfillment of travel and related products, such as reservations systems, retailing and merchandising solutions, planning and optimization solutions, mobile capabilities, data analytics, and business intelligence solutions.</w:t>
      </w:r>
    </w:p>
    <w:p>
      <w:pPr>
        <w:spacing w:after="0" w:line="9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Pursuing new supplier customers seeking distribution of content and agencies, as well as corporations representing buyers of content in our marketplace in Travel Network. In addition, we continue to pursue new customers for our Airline Solutions and Hospitality Solutions businesses.</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Transforming the security, stability, and health of our technology, with the goal of connecting people to experiences that enrich their lives.</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Strengthening relationships with existing customers, including promoting the adoption of our products within and across our existing customers, to help enable them to operate more efficiently, drive revenue, and offer personalized traveler experiences with next-generation technology solutions.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Travel Network customers consist of travel suppliers, including airlines, hotels and other lodging providers, car rental brands, rail carriers, cruise lines, tour operators, attractions and services; a large network of travel buyers, including OTAs, offline travel agencies, TMCs and corporate travel departments. Airline Solutions serves airlines of all sizes and in every region of the world, including hybrid carriers and LCCs (collectively, “LCC/hybrids”), global network carriers and regional network carriers; and other customers such as airports, corporate aviation fleets, governments and tourism boards. Hospitality Solutions has a global customer base of over 42,000 hotel properties of all sizes.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 individual customer accounted for more than 10% of our consolidated revenues for the years ended December 31, 2019</w:t>
      </w:r>
      <w:r>
        <w:rPr>
          <w:rFonts w:ascii="Arial" w:cs="Arial" w:eastAsia="Arial" w:hAnsi="Arial"/>
          <w:sz w:val="18"/>
          <w:szCs w:val="18"/>
          <w:color w:val="auto"/>
        </w:rPr>
        <w:t>,</w:t>
      </w:r>
      <w:r>
        <w:rPr>
          <w:rFonts w:ascii="Arial" w:cs="Arial" w:eastAsia="Arial" w:hAnsi="Arial"/>
          <w:sz w:val="16"/>
          <w:szCs w:val="16"/>
          <w:color w:val="auto"/>
        </w:rPr>
        <w:t xml:space="preserve">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Revenue</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i w:val="1"/>
          <w:iCs w:val="1"/>
          <w:color w:val="auto"/>
        </w:rPr>
        <w:t>Transactions</w:t>
      </w:r>
      <w:r>
        <w:rPr>
          <w:rFonts w:ascii="Arial" w:cs="Arial" w:eastAsia="Arial" w:hAnsi="Arial"/>
          <w:sz w:val="16"/>
          <w:szCs w:val="16"/>
          <w:color w:val="auto"/>
        </w:rPr>
        <w:t>—Bookings that generate fees directly to Travel Network (“Direct Billable Booking”) include bookings made through our GDS (e.g., air, car</w:t>
      </w:r>
      <w:r>
        <w:rPr>
          <w:rFonts w:ascii="Arial" w:cs="Arial" w:eastAsia="Arial" w:hAnsi="Arial"/>
          <w:sz w:val="16"/>
          <w:szCs w:val="16"/>
          <w:i w:val="1"/>
          <w:iCs w:val="1"/>
          <w:color w:val="auto"/>
        </w:rPr>
        <w:t xml:space="preserve"> </w:t>
      </w:r>
      <w:r>
        <w:rPr>
          <w:rFonts w:ascii="Arial" w:cs="Arial" w:eastAsia="Arial" w:hAnsi="Arial"/>
          <w:sz w:val="16"/>
          <w:szCs w:val="16"/>
          <w:color w:val="auto"/>
        </w:rPr>
        <w:t>and hotel bookings) and through our joint venture partners in cases where we are paid directly by the travel supplier.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4" w:name="page5"/>
    <w:bookmarkEnd w:id="4"/>
    <w:p>
      <w:pPr>
        <w:jc w:val="both"/>
        <w:ind w:firstLine="486"/>
        <w:spacing w:after="0" w:line="258" w:lineRule="auto"/>
        <w:rPr>
          <w:sz w:val="20"/>
          <w:szCs w:val="20"/>
          <w:color w:val="auto"/>
        </w:rPr>
      </w:pPr>
      <w:r>
        <w:rPr>
          <w:rFonts w:ascii="Arial" w:cs="Arial" w:eastAsia="Arial" w:hAnsi="Arial"/>
          <w:sz w:val="16"/>
          <w:szCs w:val="16"/>
          <w:i w:val="1"/>
          <w:iCs w:val="1"/>
          <w:color w:val="auto"/>
        </w:rPr>
        <w:t>SaaS and Hosted</w:t>
      </w:r>
      <w:r>
        <w:rPr>
          <w:rFonts w:ascii="Arial" w:cs="Arial" w:eastAsia="Arial" w:hAnsi="Arial"/>
          <w:sz w:val="16"/>
          <w:szCs w:val="16"/>
          <w:color w:val="auto"/>
        </w:rPr>
        <w:t>—Airline Solutions and Hospitality Solutions generate revenue through upfront solution fees and recurring usage-based fees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use of our software solutions hosted on secure platforms or deployed via SaaS. We maintain our SaaS and hosted software and manage the related infrastructure with the assistance of third-party providers. We collect the implementation fees and recurring usage-based fees pursuant to contracts with terms that typically range between three and ten years and generally include minimum annual volume requirements.</w:t>
      </w:r>
    </w:p>
    <w:p>
      <w:pPr>
        <w:spacing w:after="0" w:line="7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 xml:space="preserve">Software Licensing </w:t>
      </w:r>
      <w:r>
        <w:rPr>
          <w:rFonts w:ascii="Arial" w:cs="Arial" w:eastAsia="Arial" w:hAnsi="Arial"/>
          <w:sz w:val="16"/>
          <w:szCs w:val="16"/>
          <w:color w:val="auto"/>
        </w:rPr>
        <w:t>—Airline Solutions generates revenue from fees for the installation and use of our software products. Some contracts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model generate additional revenue for the maintenance of the software product.</w:t>
      </w:r>
    </w:p>
    <w:p>
      <w:pPr>
        <w:spacing w:after="0" w:line="5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Professional Service Fees</w:t>
      </w:r>
      <w:r>
        <w:rPr>
          <w:rFonts w:ascii="Arial" w:cs="Arial" w:eastAsia="Arial" w:hAnsi="Arial"/>
          <w:sz w:val="16"/>
          <w:szCs w:val="16"/>
          <w:color w:val="auto"/>
        </w:rPr>
        <w:t>—Airline Solutions and Hospitality Solutions offerings that utilize the SaaS and hosted revenue model are sometimes sold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multiple-element agreements for which we also provide professional services, including consulting services. Our professional services are primarily focused on helping customers achieve better utilization of and return on their software investment. Often, we provide these services during the implementation phase of our SaaS solutions.</w:t>
      </w:r>
    </w:p>
    <w:p>
      <w:pPr>
        <w:spacing w:after="0" w:line="7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i w:val="1"/>
          <w:iCs w:val="1"/>
          <w:color w:val="auto"/>
        </w:rPr>
        <w:t>Media</w:t>
      </w:r>
      <w:r>
        <w:rPr>
          <w:rFonts w:ascii="Arial" w:cs="Arial" w:eastAsia="Arial" w:hAnsi="Arial"/>
          <w:sz w:val="16"/>
          <w:szCs w:val="16"/>
          <w:color w:val="auto"/>
        </w:rPr>
        <w:t>—Travel Network generates media revenue from customers that advertise products and purchase preferred placement on our GDS. Advertisers</w:t>
      </w:r>
      <w:r>
        <w:rPr>
          <w:rFonts w:ascii="Arial" w:cs="Arial" w:eastAsia="Arial" w:hAnsi="Arial"/>
          <w:sz w:val="16"/>
          <w:szCs w:val="16"/>
          <w:i w:val="1"/>
          <w:iCs w:val="1"/>
          <w:color w:val="auto"/>
        </w:rPr>
        <w:t xml:space="preserve"> </w:t>
      </w:r>
      <w:r>
        <w:rPr>
          <w:rFonts w:ascii="Arial" w:cs="Arial" w:eastAsia="Arial" w:hAnsi="Arial"/>
          <w:sz w:val="16"/>
          <w:szCs w:val="16"/>
          <w:color w:val="auto"/>
        </w:rPr>
        <w:t>use two types of advertising metrics: (i) display advertising and (ii) action advertising. In display advertising, advertisers generally pay based on the number of customers who view the advertisement, and are charged based on cost-per-thousand impressions. In action advertising, advertisers generally pay based on the number of customers who perform a specific action, such as click on the advertisement, and are charged based on the cost per action. Customers can also purchase preferred placement on hotel shopping displays on travel agency terminals. Customers pay for preferential payment through a subscription fee which is based on the amount of revenue the customer generates through our GDS and geographical market of the customer’s property (designated by airport code).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operate in highly competitive markets. Travel Network competes with several other regional and global travel marketplace providers, including other GDSs, local distribution systems and travel marketplace providers primarily owned by airlines or government entities, as well as with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Airline Solutions competes with a variety of providers in a rapidly evolving marketplace which includes global and regional IT providers, various specialists in selected product areas, service providers and airlines that develop their own in-house technology. Hospitality Solutions operates in a dynamic marketplace that includes large global players, significant new entrants and hotels that develop their own in-house technology.</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Operations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technology strategy is based on achieving company-wide stability, reliability and performance at the most efficient price point. Significant investment has gone into building a centralized PaaS middleware environment with an emphasis on standardization, simplicity, security and scalability. We invest heavily in software development, delivery and operational support capabilities and strive to provide best in class products for our customers. We operate standardized infrastructure in our data center environments across hardware, operating systems, databases, and other key enabling technologies to minimize costs on non-differentiators. We expect to continue to make significant investments in our information technology infrastructure to modernize our architecture, drive efficiency in development and recurring technology costs, further enhance the stability and security of our network, comply with data privacy regulations, and enable our shift to open source and cloud-based solutions.</w:t>
      </w:r>
    </w:p>
    <w:p>
      <w:pPr>
        <w:spacing w:after="0" w:line="10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architecture has evolved from a mainframe centric transaction processing environment to a secure processing platform that is one of the world’s most heavily used and resilient service-oriented architecture (“SOA”) environments. A variety of products and services run on this technology infrastructure: high volume air shopping systems; desktop access applications providing continuous, real-time data access to travel agents; airline operations and decision support systems; an array of customized applications available through the Sabre Red 360; and web based services that provide an automated interface between us and our travel suppliers and customers. The flexibility and scale of our standardized SOA based technology infrastructure allow us to quickly deliver a broad variety of SaaS and hosted solutions.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 w:name="page6"/>
    <w:bookmarkEnd w:id="5"/>
    <w:p>
      <w:pPr>
        <w:jc w:val="both"/>
        <w:ind w:firstLine="486"/>
        <w:spacing w:after="0" w:line="251"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constantly subject to change. These laws, regulations and policies include regulations applicable to the GDS in the European Union (“EU”), Canada, the United States and other locations.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are subject to the application of data protection and privacy regulations in many of the countries in which we operate, including the General Data Protection Regulation ("GDPR") in the EU and the California Consumer Protection Act ("CCPA"). See "Risk Factors —Our collection, processing, storage, use and transmission of personal data could give rise to liabilities as a result of governmental regulation, conflicting legal requirements, differing views on data privacy or security breaches."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are also subject to prohibitions administered by the Office of Foreign Assets Control (the “OFAC rules”), which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businesses may also be subject to legislation and regulations affecting issues such as: trade sanctions, exports of technology, antitrust, anticorruption, telecommunications and e-commerce. These regulations may vary among jurisdictions.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“Risk Factors—Any failure to comply with regulations or any changes in such regulations governing our businesses could adversely affect us.”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travel industry is seasonal in nature. Travel bookings for Travel Network, and the revenue we derive from those bookings, are typically seasonally strong in the first and third quarters, but decline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of December 31, 2019, we employed approximately 9,250 people. We have not experienced any work stoppages and consider our relations with our employees to be good.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under these requirements,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at investors.sabre.com.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Travel Network, Airline Solutions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6"/>
          <w:szCs w:val="16"/>
          <w:color w:val="auto"/>
        </w:rPr>
        <w:t>dependent on the global travel industry, particularly air travel from which we derive a substantial amount of our revenue, and directly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Various factors may cause temporary or sustained disruption to leisure and business travel. The impact these disruptions would have on our business depends on the magnitude and duration of such disruption. These factors include, among others:</w:t>
      </w:r>
    </w:p>
    <w:p>
      <w:pPr>
        <w:spacing w:after="0" w:line="88" w:lineRule="exact"/>
        <w:rPr>
          <w:sz w:val="20"/>
          <w:szCs w:val="20"/>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and local economic conditions;</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instability of travel suppliers and the impact of any fundamental corporate changes to such travel suppliers, such as airline bankruptcies, consolidations, or suspensions of service on the cost and availability of travel content;</w:t>
      </w:r>
    </w:p>
    <w:p>
      <w:pPr>
        <w:spacing w:after="0" w:line="87" w:lineRule="exact"/>
        <w:rPr>
          <w:rFonts w:ascii="Arial" w:cs="Arial" w:eastAsia="Arial" w:hAnsi="Arial"/>
          <w:sz w:val="16"/>
          <w:szCs w:val="16"/>
          <w:color w:val="auto"/>
        </w:rPr>
      </w:pPr>
    </w:p>
    <w:p>
      <w:pPr>
        <w:ind w:left="820" w:right="20" w:hanging="326"/>
        <w:spacing w:after="0" w:line="260" w:lineRule="auto"/>
        <w:tabs>
          <w:tab w:leader="none" w:pos="80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factors that affect demand for travel such as outbreaks of contagious diseases, including influenza, the coronavirus, Zika, Ebola and the MERS virus, increases in fuel prices, government shutdowns, changing attitudes towards the environmental costs of travel and safety concerns;</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political events like acts or threats of terrorism, hostilities, and war;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inclement weather, natural or man-made disasters; and</w:t>
      </w:r>
    </w:p>
    <w:p>
      <w:pPr>
        <w:spacing w:after="0" w:line="113" w:lineRule="exact"/>
        <w:rPr>
          <w:rFonts w:ascii="Arial" w:cs="Arial" w:eastAsia="Arial" w:hAnsi="Arial"/>
          <w:sz w:val="16"/>
          <w:szCs w:val="16"/>
          <w:color w:val="auto"/>
        </w:rPr>
      </w:pPr>
    </w:p>
    <w:p>
      <w:pPr>
        <w:jc w:val="both"/>
        <w:ind w:left="820" w:hanging="326"/>
        <w:spacing w:after="0" w:line="253" w:lineRule="auto"/>
        <w:tabs>
          <w:tab w:leader="none" w:pos="80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factors that affect supply of travel, such as travel restrictions, regulatory actions, aircraft groundings, or changes to regulations governing airlines and the travel industry, like government sanctions that do or would prohibit doing business with certain state-owned travel suppliers, work stoppages or labor unrest at any of the major airlines, hotels or airports.</w:t>
      </w:r>
    </w:p>
    <w:p>
      <w:pPr>
        <w:spacing w:after="0" w:line="127"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system capacity, resulting in service interruptions, outages and delays. These constraints can also lead to the deterioration of our services or impair our ability to process transactions. We occasionally experience system interruptions that make certain of our systems unavailable including, but not limited to, our GDS and the services that our Airline Solutions and Hospitality Solutions businesses provide to airlines and hotels. In addition, we may occasionally experience system interruptions as we execute our technology strategy, including our cloud migration and mainframe offload activities.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9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malware, denial of service attacks, attacks on hardware vulnerabilities, physical or electronic break-ins, cybersecurity incidents or other security breaches, and similar disruptions affecting the Internet, telecommunication services or our systems could cause service interruptions or the loss of critical data and could prevent us from providing timely services. See “—Security breaches could expose us to liability and damage our reputation and our business.”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and as the tools and techniques involved become more sophisticated.</w:t>
      </w:r>
    </w:p>
    <w:p>
      <w:pPr>
        <w:spacing w:after="0" w:line="9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7" w:name="page8"/>
    <w:bookmarkEnd w:id="7"/>
    <w:p>
      <w:pPr>
        <w:jc w:val="both"/>
        <w:ind w:firstLine="486"/>
        <w:spacing w:after="0" w:line="286" w:lineRule="auto"/>
        <w:rPr>
          <w:sz w:val="20"/>
          <w:szCs w:val="20"/>
          <w:color w:val="auto"/>
        </w:rPr>
      </w:pPr>
      <w:r>
        <w:rPr>
          <w:rFonts w:ascii="Arial" w:cs="Arial" w:eastAsia="Arial" w:hAnsi="Arial"/>
          <w:sz w:val="16"/>
          <w:szCs w:val="16"/>
          <w:b w:val="1"/>
          <w:bCs w:val="1"/>
          <w:color w:val="auto"/>
        </w:rPr>
        <w:t>Any inability or failure to adapt to technological developments or the evolving competitive landscape could harm our business operations and competitiveness.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requirements. For example, IATA has promulgated its new distribution capability (“NDC”) standard. Depending on the level of adoption of this standard, our failure to integrate NDC into our technology or anticipate the evolution of next generation retailing and distribution could adversely affect our financial performance. As another example, migration of our enterprise applications and platforms to other hosting environments would cause us to incur substantial costs, and could result in instability and business interruptions, which could materially harm our business.</w:t>
      </w:r>
    </w:p>
    <w:p>
      <w:pPr>
        <w:spacing w:after="0" w:line="286"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Adapting to new technological and marketplace developments, such as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 distribution market. Those that we do develop may not achieve acceptance in the marketplace sufficient to generate material revenue or may be rendered obsolete or non-competitive by our competitors’ offerings.</w:t>
      </w:r>
    </w:p>
    <w:p>
      <w:pPr>
        <w:spacing w:after="0" w:line="10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For example, one of our competitors, Travelport Worldwide Limited, was acquired by private-equity firms in 2019. There could be uncertainty resulting from this acquisition, including possible changes to Travelport’s product and service offerings.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131" w:lineRule="exact"/>
        <w:rPr>
          <w:sz w:val="20"/>
          <w:szCs w:val="20"/>
          <w:color w:val="auto"/>
        </w:rPr>
      </w:pPr>
    </w:p>
    <w:p>
      <w:pPr>
        <w:ind w:left="500"/>
        <w:spacing w:after="0" w:line="263" w:lineRule="auto"/>
        <w:rPr>
          <w:sz w:val="20"/>
          <w:szCs w:val="20"/>
          <w:color w:val="auto"/>
        </w:rPr>
      </w:pPr>
      <w:r>
        <w:rPr>
          <w:rFonts w:ascii="Arial" w:cs="Arial" w:eastAsia="Arial" w:hAnsi="Arial"/>
          <w:sz w:val="16"/>
          <w:szCs w:val="16"/>
          <w:b w:val="1"/>
          <w:bCs w:val="1"/>
          <w:color w:val="auto"/>
        </w:rPr>
        <w:t>Travel suppliers’ use of alternative distribution models, such as direct distribution models, could adversely affect our Travel Network business.</w:t>
      </w:r>
    </w:p>
    <w:p>
      <w:pPr>
        <w:spacing w:after="0" w:line="305"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Some travel suppliers that provide content to Travel Network,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Solutions business, air travel suppliers have increased the proportion of direct bookings relative to indirect bookings. In the future, airlines may increase their use of direct distribution, which may cause a material decrease in their use of our GDS. Travel suppliers may also offer travelers advantages through their websites such as special fares and bonus miles, which could make their offerings more attractive than those available through our GDS platform. Similarly, travel suppliers may also seek to encourage travelers’ and travel agencies’ usage of their proprietary booking platforms by selectively increasing the ticket price in our GDS, making our GDS platform’s offerings more expensive than some alternative offerings. For example, we are currently engaged in litigation with the Lufthansa Group in connection with, among other things, a surcharge that the Lufthansa Group has imposed on tickets purchased through three selected GDSs, including Sabre. The Lufthansa Group is seeking declaratory judgment that this surcharge does not violate the terms of its agreement with us, in addition to damages related to the allegations of breach of contract and tortious interference with agency contracts. We deny the allegations and we have filed a counterclaim that asserts the Lufthansa Group’s surcharge is a violation of its agreement and that seeks an order requiring the Lufthansa Group to specifically perform its obligations under the agreement.</w:t>
      </w:r>
    </w:p>
    <w:p>
      <w:pPr>
        <w:spacing w:after="0" w:line="293" w:lineRule="exact"/>
        <w:rPr>
          <w:sz w:val="20"/>
          <w:szCs w:val="20"/>
          <w:color w:val="auto"/>
        </w:rPr>
      </w:pPr>
    </w:p>
    <w:p>
      <w:pPr>
        <w:jc w:val="both"/>
        <w:ind w:right="20" w:firstLine="486"/>
        <w:spacing w:after="0" w:line="251" w:lineRule="auto"/>
        <w:rPr>
          <w:sz w:val="20"/>
          <w:szCs w:val="20"/>
          <w:color w:val="auto"/>
        </w:rPr>
      </w:pPr>
      <w:r>
        <w:rPr>
          <w:rFonts w:ascii="Arial" w:cs="Arial" w:eastAsia="Arial" w:hAnsi="Arial"/>
          <w:sz w:val="16"/>
          <w:szCs w:val="16"/>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In addition, if enough travel suppliers choose not to develop ancillary products in a standardized way with respect to technical standards our investment in adapting our various systems to enable the sale of ancillary products may not be successful.</w:t>
      </w:r>
    </w:p>
    <w:p>
      <w:pPr>
        <w:spacing w:after="0" w:line="95"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Companies with close relationships with end consumers, like Facebook, as well as new entrants introducing new paradigms into the travel industry, such as metasearch engines, like Google, may promote alternative distribution channels to our GDS by diverting consumer traffic away from intermediaries, which may adversely affect our GDS business.</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8" w:name="page9"/>
    <w:bookmarkEnd w:id="8"/>
    <w:p>
      <w:pPr>
        <w:ind w:left="500"/>
        <w:spacing w:after="0" w:line="286"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DXC, which manages a significant portion of our systems.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businesses are largely dependent on the computer data centers and network systems operated for us by DXC Technology ("DXC"), and its third-party providers, including AT&amp;T, to which DXC outsources certain network services. We also rely on other developers and service providers to maintain and support our global telecommunications infrastructure, including to connect our computer data center and call centers to end-users. Moreover, we outsourced our global enterprise resource planning system to a third-party provider, and any disruption to that outsourced system may negatively impact our business.</w:t>
      </w:r>
    </w:p>
    <w:p>
      <w:pPr>
        <w:spacing w:after="0" w:line="9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DXC provides us with limited indemnification rights. We could face significant additional cost or business disruption if:</w:t>
      </w:r>
    </w:p>
    <w:p>
      <w:pPr>
        <w:spacing w:after="0" w:line="285" w:lineRule="exact"/>
        <w:rPr>
          <w:sz w:val="20"/>
          <w:szCs w:val="20"/>
          <w:color w:val="auto"/>
        </w:rPr>
      </w:pPr>
    </w:p>
    <w:p>
      <w:pPr>
        <w:jc w:val="both"/>
        <w:ind w:left="820" w:hanging="326"/>
        <w:spacing w:after="0" w:line="250" w:lineRule="auto"/>
        <w:tabs>
          <w:tab w:leader="none" w:pos="80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of these providers fail to enable us to provide our customers and suppliers with reliable, real-time access to our systems. For example, in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95" w:lineRule="exact"/>
        <w:rPr>
          <w:rFonts w:ascii="Arial" w:cs="Arial" w:eastAsia="Arial" w:hAnsi="Arial"/>
          <w:sz w:val="16"/>
          <w:szCs w:val="16"/>
          <w:color w:val="auto"/>
        </w:rPr>
      </w:pPr>
    </w:p>
    <w:p>
      <w:pPr>
        <w:jc w:val="both"/>
        <w:ind w:left="820" w:hanging="326"/>
        <w:spacing w:after="0" w:line="253" w:lineRule="auto"/>
        <w:tabs>
          <w:tab w:leader="none" w:pos="80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arrangements with such providers are terminated or impaired and we cannot find alternative sources of technology or systems support on commercially reasonable terms or on a timely basis. For example, our substantial dependence on DXC for many of our systems makes it difficult for us to switch vendors and makes us more sensitive to changes in DXC's pricing for its services.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Network business is exposed to pricing pressure from travel suppliers.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this content is similarly impeded, this would also adversely affect the value of our Travel Network business as a marketplace due to our more limited content. See “—Travel suppliers’ use of alternative distribution models, such as direct distribution models, could adversely affect our Travel Network business.”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breaches could expose us to liability and damage our reputation and our business.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process, store, and transmit large amounts of data, including personally identifiable information ("PII") and payment card industry data ("PCI") of our customers, and it is critical to our business strategy that our facilities and infrastructure, including those provided by DXC or other vendors, remain secure and are perceived by the marketplace to be secure. Our infrastructure may be vulnerable to physical or electronic break-ins, computer viruses, or similar disruptive problems.</w:t>
      </w:r>
    </w:p>
    <w:p>
      <w:pPr>
        <w:spacing w:after="0" w:line="95"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or material information could be compromised as a result. The costs of any investigation of such incidents, as well as any remediation related to these incidents, may be material. As previously disclosed, we became aware of an incident involving unauthorized access to payment information contained in a subset of hotel reservations processed through the Sabre Hospitality Solutions SynXis Central Reservation system (the “HS Central Reservation System”). Our investigation was supported by third party experts, including a leading cybersecurity firm. Our investigation determined that an unauthorized party: obtained access to account credentials that permitted access to a subset of hotel reservations processed through the HS Central Reservation System; used the account credentials to view a credit card summary page on the HS Central Reservation System and access payment card information (although we use encryption, this credential had the right to see unencrypted card data); and first obtained access to payment card information and some other reservation information on August 10, 2016. The last access to payment card information was on March 9, 2017. The unauthorized party was able to access information for certain hotel reservations, including cardholder name; payment card number; card expiration date; and, for a subset of reservations, card security code. The unauthorized party was also able, in some cases, to access certain information such as guest name(s), email, phone number, address, and other information if provided to the HS Central Reservation System. Information such as Social Security, passport, or driver’s license number was not accessed. The investigation did not uncover forensic evidence that the unauthorized party removed any information from the system, but it is 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9" w:name="page10"/>
    <w:bookmarkEnd w:id="9"/>
    <w:p>
      <w:pPr>
        <w:jc w:val="both"/>
        <w:spacing w:after="0" w:line="247" w:lineRule="auto"/>
        <w:rPr>
          <w:sz w:val="20"/>
          <w:szCs w:val="20"/>
          <w:color w:val="auto"/>
        </w:rPr>
      </w:pPr>
      <w:r>
        <w:rPr>
          <w:rFonts w:ascii="Arial" w:cs="Arial" w:eastAsia="Arial" w:hAnsi="Arial"/>
          <w:sz w:val="16"/>
          <w:szCs w:val="16"/>
          <w:color w:val="auto"/>
        </w:rPr>
        <w:t>possibility. We took successful measures to ensure this unauthorized access to the HS Central Reservation System was stopped and is no longer possible. There is no indication that any of our systems beyond the HS Central Reservation System, such as Sabre’s Airline Solutions and Travel Network platforms, were affected or accessed by the unauthorized party. We notified law enforcement and the payment card brands and engaged a PCI forensic investigator at the payment card brands' request to investigate this incident. We have notified customers and other companies that use or interact with, directly or indirectly, the HS Central Reservation System about the incident. We are also cooperating with various governmental authorities that are investigating this incident. Separately, in November 2017, Sabre Hospitality Solutions observed a pattern of activity that, after further investigation, led it to believe that an unauthorized party improperly obtained access to certain hotel user credentials for purposes of accessing the HS Central Reservation System. We deactivated the compromised accounts and notified law enforcement of this activity. We also notified the payment card brands, and at their request, we have engaged a PCI forensic investigator to investigate this incident. We have not found any evidence of a breach of the network security of the HS Central Reservation System, and we believe that the number of affected reservations represents only a fraction of 1% of the bookings in the HS Central Reservation System. The costs related to these incidents, including any associated penalties assessed by any governmental authority or payment card brand or indemnification obligations to our customers, as well as any other impacts or remediation related to them, may be material. As noted below, we maintain insurance that covers certain aspects of cyber risks, and we continue to work with our insurance carriers in these matters.</w:t>
      </w:r>
    </w:p>
    <w:p>
      <w:pPr>
        <w:spacing w:after="0" w:line="1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Any computer viruses, malware, denial of service attacks, attacks on hardware vulnerabilities, physical or electronic break-ins, cybersecurity incidents, such as the items described above,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Any systems and processes that we have developed that are designed to protect customer information and prevent data loss and other security breaches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133"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68"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In our Travel Network, Airline Solutions and Hospitality Solutions businesses, the implementation of software solutions often involves a significant commitment of resources and is subject to a number of significant risks over which we may or may not have control. These risks include:</w:t>
      </w:r>
    </w:p>
    <w:p>
      <w:pPr>
        <w:spacing w:after="0" w:line="88" w:lineRule="exact"/>
        <w:rPr>
          <w:sz w:val="20"/>
          <w:szCs w:val="20"/>
          <w:color w:val="auto"/>
        </w:rPr>
      </w:pPr>
    </w:p>
    <w:p>
      <w:pPr>
        <w:ind w:left="800" w:hanging="30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87" w:lineRule="exact"/>
        <w:rPr>
          <w:rFonts w:ascii="Arial" w:cs="Arial" w:eastAsia="Arial" w:hAnsi="Arial"/>
          <w:sz w:val="16"/>
          <w:szCs w:val="16"/>
          <w:color w:val="auto"/>
        </w:rPr>
      </w:pPr>
    </w:p>
    <w:p>
      <w:pPr>
        <w:jc w:val="both"/>
        <w:ind w:left="820" w:hanging="326"/>
        <w:spacing w:after="0" w:line="253"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9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0" w:name="page11"/>
    <w:bookmarkEnd w:id="10"/>
    <w:p>
      <w:pPr>
        <w:ind w:left="500"/>
        <w:spacing w:after="0" w:line="286" w:lineRule="auto"/>
        <w:rPr>
          <w:sz w:val="20"/>
          <w:szCs w:val="20"/>
          <w:color w:val="auto"/>
        </w:rPr>
      </w:pPr>
      <w:r>
        <w:rPr>
          <w:rFonts w:ascii="Arial" w:cs="Arial" w:eastAsia="Arial" w:hAnsi="Arial"/>
          <w:sz w:val="16"/>
          <w:szCs w:val="16"/>
          <w:b w:val="1"/>
          <w:b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perceived value proposition of our GDS by travel suppliers and travel buyers,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29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129"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Our ability to maintain and grow our Airline Solutions and Hospitality Solutions businesses may be negatively affected by competition from other third-party solutions providers and new participants that seek to enter the solutions market.</w:t>
      </w:r>
    </w:p>
    <w:p>
      <w:pPr>
        <w:spacing w:after="0" w:line="6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Our Airline Solutions and Hospitality Solutions businesses principally face competition from existing third-party solutions providers. We also compete with various point solutions providers on a more limited basis in several discrete functional areas. For our Hospitality Solutions business, we face competition across many aspects of our business, but our primary competitors are in the hospitality central reservation system and property management system ("PMS") fields.</w:t>
      </w:r>
    </w:p>
    <w:p>
      <w:pPr>
        <w:spacing w:after="0" w:line="28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Factors that may affect the competitive success of our Airline Solutions and Hospitality Solutions businesses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adversely impact our pricing or otherwise negatively affect our Airline Solutions and Hospitality Solutions businesses.</w:t>
      </w:r>
    </w:p>
    <w:p>
      <w:pPr>
        <w:spacing w:after="0" w:line="129"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For example, Sean Menke was elected as President and Chief Executive Officer of Sabre on December 31, 2016. Subsequent to his election, we have announced modifications to our business strategies and increased long-term investment in key areas, such as technology infrastructure, that may continue to have a negative impact in the short term due to expected increases in operating expenses and capital expenditures.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p>
    <w:p>
      <w:pPr>
        <w:spacing w:after="0" w:line="138"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Our Travel Network, Airline Solutions and Hospitality Solutions businesses depend on maintaining and renewing contracts with their customers and other counterparties.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our Travel Network business, we enter into participating carrier distribution and services agreements with airlines. Our contracts with major carriers typically last for three- to five-year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6"/>
          <w:szCs w:val="16"/>
          <w:color w:val="auto"/>
        </w:rPr>
        <w:t>advance notice.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 See “—Our Travel Network business is exposed to pricing pressure from travel suppliers."</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also enter into contracts with travel buyers.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Similarly, our Airline Solutions and Hospitality Solutions businesses are based on contracts with travel suppliers for a typical duration of three to seven years for airlines and one to five years for hotels, respectively. We cannot guarantee that we will be able to renew our solutions contracts in the future on favorable economic terms or at all.</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Additionally, we use several third-party distributor partners and joint ventures to extend our GDS services in EMEA and APAC. The termination of our contractual arrangements with any of these third-party distributor partners and joint ventures could adversely impact our Travel Network business in the relevant markets. See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9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122"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10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Furthermore, supplier consolidation, particularly in the airline industry, could harm our business. Additionally,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Travel Network business is exposed to pricing pressure from travel suppliers."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business.”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Network business depends on relationships with travel buyers.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Travel Network business relies on relationships with several large travel buyers, including TMCs and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many reasons, including to avoid becoming overly dependent on a single source of travel content or to increase their bargaining power with GDS providers.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Additionally, some regulations allow travel buyers to terminate their contracts earlier.</w:t>
      </w:r>
    </w:p>
    <w:p>
      <w:pPr>
        <w:spacing w:after="0" w:line="113" w:lineRule="exact"/>
        <w:rPr>
          <w:sz w:val="20"/>
          <w:szCs w:val="20"/>
          <w:color w:val="auto"/>
        </w:rPr>
      </w:pPr>
    </w:p>
    <w:p>
      <w:pPr>
        <w:jc w:val="both"/>
        <w:ind w:firstLine="486"/>
        <w:spacing w:after="0" w:line="249" w:lineRule="auto"/>
        <w:rPr>
          <w:rFonts w:ascii="Arial" w:cs="Arial" w:eastAsia="Arial" w:hAnsi="Arial"/>
          <w:sz w:val="16"/>
          <w:szCs w:val="16"/>
          <w:color w:val="0000FF"/>
        </w:rPr>
      </w:pPr>
      <w:r>
        <w:rPr>
          <w:rFonts w:ascii="Arial" w:cs="Arial" w:eastAsia="Arial" w:hAnsi="Arial"/>
          <w:sz w:val="16"/>
          <w:szCs w:val="16"/>
          <w:color w:val="auto"/>
        </w:rPr>
        <w:t xml:space="preserve">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w:t>
      </w:r>
      <w:hyperlink w:anchor="page34">
        <w:r>
          <w:rPr>
            <w:rFonts w:ascii="Arial" w:cs="Arial" w:eastAsia="Arial" w:hAnsi="Arial"/>
            <w:sz w:val="16"/>
            <w:szCs w:val="16"/>
            <w:color w:val="auto"/>
          </w:rPr>
          <w:t>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 and</w:t>
        </w:r>
      </w:hyperlink>
      <w:r>
        <w:rPr>
          <w:rFonts w:ascii="Arial" w:cs="Arial" w:eastAsia="Arial" w:hAnsi="Arial"/>
          <w:sz w:val="16"/>
          <w:szCs w:val="16"/>
          <w:color w:val="auto"/>
        </w:rPr>
        <w:t xml:space="preserve"> </w:t>
      </w:r>
      <w:hyperlink w:anchor="page34">
        <w:r>
          <w:rPr>
            <w:rFonts w:ascii="Arial" w:cs="Arial" w:eastAsia="Arial" w:hAnsi="Arial"/>
            <w:sz w:val="16"/>
            <w:szCs w:val="16"/>
            <w:u w:val="single" w:color="auto"/>
            <w:color w:val="0000FF"/>
          </w:rPr>
          <w:t>Analysis of Financial Condition and Results of Operations</w:t>
        </w:r>
        <w:r>
          <w:rPr>
            <w:rFonts w:ascii="Arial" w:cs="Arial" w:eastAsia="Arial" w:hAnsi="Arial"/>
            <w:sz w:val="16"/>
            <w:szCs w:val="16"/>
            <w:color w:val="000000"/>
          </w:rPr>
          <w:t>—Factors Affecting Our Results—Increasing travel agency incentive consideration" for more</w:t>
        </w:r>
      </w:hyperlink>
      <w:r>
        <w:rPr>
          <w:rFonts w:ascii="Arial" w:cs="Arial" w:eastAsia="Arial" w:hAnsi="Arial"/>
          <w:sz w:val="16"/>
          <w:szCs w:val="16"/>
          <w:color w:val="0000FF"/>
        </w:rPr>
        <w:t xml:space="preserve"> </w:t>
      </w:r>
      <w:r>
        <w:rPr>
          <w:rFonts w:ascii="Arial" w:cs="Arial" w:eastAsia="Arial" w:hAnsi="Arial"/>
          <w:sz w:val="16"/>
          <w:szCs w:val="16"/>
          <w:color w:val="000000"/>
        </w:rPr>
        <w:t>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and we have expanded Travel Network's presence in APAC. Our geographic concentration in the United States and Europe, as well as our expanded focus in APAC, makes our business potentially vulnerable to economic and political conditions that adversely affect business and leisure travel originating in or traveling to these regions.</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Despite modest growth in the U.S. economy, there is still weakness in other parts of the global economy, including increased unemployment, reduced financial capacity of both business and leisure travelers, diminished liquidity and credit availability, declines in consumer confidence and discretionary income and general uncertainty about economic stability. Furthermore, recent changes in the U.S. political environment have resulted in additional uncertainties with respect to travel restrictions, and the regulatory, tax and economic environment in the United States, which could adversely impact travel demand, our business operations or our financial results. We cannot predict the magnitude, length or recurrence of recessionary or low-growth economic patterns, which have impacted, and may continue to impact, demand for travel and lead to reduced spending on the services we provide.</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derive the remainder of our revenues from Latin America, the Middle East and Africa and APAC. Any unfavorable economic, political or regulatory developments in these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 For example, markets that have traditionally had a high level of exports to China, or that have commodities-based economies, have continued to experience slowing or deteriorating economic conditions. These adverse economic conditions may negatively impact our business results in those regions.</w:t>
      </w:r>
    </w:p>
    <w:p>
      <w:pPr>
        <w:spacing w:after="0" w:line="28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Similarly, in Venezuela, due to currency controls that impact the ability of certain of our airline customers operating in the country to obtain U.S. dollars to make timely payments to us, the collection of accounts receivable due to us can be, and has been, delayed. Due to the nature of this delay, we are deferring the recognition of any future revenues until cash is collected in accordance with our policies. Accordingly, our accounts receivable is subject to a general collection risk, as there can be no assurance that we will be paid from such customers in a timely manner, if at all. In response to the political and economic uncertainty in Venezuela, certain airlines have scaled back operations in response to the reduced demand for travel by local consumers as well as the currency controls which has impacted our airline customers in Venezuela.</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Voters in the U.K. have approved the exit of that country from the E.U. (“Brexit”), which became effective as of January 31, 2020, and is now in a transition period through December 31, 2020. Brexit and related processes have created significant economic uncertainty in the U.K. and in EMEA, which may negatively impact our business results in those regions. In addition, the terms of the U.K.’s withdrawal from the E.U., once negotiated during the transition period, if at all, could potentially disrupt the markets we serve and the tax jurisdictions in which we operate and adversely change tax benefits or liabilities in these or other jurisdictions, including our ability to obtain Value Added Tax ("VAT") refunds on transactions between the U.K. and the E.U., and may cause us to lose customers, suppliers, and employees. In addition, Brexit could lead to legal uncertainty and potentially divergent national laws and regulations as the U.K. determines which E.U. laws to replace or replicate.</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w:t>
      </w:r>
    </w:p>
    <w:p>
      <w:pPr>
        <w:spacing w:after="0" w:line="88" w:lineRule="exact"/>
        <w:rPr>
          <w:sz w:val="20"/>
          <w:szCs w:val="20"/>
          <w:color w:val="auto"/>
        </w:rPr>
      </w:pPr>
    </w:p>
    <w:p>
      <w:pPr>
        <w:ind w:left="800" w:hanging="30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business, political and economic instability in foreign locations, including actual or threatened terrorist activities, and military action;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laws and regulatory requirements, including more comprehensive regulation in the E.U. and the possible effects of Brexit;</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foreign currency exchange rates and financial risk arising from transactions in multiple currencies;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difficulty in developing, managing and staffing international operations because of distance, language and cultural differences;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disruptions to or delays in the development of communication and transportation services and infrastructure;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3" w:name="page14"/>
    <w:bookmarkEnd w:id="13"/>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more restrictive data privacy requirements, including the GDPR;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consumer attitudes, including the preference of customers for local providers;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labor costs due to high wage inflation in foreign locations, differences in general employment conditions and regulations, and the degree of employee unionization and activism;</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export or trade restrictions or currency controls;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governmental policies or actions, such as consumer, labor and trade protection measures and travel restrictions;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taxes, restrictions on foreign investment and limits on the repatriation of funds;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diminished ability to legally enforce our contractual rights;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decreased protection for intellectual property.</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 foregoing risks may adversely affect our ability to conduct and grow our business internationally.</w:t>
      </w:r>
    </w:p>
    <w:p>
      <w:pPr>
        <w:spacing w:after="0" w:line="147"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16. Commitments and Contingencies, to our consolidated financial statements. For example, we are involved in antitrust litigation with US Airways. If we cannot resolve this matter favorably, we could be subject to monetary damages, including treble damages under the antitrust laws and payment of reasonable attorneys’ fees and costs; depending on the amount of any such judgment, if we do not have sufficient cash on hand, we may be required to seek financing from private or public financing. Other parties might likewise seek to benefit from any unfavorable outcome by threatening to bring or actually bringing their own claims against us on the same or similar grounds or utilizing the litigation to seek more favorable contract terms. In addition, the U.S. Department of Justice ("DOJ") has filed a lawsuit seeking a permanent injunction to prevent us from acquiring Farelogix, Inc. ("Farelogix"). The U.K. Competition and Markets Authority ("CMA") has referred its review of this acquisition for a Phase 2 investigation and has published its provisional findings of competition concerns. We are also subject to a DOJ antitrust investigation from 2011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In addition, the European Commission’s Directorate-General for Competition ("EC") has opened an investigation to assess whether our and Amadeus’ respective agreements with airlines and travel agents may restrict competition in breach of E.U. antitrust rules. There is no legal deadline for the EC to bring an antitrust investigation to an end, and the duration of the investigation is unknown. Depending on the outcome of any of these matters, and the scope of the outcome, the manner in which our airline distribution business is operated could be affected and could potentially force changes to the existing airline distribution business model.</w:t>
      </w:r>
    </w:p>
    <w:p>
      <w:pPr>
        <w:spacing w:after="0" w:line="1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defense of these actions, as well as any of the other actions described under Note 16. Commitments and Contingencies, to our consolidated financial statements or elsewhere in this Annual Report on Form 10-K,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spacing w:after="0" w:line="93" w:lineRule="exact"/>
        <w:rPr>
          <w:sz w:val="20"/>
          <w:szCs w:val="20"/>
          <w:color w:val="auto"/>
        </w:rPr>
      </w:pPr>
    </w:p>
    <w:p>
      <w:pPr>
        <w:jc w:val="both"/>
        <w:ind w:firstLine="486"/>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For example, we announced on November 14, 2018 that we have entered into an agreement to acquire Farelogix. At closing, Sabre will purchase Farelogix for $360 million, funded by cash on hand and Revolver (as defined in </w:t>
      </w:r>
      <w:hyperlink w:anchor="page52">
        <w:r>
          <w:rPr>
            <w:rFonts w:ascii="Arial" w:cs="Arial" w:eastAsia="Arial" w:hAnsi="Arial"/>
            <w:sz w:val="16"/>
            <w:szCs w:val="16"/>
            <w:u w:val="single" w:color="auto"/>
            <w:color w:val="0000FF"/>
          </w:rPr>
          <w:t>Item 8. Financial Statements</w:t>
        </w:r>
      </w:hyperlink>
      <w:r>
        <w:rPr>
          <w:rFonts w:ascii="Arial" w:cs="Arial" w:eastAsia="Arial" w:hAnsi="Arial"/>
          <w:sz w:val="16"/>
          <w:szCs w:val="16"/>
          <w:color w:val="auto"/>
        </w:rPr>
        <w:t>, Note 8. Debt) borrowing. The acquisition is subject to customary closing conditions and regulatory approvals. On August 20, 2019, the DOJ filed a complaint in federal court in the District of Delaware, seeking a permanent injunction to prevent Sabre from acquiring Farelogix. There can be no assurance that Sabre and Farelogix will be successful in this litigation, or that such litigation will be completed prior to the termination date under the acquisition agreement. In addition, the litigation will require substantial time and attention from Sabre’s management, and will involve significant contact by Sabre, Farelogix and DOJ with existing customers, suppliers and other important constituencies. This may negatively impact Sabre’s and Farelogix’s respective ongoing businesses, their relationships with their customers, suppliers or other constituents, and the reputation of each Sabre and Farelogix. In addition, the CMA has referred its review of the acquisition for a Phase 2 investigation and has published its provisional findings of competition concerns. Sabre and Farelogix may fail to secure the requisite approvals in a timely manner or on terms desired or anticipated, and the acquisition of Farelogix may not close in the anticipated time frame, if at all. The acquisition agreement, as amended, contains certain customary termination rights, including the right of either party to terminate the acquisition agreement if the acquisition has not occurred by April 30,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4" w:name="page15"/>
    <w:bookmarkEnd w:id="14"/>
    <w:p>
      <w:pPr>
        <w:jc w:val="both"/>
        <w:ind w:firstLine="486"/>
        <w:spacing w:after="0" w:line="248"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28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have also divested, and may in the future divest, businesses or business operations.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telecommunications and e-commerce. Our failure to comply with any of these requirements, interpretations, legislation or regulations could have a material adverse effect on our operations.</w:t>
      </w:r>
    </w:p>
    <w:p>
      <w:pPr>
        <w:spacing w:after="0" w:line="9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Further, the United States has imposed economic sanctions, and could impose further sanctions in the future, that affect transactions with designated countries, including but not limited to, Cuba, Iran, Crimea region, North Korea and Syria, and nationals and others of those countries, and certain specifically targeted individuals and entities engaged in conduct detrimental to U.S. national security interests. These sanctions are administered by OFAC and are typically known as the OFAC regulations. These regulations are extensive and complex, and they differ from one sanctions regime to another. Failure to comply with these regulations could subject us to legal and reputational consequences, including civil and criminal penalties.</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have GDS contracts with carriers that fly to Cuba, Iran, Crimea region, North Korea and Syria but are based outside of those countries and are not owned by those governments or nationals of those governments. With respect to Iran, Sudan, North Korea and Syria we believe that our activities are designed to comply with certain information and travel-related exemptions. With respect to Cuba, we have advised OFAC that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w:t>
      </w:r>
    </w:p>
    <w:p>
      <w:pPr>
        <w:spacing w:after="0" w:line="9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5" w:name="page16"/>
    <w:bookmarkEnd w:id="15"/>
    <w:p>
      <w:pPr>
        <w:ind w:left="500"/>
        <w:spacing w:after="0" w:line="286"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went into effect on May 25, 2018, and the CCPA went into effect on January 1, 2020. These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Additionally, media coverage of data breaches has escalated, in part because of the increased number of enforcement actions, investigations and lawsuits.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of travel data. Furthermore, various countries, including Russia, have implemented legislation requiring the storage of travel or other personal data locally. Our business could be materially adversely affected by our inability, or the inability of our vendors who receive personal data from us, to comply with legal obligations regarding the use of personal data, new data handling or localization requirements that conflict with or negatively impact our business practices. In addition, our agreements with customers may also require that we indemnify the customer for liability arising from data breaches under the terms of our agreements with these customers. These indemnification obligations could be significant and may exceed the limits of any applicable insurance policy we maintain. See “—Security breaches could expose us to liability and damage our reputation and our business.”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PCI compliance.</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tested periodically for assurance and successfully completed our last annual assessment in December 2019.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 Security breaches could expose us to liability and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132"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10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6"/>
          <w:szCs w:val="16"/>
          <w:color w:val="auto"/>
        </w:rPr>
        <w:t>services, reduce features or functionality in our services or products, or cease such activities altogether. Insurance may not cover or be insufficient for any such claim.</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97" w:lineRule="exact"/>
        <w:rPr>
          <w:sz w:val="20"/>
          <w:szCs w:val="20"/>
          <w:color w:val="auto"/>
        </w:rPr>
      </w:pPr>
    </w:p>
    <w:p>
      <w:pPr>
        <w:jc w:val="both"/>
        <w:ind w:left="820" w:hanging="326"/>
        <w:spacing w:after="0" w:line="251"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94" w:lineRule="exact"/>
        <w:rPr>
          <w:rFonts w:ascii="Arial" w:cs="Arial" w:eastAsia="Arial" w:hAnsi="Arial"/>
          <w:sz w:val="16"/>
          <w:szCs w:val="16"/>
          <w:color w:val="auto"/>
        </w:rPr>
      </w:pPr>
    </w:p>
    <w:p>
      <w:pPr>
        <w:jc w:val="both"/>
        <w:ind w:left="820" w:hanging="326"/>
        <w:spacing w:after="0" w:line="251"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94" w:lineRule="exact"/>
        <w:rPr>
          <w:rFonts w:ascii="Arial" w:cs="Arial" w:eastAsia="Arial" w:hAnsi="Arial"/>
          <w:sz w:val="16"/>
          <w:szCs w:val="16"/>
          <w:color w:val="auto"/>
        </w:rPr>
      </w:pPr>
    </w:p>
    <w:p>
      <w:pPr>
        <w:jc w:val="both"/>
        <w:ind w:left="820" w:hanging="326"/>
        <w:spacing w:after="0" w:line="251"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w:t>
      </w:r>
    </w:p>
    <w:p>
      <w:pPr>
        <w:spacing w:after="0" w:line="94"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87" w:lineRule="exact"/>
        <w:rPr>
          <w:rFonts w:ascii="Arial" w:cs="Arial" w:eastAsia="Arial" w:hAnsi="Arial"/>
          <w:sz w:val="16"/>
          <w:szCs w:val="16"/>
          <w:color w:val="auto"/>
        </w:rPr>
      </w:pPr>
    </w:p>
    <w:p>
      <w:pPr>
        <w:jc w:val="both"/>
        <w:ind w:left="820" w:hanging="326"/>
        <w:spacing w:after="0" w:line="253"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322"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68"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7" w:name="page18"/>
    <w:bookmarkEnd w:id="17"/>
    <w:p>
      <w:pPr>
        <w:jc w:val="both"/>
        <w:spacing w:after="0" w:line="248" w:lineRule="auto"/>
        <w:rPr>
          <w:sz w:val="20"/>
          <w:szCs w:val="20"/>
          <w:color w:val="auto"/>
        </w:rPr>
      </w:pPr>
      <w:r>
        <w:rPr>
          <w:rFonts w:ascii="Arial" w:cs="Arial" w:eastAsia="Arial" w:hAnsi="Arial"/>
          <w:sz w:val="16"/>
          <w:szCs w:val="16"/>
          <w:color w:val="auto"/>
        </w:rPr>
        <w:t>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PII, or other bad publicity due to litigation, regulatory concerns or otherwise relating to our business. See “—Security breaches could expose us to liability and damage our reputation and our business.” Any inability to maintain or enhance awareness of our brands among our existing and target customers could negatively affect our current and future business prospects.</w:t>
      </w:r>
    </w:p>
    <w:p>
      <w:pPr>
        <w:spacing w:after="0" w:line="131"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10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1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129"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68"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Travel Network business utilizes third-party distributor partners and joint ventures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8" w:name="page19"/>
    <w:bookmarkEnd w:id="18"/>
    <w:p>
      <w:pPr>
        <w:jc w:val="both"/>
        <w:ind w:right="20"/>
        <w:spacing w:after="0" w:line="260" w:lineRule="auto"/>
        <w:rPr>
          <w:sz w:val="20"/>
          <w:szCs w:val="20"/>
          <w:color w:val="auto"/>
        </w:rPr>
      </w:pPr>
      <w:r>
        <w:rPr>
          <w:rFonts w:ascii="Arial" w:cs="Arial" w:eastAsia="Arial" w:hAnsi="Arial"/>
          <w:sz w:val="16"/>
          <w:szCs w:val="16"/>
          <w:color w:val="auto"/>
        </w:rPr>
        <w:t>arrangements with them could negatively impact our ability to extend our GDS services in the relevant markets. In addition, our business may be harmed due to potential conflicts of interest with our joint venture partners.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VAT, consistent with applicable accounting principles and in light of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2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consider the undistributed capital investments in our foreign subsidiaries to be indefinitely reinvested as of December 31, 2019 and, accordingly, have not provided deferred taxes on any outside basis differences.</w:t>
      </w:r>
    </w:p>
    <w:p>
      <w:pPr>
        <w:spacing w:after="0" w:line="8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Several countries, primarily in Europe, and the European Commission have proposed or adopted taxes on revenue earned by multinational corporations in certain "digital economy" sectors from activities linked to the user-based activity of their residents. These proposals have generally been labeled as "digital services taxes" ("DSTs"). We continue to evaluate the potential effects that the DST may have on our operations, cash flows and results of operations. The future impact of the DST, including on our global operations, is uncertain, and our business and financial condition could be adversely affected.</w:t>
      </w:r>
    </w:p>
    <w:p>
      <w:pPr>
        <w:spacing w:after="0" w:line="134"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135"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68"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commercialization of these products. The cost of any product liability litigation or other proceedings, even if resolved in our favor, could be substantial.</w:t>
      </w:r>
    </w:p>
    <w:p>
      <w:pPr>
        <w:spacing w:after="0" w:line="147"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consolidated balance sheet at December 31, 2019 contained goodwill and intangible assets, net totaling $3.2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129"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pension plans in the aggregate are estimated to be unfunded by $125 million as of December 31, 2019. With approximately 4,800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133"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As a result, we may be required to finance our cash needs through bank loans, additional debt financing, public or private equity offerings or otherwise. Our ability to arrange financing and the cost of such financing are dependent on numerous factors, including but not limited to general economic and capital market conditions, the availability of credit from banks or other lenders, investor confidence in us, and our results of operations.</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127"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68"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We have a significant amount of indebtedness. As of December 31, 2019, we had $3.3 billion of indebtedness outstanding in addition to $388 million of availability under our Revolver, after taking into account the availability reduction of $12 million for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6"/>
          <w:szCs w:val="16"/>
          <w:color w:val="auto"/>
        </w:rPr>
        <w:t>letters of credit issued under our Revolver. Our substantial level of indebtedness increases the possibility that we may not generate enough cash flow from operations to pay, when due, the principal of, interest on or other amounts due in respect of, these obligations. Other risks relating to our long-term indebtedness include:</w:t>
      </w:r>
    </w:p>
    <w:p>
      <w:pPr>
        <w:spacing w:after="0" w:line="93" w:lineRule="exact"/>
        <w:rPr>
          <w:sz w:val="20"/>
          <w:szCs w:val="20"/>
          <w:color w:val="auto"/>
        </w:rPr>
      </w:pPr>
    </w:p>
    <w:p>
      <w:pPr>
        <w:ind w:left="800" w:hanging="30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vulnerability to general adverse economic and industry conditions;</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higher interest expense if interest rates increase on our floating rate borrowings and our hedging strategies do not effectively mitigate the effects of these increases;</w:t>
      </w:r>
    </w:p>
    <w:p>
      <w:pPr>
        <w:spacing w:after="0" w:line="87"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87"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87"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limited flexibility in planning for, or reacting to, changes in our businesses and the markets in which we operate or to take advantage of market opportunities; and</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competitive disadvantage compared to our competitors that have less debt.</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Amended and Restated Credit Agreement and the indentures governing our senior secured notes due in 2023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Amended and Restated Credit Agreement.</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As of December 31, 2019, we had outstanding approximately $2.3 billion of variable debt that is indexed to the London Interbank Offered Rate ("LIBOR"). In July 2017, the Financial Conduct Authority announced its intention to phase out LIBOR by the end of 2021. It is not possible to predict the effect of any changes in the methods by which LIBOR is determined or regulatory activity related to LIBOR’s phaseout. Any of these developments could cause LIBOR to perform differently than in the past or cease to exist. If a published U.S. dollar LIBOR rate is unavailable, the interest rates on our debt indexed to LIBOR will be determined using various alternative methods set forth in our Amended and Restated Credit Agreement, any of which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our interest rate swap agreements designated in a hedging relationship utilize one-month LIBOR and have maturities that extend through 2021. See Note 9. Derivatives, to our consolidated financial statements. The phaseout of the LIBOR may adversely affect our assessment of effectiveness or measurement of ineffectiveness for accounting purposes.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exchange rate fluctuations.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conduct various operations outside the United States, primarily in APAC, Europe and Latin America. During the year ended December 31, 2019, foreign currency operations included $246 million of revenue and $572 million of operating expenses, representing approximately 6% and 16% of our total revenue and operating expenses, respectively. During the year ended December 31, 2018, foreign currency operations included $264 million of revenue and $583 million of operating expenses, representing approximately 7% and 18% of our total revenue and operating expenses, respectively. Our most significant foreign currency operating expenses are in the Euro, representing approximately 7% of our operating expenses for the year ended December 31, 2019 and 2018, respectively. As a result, we face exposure to movements in currency exchange rates. These exposures include but are not limited to:</w:t>
      </w:r>
    </w:p>
    <w:p>
      <w:pPr>
        <w:spacing w:after="0" w:line="97" w:lineRule="exact"/>
        <w:rPr>
          <w:sz w:val="20"/>
          <w:szCs w:val="20"/>
          <w:color w:val="auto"/>
        </w:rPr>
      </w:pPr>
    </w:p>
    <w:p>
      <w:pPr>
        <w:ind w:left="800" w:hanging="30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re-measurement gains and losses from changes in the value of foreign denominated assets and liabilities;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translation gains and losses on foreign subsidiary financial results that are translated into U.S. dollars, our functional currency, upon consolidation;</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planning risk related to changes in exchange rates between the time we prepare our annual and quarterly forecasts and when actual results occur;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21" w:name="page22"/>
    <w:bookmarkEnd w:id="21"/>
    <w:p>
      <w:pPr>
        <w:ind w:left="800" w:hanging="30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relative exchange rate movements on cross-border travel, principally travel between Europe and the United States.</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prior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To reduce the impact of this earnings volatility, we hedge our foreign currency exposure by entering into foreign currency forward contracts on several of our largest foreign currency exposures, including the Singaporean Dollar, the British Pound Sterling, the Polish Zloty, the Australian Dollar, the Indian Rupee, and the Swedish Krona.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135"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r>
        <w:rPr>
          <w:rFonts w:ascii="Arial" w:cs="Arial" w:eastAsia="Arial" w:hAnsi="Arial"/>
          <w:sz w:val="16"/>
          <w:szCs w:val="16"/>
          <w:color w:val="auto"/>
        </w:rPr>
        <w:t>.</w:t>
      </w:r>
    </w:p>
    <w:p>
      <w:pPr>
        <w:spacing w:after="0" w:line="68"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88" w:lineRule="exact"/>
        <w:rPr>
          <w:sz w:val="20"/>
          <w:szCs w:val="20"/>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incur liens on our property, assets and revenue;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borrow money, and guarantee or provide other support for the indebtedness of third parties;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pay dividends or make other distributions on, redeem or repurchase our capital stock;</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prepay, redeem or repurchase certain of our indebtedness;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certain change of control transactions;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make investments in entities that we do not control, including joint ventures;</w:t>
      </w:r>
    </w:p>
    <w:p>
      <w:pPr>
        <w:spacing w:after="0" w:line="113" w:lineRule="exact"/>
        <w:rPr>
          <w:rFonts w:ascii="Arial" w:cs="Arial" w:eastAsia="Arial" w:hAnsi="Arial"/>
          <w:sz w:val="16"/>
          <w:szCs w:val="16"/>
          <w:color w:val="auto"/>
        </w:rPr>
      </w:pPr>
    </w:p>
    <w:p>
      <w:pPr>
        <w:ind w:left="820" w:right="20" w:hanging="326"/>
        <w:spacing w:after="0" w:line="250"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certain asset sale transactions, including divestiture of certain company assets and divestiture of capital stock of wholly-owned subsidiaries;</w:t>
      </w:r>
    </w:p>
    <w:p>
      <w:pPr>
        <w:spacing w:after="0" w:line="294"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secured financing arrangements;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sale and leaseback transactions;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 our fiscal year;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substantially different lines of business.</w:t>
      </w:r>
    </w:p>
    <w:p>
      <w:pPr>
        <w:spacing w:after="0" w:line="11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These covenants may limit our ability to effectively operate our businesses or maximize stockholder value. In addition, our Amended and Restated Credit Agreement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Any failure to comply with the restrictions of our Amended and Restated Credit Agreement, the indentures governing our senior secured notes due 2023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129"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The market price of our common stock could decline due to the large number of outstanding shares of our common stock eligible for future sale.</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Sales of substantial amounts of our common stock in the public market in future offerings, or the perception that these sales could occur, could cause the market price of our common stock to decline. These sales could also make it more difficult for us to sell equity or equity-related securities in the future, at a time and price that we deem appropriate. In addition, the additional sale of our common stock by our officers or directors in the public market, or the perception that these sales may occur, could cause the market price of our common stock to decline.</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16"/>
          <w:szCs w:val="16"/>
          <w:color w:val="auto"/>
        </w:rPr>
        <w:t>may also grant registration rights covering shares of our common stock or other securities that we may issue in connection with any such acquisitions and investments.</w:t>
      </w:r>
    </w:p>
    <w:p>
      <w:pPr>
        <w:spacing w:after="0" w:line="88"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To the extent that any of us, our executive officers or directors sell, or indicate an intent to sell, substantial amounts of our common stock in the public market, the trading price of our common stock could decline significantly.</w:t>
      </w:r>
    </w:p>
    <w:p>
      <w:pPr>
        <w:spacing w:after="0" w:line="122"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b w:val="1"/>
          <w:bCs w:val="1"/>
          <w:color w:val="auto"/>
        </w:rPr>
        <w:t>Our ability to pay regular dividends to our stockholders is subject to the discretion of our board of directors and may be limited by our holding company structure and applicable provisions of Delaware law.</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intend to continue to pay quarterly cash dividends on our common stock. However, our board of directors may, in its sole discretion, change the amount or frequency of dividends or discontinue the payment of 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Amended and Restated Credit Agreement, our senior secured notes due in 2023, and other agreements with third parties. In addition, each of the companies in our corporate chain must manage 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a company with global operations, we operate in many countries with a variety of sales, administrative, product development and customer service roles provided in these offices.</w:t>
      </w:r>
    </w:p>
    <w:p>
      <w:pPr>
        <w:spacing w:after="0" w:line="18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Our corporate and business unit headquarters and domestic operations are located in a property which we own in Southlake, Texas, and in</w:t>
      </w:r>
      <w:r>
        <w:rPr>
          <w:rFonts w:ascii="Arial" w:cs="Arial" w:eastAsia="Arial" w:hAnsi="Arial"/>
          <w:sz w:val="16"/>
          <w:szCs w:val="16"/>
          <w:i w:val="1"/>
          <w:iCs w:val="1"/>
          <w:color w:val="auto"/>
        </w:rPr>
        <w:t xml:space="preserve"> </w:t>
      </w:r>
      <w:r>
        <w:rPr>
          <w:rFonts w:ascii="Arial" w:cs="Arial" w:eastAsia="Arial" w:hAnsi="Arial"/>
          <w:sz w:val="16"/>
          <w:szCs w:val="16"/>
          <w:color w:val="auto"/>
        </w:rPr>
        <w:t>two leased offices located in Westlake, Texas. The Westlake leases expire in 2026 and include early termination options in 2022. There are ten additional offices across North America and eight offices across Latin America that serve in various sales, administration, software development and customer service capacities for all our business segments. All of these additional offices are leased.</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EMEA</w:t>
      </w:r>
      <w:r>
        <w:rPr>
          <w:rFonts w:ascii="Arial" w:cs="Arial" w:eastAsia="Arial" w:hAnsi="Arial"/>
          <w:sz w:val="16"/>
          <w:szCs w:val="16"/>
          <w:color w:val="auto"/>
        </w:rPr>
        <w:t>: Travel Network has its Europe, the Middle East, and Africa ("EMEA") regional headquarters in London, United Kingdom, with a lease that expires</w:t>
      </w:r>
      <w:r>
        <w:rPr>
          <w:rFonts w:ascii="Arial" w:cs="Arial" w:eastAsia="Arial" w:hAnsi="Arial"/>
          <w:sz w:val="16"/>
          <w:szCs w:val="16"/>
          <w:i w:val="1"/>
          <w:iCs w:val="1"/>
          <w:color w:val="auto"/>
        </w:rPr>
        <w:t xml:space="preserve"> </w:t>
      </w:r>
      <w:r>
        <w:rPr>
          <w:rFonts w:ascii="Arial" w:cs="Arial" w:eastAsia="Arial" w:hAnsi="Arial"/>
          <w:sz w:val="16"/>
          <w:szCs w:val="16"/>
          <w:color w:val="auto"/>
        </w:rPr>
        <w:t>in 2027 and includes an early termination option in 2022. There are 28 additional offices across EMEA that serve in various sales, administration, software development and customer service capacities. All of these additional offices are leased.</w:t>
      </w:r>
    </w:p>
    <w:p>
      <w:pPr>
        <w:spacing w:after="0" w:line="17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APAC</w:t>
      </w:r>
      <w:r>
        <w:rPr>
          <w:rFonts w:ascii="Arial" w:cs="Arial" w:eastAsia="Arial" w:hAnsi="Arial"/>
          <w:sz w:val="16"/>
          <w:szCs w:val="16"/>
          <w:color w:val="auto"/>
        </w:rPr>
        <w:t>: Travel Network, Airline Solutions and Hospitality Solutions have their Asia-Pacific ("APAC") regional operations headquarters in Singapore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lease that expires in 2024. There are 29 additional offices across APAC that serve in various sales, administration, software development and customer service capacities. All of the additional offices are leased.</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 —"We are involved in various legal proceedings which may cause us to incur significant fees, costs and expenses and may result in unfavorable outcomes.”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Antitrust Litigation and Investigations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Airways Antitrust Litigation</w:t>
      </w:r>
    </w:p>
    <w:p>
      <w:pPr>
        <w:spacing w:after="0" w:line="1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6"/>
          <w:szCs w:val="16"/>
          <w:color w:val="auto"/>
        </w:rPr>
        <w:t>relating to Section 2. The claims that were not dismissed are claims brought under Section 1 of the Sherman Act, relating to our contracts with US Airways, which US Airways claims contain anticompetitive provisions, and an alleged conspiracy with the other GDSs, allegedly to maintain the industry structure and not to compete for content. We strongly deny all of the allegations made by US Airways.</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Sabre filed summary judgment motions in April 2014. In January 2015, the court issued an order granting Sabre's summary judgment motions in part, eliminating a majority of US Airways' alleged damages and rejecting its request for injunctive relief by which US Airways sought to bar Sabre from enforcing certain provisions in our contracts. In September 2015, the court also dismissed US Airways' claim for declaratory relief. In February 2017, US Airways sought reconsideration of the court's opinion dismissing the claim for declaratory relief, which the court denied in March 2017.</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 We continue to believe that our business practices and contract terms are lawful.</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Based on the jury’s verdict, in March 2017 the court entered final judgment in favor of US Airways in the amount of $15 million, which is three times the jury’s award of $5 million as required by the Sherman Act. As a result of the jury's verdict, US Airways was also entitled to receive reasonable attorneys’ fees and costs under the Sherman Act. As such, it filed a motion seeking approximately $125 million in attorneys’ fees and costs, the amount of which we strongly dispute. In January 2018, the court denied US Airways' motion seeking attorneys' fees and costs, without prejudice.</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the fourth quarter of 2016, we accrued a loss of $32 million, which represented the court's final judgment of $15 million, plus our estimate of $17 million for US Airways' reasonable attorneys’ fees, expenses and costs.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April 2017, we filed an appeal with the United States Court of Appeals for the Second Circuit seeking a reversal of the judgment. US Airways also filed a counter-appeal challenging earlier court orders, including the above-referenced orders dismissing and/or issuing summary judgment as to portions of its claims and damages. In connection with this appeal, we posted an appellate bond equal to the aggregate amount of the $15 million judgment entered plus interest, which stayed the judgment pending the appeal. The Second Circuit heard oral arguments on this matter in December 2018.</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September 2019, the Second Circuit issued its Order and Opinion. The Second Circuit vacated the judgment with respect to US Airways’ claim under Section 1, reversed the trial court’s dismissal of US Airways’ claims relating to Section 2, and remanded the case to district court for a new trial. In addition, the Second Circuit affirmed the trial court’s ruling limiting US Airways’ damages. The judgment in our favor on US Airways' conspiracy claim remains intact. The lawsuit has been remanded to federal court in the Southern District of New York for further proceedings. Currently, no trial date has been set.</w:t>
      </w:r>
    </w:p>
    <w:p>
      <w:pPr>
        <w:spacing w:after="0" w:line="9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As a result of the Second Circuit’s opinion, we believe that the claims associated with this case are not probable; therefore, in the third quarter of 2019, we reversed our previously accrued loss of $32 million and do not have any losses accrued for this matter as of December 31, 2019.</w:t>
      </w:r>
    </w:p>
    <w:p>
      <w:pPr>
        <w:spacing w:after="0" w:line="8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including any changes to our business that may be required as a result of the litigation. If favorable resolution of the matter is not reached upon remand, any monetary damages are subject to trebling under the antitrust laws and US Airways would be eligible to be reimbursed by us for its reasonable costs and attorneys’ fees. Depending on the amount of any such judgment, if we do not have sufficient cash on hand, we may be required to seek private or public financing. Depending on the outcome of the litigation, any of these consequences could have a material adverse effect on our business, financial condition and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Department of Justice Lawsuit on Farelogix Acquisition</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August 20, 2019, the DOJ filed a complaint in federal court in the District of Delaware, seeking a permanent injunction to prevent Sabre from acquiring Farelogix, alleging that the proposed acquisition is likely to substantially lessen competition in violation of federal antitrust law. Sabre disputes the government's allegations and believes the acquisition is pro-competitive and ultimately will be completed. The trial concluded on February 6, 2020 and the trial court has not yet issued its decision. Sabre and Farelogix have extended the termination date of their acquisition agreement to April 30, 2020, allowing time to resolve the challenge by the DOJ. In addition, the CMA has referred its review of the acquisition for a Phase 2 investigation and has published its provisional findings of competition concerns. Under the acquisition agreement, as amended, we have agreed to advance certain attorneys’ fees incurred by Farelogix in responding to certain governmental reviews of the acquisition and in defending against certain antitrust proceedings, which have totaled $20 million for the year ended December 31, 2019. These advances will be applied against the purchase price upon closing. The acquisition agreement, as amended, contains certain customary termination rights, including the right of either party to terminate the acquisition agreement if the acquisition has not occurred by April 30, 2020. We could be obligated to pay Farelogix up to an additional $25 million, either in the form of additional advances or in the form of a termination fee depending on the circumstances.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European Commission’s Directorate-General for Competition ("EC") Investigation</w:t>
      </w:r>
    </w:p>
    <w:p>
      <w:pPr>
        <w:spacing w:after="0" w:line="1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On November 23, 2018, the EC announced that it has opened an investigation of us and another GDS to assess whether our respective agreements with airlines and travel agents may restrict competition in breach of European Union antitrust rules. We are fully cooperating with the EC’s investigation and are unable to make any prediction regarding its outcome at this time.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6"/>
          <w:szCs w:val="16"/>
          <w:color w:val="auto"/>
        </w:rPr>
        <w:t>There is no legal deadline for the EC to bring an antitrust investigation to an end, and the duration of the investigation is uncertain. Depending on the findings of the EC, the outcome of the investigation could have a material adverse effect on our business, financial condition and results of operations. We may incur significant fees, costs and expenses for as long as this investigation is ongoing. We intend to vigorously defend against any allegations of anticompetitive activity by the EC.</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Department of Justice Investigation</w:t>
      </w:r>
    </w:p>
    <w:p>
      <w:pPr>
        <w:spacing w:after="0" w:line="129"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6"/>
          <w:szCs w:val="16"/>
          <w:color w:val="auto"/>
        </w:rPr>
        <w:t>On May 19, 2011, we received a CID from the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w:t>
      </w:r>
    </w:p>
    <w:p>
      <w:pPr>
        <w:spacing w:after="0" w:line="1" w:lineRule="exact"/>
        <w:rPr>
          <w:sz w:val="20"/>
          <w:szCs w:val="20"/>
          <w:color w:val="auto"/>
        </w:rPr>
      </w:pPr>
    </w:p>
    <w:p>
      <w:pPr>
        <w:jc w:val="both"/>
        <w:ind w:firstLine="8"/>
        <w:spacing w:after="0" w:line="250" w:lineRule="auto"/>
        <w:tabs>
          <w:tab w:leader="none" w:pos="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for several years; however, we have not been notified that this matter is closed.</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The DIT has continued to issue further tax assessments on a similar basis for subsequent years; however, the tax assessments for assessment years ending March 2007 and later are no longer material. We appealed the tax assessments for assessment years ending March 1998 through March 2006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Our case has been listed for hearing with the Supreme Court, and it has not yet been presented. We have appealed the tax assessments for the assessment years ended March 2013 to March 2016 with the ITAT and no trial date has been set for these subsequent years.</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Delhi High Court. No hearing date has been set. The DIT also assessed taxes on a similar basis for assessment years ending March 2006 through March 2016 and appeals for assessment years ending March 2006 through 2016 are pending before the ITAT.</w:t>
      </w:r>
    </w:p>
    <w:p>
      <w:pPr>
        <w:spacing w:after="0" w:line="1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If the DIT were to fully prevail on every claim against us, including SAPPL, we could be subject to taxes, interest and penalties of approximately $45 million as of December 31, 2019.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names and ages of our executive officers as of February 26, 2020, together with certain biographical information,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7"/>
                <w:szCs w:val="17"/>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Age</w:t>
            </w:r>
          </w:p>
        </w:tc>
        <w:tc>
          <w:tcPr>
            <w:tcW w:w="120" w:type="dxa"/>
            <w:vAlign w:val="bottom"/>
          </w:tcPr>
          <w:p>
            <w:pPr>
              <w:spacing w:after="0"/>
              <w:rPr>
                <w:sz w:val="17"/>
                <w:szCs w:val="17"/>
                <w:color w:val="auto"/>
              </w:rPr>
            </w:pPr>
          </w:p>
        </w:tc>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Position</w:t>
            </w: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Sean Menke</w:t>
            </w:r>
          </w:p>
        </w:tc>
        <w:tc>
          <w:tcPr>
            <w:tcW w:w="620" w:type="dxa"/>
            <w:vAlign w:val="bottom"/>
          </w:tcPr>
          <w:p>
            <w:pPr>
              <w:ind w:left="160"/>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6940" w:type="dxa"/>
            <w:vAlign w:val="bottom"/>
          </w:tcPr>
          <w:p>
            <w:pPr>
              <w:ind w:left="20"/>
              <w:spacing w:after="0"/>
              <w:rPr>
                <w:sz w:val="20"/>
                <w:szCs w:val="20"/>
                <w:color w:val="auto"/>
              </w:rPr>
            </w:pPr>
            <w:r>
              <w:rPr>
                <w:rFonts w:ascii="Arial" w:cs="Arial" w:eastAsia="Arial" w:hAnsi="Arial"/>
                <w:sz w:val="15"/>
                <w:szCs w:val="15"/>
                <w:color w:val="auto"/>
              </w:rPr>
              <w:t>Chief Executive Officer, President and Director, Sabre</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Douglas Barnett</w:t>
            </w:r>
          </w:p>
        </w:tc>
        <w:tc>
          <w:tcPr>
            <w:tcW w:w="620" w:type="dxa"/>
            <w:vAlign w:val="bottom"/>
          </w:tcPr>
          <w:p>
            <w:pPr>
              <w:ind w:left="160"/>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 Sabre</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Wade Jones</w:t>
            </w:r>
          </w:p>
        </w:tc>
        <w:tc>
          <w:tcPr>
            <w:tcW w:w="620" w:type="dxa"/>
            <w:vAlign w:val="bottom"/>
          </w:tcPr>
          <w:p>
            <w:pPr>
              <w:ind w:left="160"/>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5"/>
                <w:szCs w:val="15"/>
                <w:color w:val="auto"/>
              </w:rPr>
              <w:t>Executive Vice President, Sabre and President, Travel Network</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David Shirk</w:t>
            </w:r>
          </w:p>
        </w:tc>
        <w:tc>
          <w:tcPr>
            <w:tcW w:w="620" w:type="dxa"/>
            <w:vAlign w:val="bottom"/>
          </w:tcPr>
          <w:p>
            <w:pPr>
              <w:ind w:left="160"/>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5"/>
                <w:szCs w:val="15"/>
                <w:color w:val="auto"/>
              </w:rPr>
              <w:t>Executive Vice President, Sabre and President, Travel Solutions</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Cem Tanyel</w:t>
            </w:r>
          </w:p>
        </w:tc>
        <w:tc>
          <w:tcPr>
            <w:tcW w:w="620" w:type="dxa"/>
            <w:vAlign w:val="bottom"/>
          </w:tcPr>
          <w:p>
            <w:pPr>
              <w:ind w:left="160"/>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5"/>
                <w:szCs w:val="15"/>
                <w:color w:val="auto"/>
              </w:rPr>
              <w:t>Executive Vice President, Sabre and President, Airline Solutions</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Kimberly Warmbier</w:t>
            </w:r>
          </w:p>
        </w:tc>
        <w:tc>
          <w:tcPr>
            <w:tcW w:w="620" w:type="dxa"/>
            <w:vAlign w:val="bottom"/>
          </w:tcPr>
          <w:p>
            <w:pPr>
              <w:ind w:left="160"/>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5"/>
                <w:szCs w:val="15"/>
                <w:color w:val="auto"/>
              </w:rPr>
              <w:t>Executive Vice President and Chief People Officer, Sabre</w:t>
            </w:r>
          </w:p>
        </w:tc>
      </w:tr>
    </w:tbl>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5"/>
          <w:szCs w:val="15"/>
          <w:b w:val="1"/>
          <w:bCs w:val="1"/>
          <w:color w:val="auto"/>
        </w:rPr>
        <w:t xml:space="preserve">Sean Menke </w:t>
      </w:r>
      <w:r>
        <w:rPr>
          <w:rFonts w:ascii="Arial" w:cs="Arial" w:eastAsia="Arial" w:hAnsi="Arial"/>
          <w:sz w:val="15"/>
          <w:szCs w:val="15"/>
          <w:color w:val="auto"/>
        </w:rPr>
        <w:t>was elected president and CEO effective December 31, 2016. Prior to that, he served as executive vice president and president of Travel Network.</w:t>
      </w:r>
      <w:r>
        <w:rPr>
          <w:rFonts w:ascii="Arial" w:cs="Arial" w:eastAsia="Arial" w:hAnsi="Arial"/>
          <w:sz w:val="15"/>
          <w:szCs w:val="15"/>
          <w:b w:val="1"/>
          <w:bCs w:val="1"/>
          <w:color w:val="auto"/>
        </w:rPr>
        <w:t xml:space="preserve"> </w:t>
      </w:r>
      <w:r>
        <w:rPr>
          <w:rFonts w:ascii="Arial" w:cs="Arial" w:eastAsia="Arial" w:hAnsi="Arial"/>
          <w:sz w:val="15"/>
          <w:szCs w:val="15"/>
          <w:color w:val="auto"/>
        </w:rPr>
        <w:t>Before joining Sabre in October 2015, Mr. Menke served as executive vice 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Frontier Airlines and Pinnacle Airlines filed for bankruptcy protection under Chapter 11 of the United States Bankruptcy Code in 2008 and 2012, respectively. Mr. Menke earned an executive MBA from the University of Denver and dual bachelor of science degrees in Economics and Aviation Management from Ohio State University.</w:t>
      </w:r>
    </w:p>
    <w:p>
      <w:pPr>
        <w:spacing w:after="0" w:line="74"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Douglas Barnett </w:t>
      </w:r>
      <w:r>
        <w:rPr>
          <w:rFonts w:ascii="Arial" w:cs="Arial" w:eastAsia="Arial" w:hAnsi="Arial"/>
          <w:sz w:val="15"/>
          <w:szCs w:val="15"/>
          <w:color w:val="auto"/>
        </w:rPr>
        <w:t>is executive vice president and chief financial officer. Prior to joining Sabre in June 2018, Mr. Barnett served as executive vice president and</w:t>
      </w:r>
      <w:r>
        <w:rPr>
          <w:rFonts w:ascii="Arial" w:cs="Arial" w:eastAsia="Arial" w:hAnsi="Arial"/>
          <w:sz w:val="15"/>
          <w:szCs w:val="15"/>
          <w:b w:val="1"/>
          <w:bCs w:val="1"/>
          <w:color w:val="auto"/>
        </w:rPr>
        <w:t xml:space="preserve"> </w:t>
      </w:r>
      <w:r>
        <w:rPr>
          <w:rFonts w:ascii="Arial" w:cs="Arial" w:eastAsia="Arial" w:hAnsi="Arial"/>
          <w:sz w:val="15"/>
          <w:szCs w:val="15"/>
          <w:color w:val="auto"/>
        </w:rPr>
        <w:t>chief financial officer of Informatica LLC, a global leader in enterprise cloud data management, since 2016. While there, he was responsible for a number of areas of Informatica’s business, including finance, legal, information technology, human resources and corporate development. From 2013 to 2016, Mr. Barnett served as executive vice president and chief financial officer of TriZetto Corporation, a health care IT company, where he was responsible for all finance-related functions, including accounting, internal audit, banking, investor relations, cash management, internal and external reporting, tax and treasury, as well as human resources, facilities and IT. From 2007 to 2013, Mr. Barnett was managing director, chief financial officer and chief administrative officer of AlixPartners LLP, a global business-advisory firm, where he was responsible for most non-client facing functions at the firm, including accounting, finance, treasury, HR, facilities, internal audit, tax, IT and other operations for 16 global locations. Prior to that, he held financial leadership roles at UGS Corporation, Colfax Corporation and Giddings &amp; Lewis, Inc. Mr. Barnett is a current board member of ECI Software Solutions. Mr. Barnett received a Masters of Management degree from the J.L. Kellogg Graduate School of Management at Northwestern University and his Bachelor of Science degree from the University of Illinois.</w:t>
      </w:r>
    </w:p>
    <w:p>
      <w:pPr>
        <w:spacing w:after="0" w:line="8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5"/>
          <w:szCs w:val="15"/>
          <w:b w:val="1"/>
          <w:bCs w:val="1"/>
          <w:color w:val="auto"/>
        </w:rPr>
        <w:t xml:space="preserve">Wade Jones </w:t>
      </w:r>
      <w:r>
        <w:rPr>
          <w:rFonts w:ascii="Arial" w:cs="Arial" w:eastAsia="Arial" w:hAnsi="Arial"/>
          <w:sz w:val="15"/>
          <w:szCs w:val="15"/>
          <w:color w:val="auto"/>
        </w:rPr>
        <w:t>is executive vice president of Sabre and president of Travel Network. He joined Sabre in 2015 in the product, marketing and strategy role for Travel</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globally. From April of 2012 to September of 2014 he was senior vice president and general manager of Deem’s syndicated commerce business. From 2011 to 2012, Mr. Jones served as a founder and chief executive officer of Haystack Ventures, LLC, which filed for bankruptcy protection under Chapter 7 of the United States Bankruptcy Code in 2012. Prior to joining Sabre, Mr. Jones spent more than 10 years with Barclaycard, leading the company’s U.K partnership business that provides, co-branded credit card, and loyalty programs for other companies across the travel, retail, financial services, and other industries. He received his master’s degree in business administration from the Kellogg School of Management at Northwestern University and his undergraduate degree from Texas Christian University.</w:t>
      </w:r>
    </w:p>
    <w:p>
      <w:pPr>
        <w:spacing w:after="0" w:line="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5"/>
          <w:szCs w:val="15"/>
          <w:b w:val="1"/>
          <w:bCs w:val="1"/>
          <w:color w:val="auto"/>
        </w:rPr>
        <w:t xml:space="preserve">David Shirk </w:t>
      </w:r>
      <w:r>
        <w:rPr>
          <w:rFonts w:ascii="Arial" w:cs="Arial" w:eastAsia="Arial" w:hAnsi="Arial"/>
          <w:sz w:val="15"/>
          <w:szCs w:val="15"/>
          <w:color w:val="auto"/>
        </w:rPr>
        <w:t>is executive vice president of Sabre and president of Travel Solutions. Mr. Shirk previously served as executive vice president of Sabre and</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of Airline Solutions from June 2017 to July 2018. Prior to joining Sabre, Mr. Shirk served as president at Kony, Inc., an industry leader in mobile application development. He previously served as general manager and vice president at Computer Services Corp. (CSC), where he led the company’s software, services, and business process outsourcing division. Prior to joining CSC, Mr. Shirk was senior vice president of industry solutions and chief marketing officer for the Enterprise Business division of HP. He holds a bachelor’s degree in business administration and management from The Ohio State University.</w:t>
      </w:r>
    </w:p>
    <w:p>
      <w:pPr>
        <w:spacing w:after="0" w:line="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5"/>
          <w:szCs w:val="15"/>
          <w:b w:val="1"/>
          <w:bCs w:val="1"/>
          <w:color w:val="auto"/>
        </w:rPr>
        <w:t xml:space="preserve">Cem Tanyel </w:t>
      </w:r>
      <w:r>
        <w:rPr>
          <w:rFonts w:ascii="Arial" w:cs="Arial" w:eastAsia="Arial" w:hAnsi="Arial"/>
          <w:sz w:val="15"/>
          <w:szCs w:val="15"/>
          <w:color w:val="auto"/>
        </w:rPr>
        <w:t>is executive vice president of Sabre and president of Airline Solutions. Prior to joining Sabre in September 2018, Mr. Tanyel served as executive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and general manager, Global Services at Kony from October 2016 to October 2018. From 2015 to 2016, he was chief services officer and senior vice president, consulting and service delivery of Trizetto Corp. Mr. Tanyel served as Vice president and general manager, healthcare and life sciences global solutions at CSC Corp. from 2012 to 2015, and he served as senior vice president, research and development, health systems enterprise solutions at McKesson Corp. from 2010 to 2012.</w:t>
      </w:r>
    </w:p>
    <w:p>
      <w:pPr>
        <w:spacing w:after="0" w:line="25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5"/>
          <w:szCs w:val="15"/>
          <w:b w:val="1"/>
          <w:bCs w:val="1"/>
          <w:color w:val="auto"/>
        </w:rPr>
        <w:t xml:space="preserve">Kimberly Warmbier </w:t>
      </w:r>
      <w:r>
        <w:rPr>
          <w:rFonts w:ascii="Arial" w:cs="Arial" w:eastAsia="Arial" w:hAnsi="Arial"/>
          <w:sz w:val="15"/>
          <w:szCs w:val="15"/>
          <w:color w:val="auto"/>
        </w:rPr>
        <w:t>is executive vice president and chief people officer. Prior to joining Sabre in June 2018, Ms. Warmbier served as executive vice president of</w:t>
      </w:r>
      <w:r>
        <w:rPr>
          <w:rFonts w:ascii="Arial" w:cs="Arial" w:eastAsia="Arial" w:hAnsi="Arial"/>
          <w:sz w:val="15"/>
          <w:szCs w:val="15"/>
          <w:b w:val="1"/>
          <w:bCs w:val="1"/>
          <w:color w:val="auto"/>
        </w:rPr>
        <w:t xml:space="preserve"> </w:t>
      </w:r>
      <w:r>
        <w:rPr>
          <w:rFonts w:ascii="Arial" w:cs="Arial" w:eastAsia="Arial" w:hAnsi="Arial"/>
          <w:sz w:val="15"/>
          <w:szCs w:val="15"/>
          <w:color w:val="auto"/>
        </w:rPr>
        <w:t>Dean Foods from November 2012 to December 2017 and served as senior vice president of human resources for Fresh Dairy Direct of Dean Foods from May 2012 to November 2012. She was promoted to her current position in November 2012. Prior to Dean Foods, Ms. Warmbier served as the senior vice president, human resources, for J.C. Penney Company, Inc. from November 2009 to December 2011 where she led human resource professionals supporting more than 150,000 associates in supply chain, stores and corporate. Her experience also includes more than 20 years in the consumer packaged goods industry with PepsiCo, Inc. where she led the HR PepsiCo Customer teams for the company's five North American sales divisions including Frito-Lay, Pepsi, Tropicana, Quaker Oats and Gatorade. Ms. Warmbier is a director of Daseke, Inc., a leading provider of transportation and logistics solutions. She currently serves on the North Texas Food Bank Board of Directors and is a member of their NTFB Finance and Executive Committees. She is a former member of the Board of Directors of Girl Scouts Northeast Texas, a nonprofit organization, where she served on the CEO Selection Committee.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PART II</w:t>
      </w:r>
    </w:p>
    <w:p>
      <w:pPr>
        <w:spacing w:after="0" w:line="329" w:lineRule="exact"/>
        <w:rPr>
          <w:sz w:val="20"/>
          <w:szCs w:val="20"/>
          <w:color w:val="auto"/>
        </w:rPr>
      </w:pPr>
    </w:p>
    <w:p>
      <w:pPr>
        <w:jc w:val="both"/>
        <w:ind w:left="860" w:right="20" w:hanging="1215"/>
        <w:spacing w:after="0" w:line="286" w:lineRule="auto"/>
        <w:tabs>
          <w:tab w:leader="none" w:pos="840" w:val="left"/>
        </w:tabs>
        <w:rPr>
          <w:sz w:val="20"/>
          <w:szCs w:val="20"/>
          <w:color w:val="auto"/>
        </w:rPr>
      </w:pPr>
      <w:r>
        <w:rPr>
          <w:rFonts w:ascii="Arial" w:cs="Arial" w:eastAsia="Arial" w:hAnsi="Arial"/>
          <w:sz w:val="16"/>
          <w:szCs w:val="16"/>
          <w:b w:val="1"/>
          <w:bCs w:val="1"/>
          <w:color w:val="auto"/>
        </w:rPr>
        <w:t>ITEM 5.</w:t>
        <w:tab/>
        <w:t>MARKET FOR REGISTRANT’S COMMON EQUITY, RELATED STOCKHOLDER MATTERS AND ISSUER PURCHASES OF EQUITY SECURITIES</w:t>
      </w:r>
    </w:p>
    <w:p>
      <w:pPr>
        <w:spacing w:after="0" w:line="122" w:lineRule="exact"/>
        <w:rPr>
          <w:sz w:val="20"/>
          <w:szCs w:val="20"/>
          <w:color w:val="auto"/>
        </w:rPr>
      </w:pPr>
    </w:p>
    <w:p>
      <w:pPr>
        <w:jc w:val="both"/>
        <w:ind w:firstLine="486"/>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Our common stock is listed on the NASDAQ Global Select Market under the symbol “SABR.” As of February 21, 2020, there were 107 stockholders of record of our common stock. We expect to continue to pay quarterly cash dividends on our common stock, subject to declaration of our board of directors. The amount of future cash dividends, if any,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Our board of directors has declared a cash dividend </w:t>
      </w:r>
      <w:hyperlink w:anchor="page41">
        <w:r>
          <w:rPr>
            <w:rFonts w:ascii="Arial" w:cs="Arial" w:eastAsia="Arial" w:hAnsi="Arial"/>
            <w:sz w:val="16"/>
            <w:szCs w:val="16"/>
            <w:color w:val="auto"/>
          </w:rPr>
          <w:t xml:space="preserve">of $0.14 per share of common stock which will be paid on March 30, 2020 to stockholders of record as of March 20, 2020.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w:t>
        </w:r>
      </w:hyperlink>
      <w:r>
        <w:rPr>
          <w:rFonts w:ascii="Arial" w:cs="Arial" w:eastAsia="Arial" w:hAnsi="Arial"/>
          <w:sz w:val="16"/>
          <w:szCs w:val="16"/>
          <w:color w:val="auto"/>
        </w:rPr>
        <w:t xml:space="preserve"> </w:t>
      </w:r>
      <w:hyperlink w:anchor="page41">
        <w:r>
          <w:rPr>
            <w:rFonts w:ascii="Arial" w:cs="Arial" w:eastAsia="Arial" w:hAnsi="Arial"/>
            <w:sz w:val="16"/>
            <w:szCs w:val="16"/>
            <w:u w:val="single" w:color="auto"/>
            <w:color w:val="0000FF"/>
          </w:rPr>
          <w:t>Discussion and Analysis of Financial Condition and Results of Operations</w:t>
        </w:r>
        <w:r>
          <w:rPr>
            <w:rFonts w:ascii="Arial" w:cs="Arial" w:eastAsia="Arial" w:hAnsi="Arial"/>
            <w:sz w:val="16"/>
            <w:szCs w:val="16"/>
            <w:color w:val="000000"/>
          </w:rPr>
          <w:t>—</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000000"/>
          </w:rPr>
          <w:t>—Dividends.” There were no shares repurchased</w:t>
        </w:r>
      </w:hyperlink>
      <w:r>
        <w:rPr>
          <w:rFonts w:ascii="Arial" w:cs="Arial" w:eastAsia="Arial" w:hAnsi="Arial"/>
          <w:sz w:val="16"/>
          <w:szCs w:val="16"/>
          <w:color w:val="0000FF"/>
        </w:rPr>
        <w:t xml:space="preserve"> </w:t>
      </w:r>
      <w:hyperlink w:anchor="page41">
        <w:r>
          <w:rPr>
            <w:rFonts w:ascii="Arial" w:cs="Arial" w:eastAsia="Arial" w:hAnsi="Arial"/>
            <w:sz w:val="16"/>
            <w:szCs w:val="16"/>
            <w:color w:val="000000"/>
          </w:rPr>
          <w:t xml:space="preserve">during the fourth quarter of 2019. See </w:t>
        </w:r>
        <w:r>
          <w:rPr>
            <w:rFonts w:ascii="Arial" w:cs="Arial" w:eastAsia="Arial" w:hAnsi="Arial"/>
            <w:sz w:val="16"/>
            <w:szCs w:val="16"/>
            <w:u w:val="single" w:color="auto"/>
            <w:color w:val="0000FF"/>
          </w:rPr>
          <w:t>Item 7</w:t>
        </w:r>
        <w:r>
          <w:rPr>
            <w:rFonts w:ascii="Arial" w:cs="Arial" w:eastAsia="Arial" w:hAnsi="Arial"/>
            <w:sz w:val="16"/>
            <w:szCs w:val="16"/>
            <w:color w:val="000000"/>
          </w:rPr>
          <w:t>, "</w:t>
        </w:r>
        <w:r>
          <w:rPr>
            <w:rFonts w:ascii="Arial" w:cs="Arial" w:eastAsia="Arial" w:hAnsi="Arial"/>
            <w:sz w:val="16"/>
            <w:szCs w:val="16"/>
            <w:u w:val="single" w:color="auto"/>
            <w:color w:val="0000FF"/>
          </w:rPr>
          <w:t>Management's Discussion and Analysis of Financial Condition and Results of Operations</w:t>
        </w:r>
        <w:r>
          <w:rPr>
            <w:rFonts w:ascii="Arial" w:cs="Arial" w:eastAsia="Arial" w:hAnsi="Arial"/>
            <w:sz w:val="16"/>
            <w:szCs w:val="16"/>
            <w:color w:val="000000"/>
          </w:rPr>
          <w:t>—</w:t>
        </w:r>
        <w:r>
          <w:rPr>
            <w:rFonts w:ascii="Arial" w:cs="Arial" w:eastAsia="Arial" w:hAnsi="Arial"/>
            <w:sz w:val="16"/>
            <w:szCs w:val="16"/>
            <w:u w:val="single" w:color="auto"/>
            <w:color w:val="0000FF"/>
          </w:rPr>
          <w:t>Liquidity and Capital</w:t>
        </w:r>
      </w:hyperlink>
      <w:r>
        <w:rPr>
          <w:rFonts w:ascii="Arial" w:cs="Arial" w:eastAsia="Arial" w:hAnsi="Arial"/>
          <w:sz w:val="16"/>
          <w:szCs w:val="16"/>
          <w:color w:val="000000"/>
        </w:rPr>
        <w:t xml:space="preserve"> </w:t>
      </w:r>
      <w:hyperlink w:anchor="page41">
        <w:r>
          <w:rPr>
            <w:rFonts w:ascii="Arial" w:cs="Arial" w:eastAsia="Arial" w:hAnsi="Arial"/>
            <w:sz w:val="16"/>
            <w:szCs w:val="16"/>
            <w:u w:val="single" w:color="auto"/>
            <w:color w:val="0000FF"/>
          </w:rPr>
          <w:t>Resources</w:t>
        </w:r>
        <w:r>
          <w:rPr>
            <w:rFonts w:ascii="Arial" w:cs="Arial" w:eastAsia="Arial" w:hAnsi="Arial"/>
            <w:sz w:val="16"/>
            <w:szCs w:val="16"/>
            <w:color w:val="000000"/>
          </w:rPr>
          <w:t>—Recent Events Impacting Our Liquidity and Capital Resources—Share Repurchase Program."</w:t>
        </w:r>
      </w:hyperlink>
    </w:p>
    <w:p>
      <w:pPr>
        <w:spacing w:after="0" w:line="295"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33" w:lineRule="exact"/>
        <w:rPr>
          <w:rFonts w:ascii="Arial" w:cs="Arial" w:eastAsia="Arial" w:hAnsi="Arial"/>
          <w:sz w:val="16"/>
          <w:szCs w:val="16"/>
          <w:color w:val="0000FF"/>
        </w:rPr>
      </w:pPr>
    </w:p>
    <w:p>
      <w:pPr>
        <w:jc w:val="both"/>
        <w:ind w:firstLine="486"/>
        <w:spacing w:after="0" w:line="250" w:lineRule="auto"/>
        <w:rPr>
          <w:sz w:val="20"/>
          <w:szCs w:val="20"/>
          <w:color w:val="auto"/>
        </w:rPr>
      </w:pPr>
      <w:r>
        <w:rPr>
          <w:rFonts w:ascii="Arial" w:cs="Arial" w:eastAsia="Arial" w:hAnsi="Arial"/>
          <w:sz w:val="16"/>
          <w:szCs w:val="16"/>
          <w:color w:val="auto"/>
        </w:rPr>
        <w:t>The following graph shows a comparison from December 31, 2014 through December 31, 2019 of the cumulative total return for our common stock, the Nasdaq Composite Index ("NASDAQ Composite"), the Standard &amp; Poor's 500 Stock Index ("S&amp;P 500") and the Standard &amp; Poor's Software and Services Index ("S&amp;P 500/Software &amp; Services") (collectively, the "Indices"). The graph assumes that $100 was invested at the market close on December 31, 2014 in the common stock of Sabre Corporation and the Indices as well as reinvestments of dividends. The stock price performance of the following graph is not necessarily indicative of future stock price performance.</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1000125</wp:posOffset>
            </wp:positionH>
            <wp:positionV relativeFrom="paragraph">
              <wp:posOffset>59055</wp:posOffset>
            </wp:positionV>
            <wp:extent cx="5257165" cy="3258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7165" cy="3258820"/>
                    </a:xfrm>
                    <a:prstGeom prst="rect">
                      <a:avLst/>
                    </a:prstGeom>
                    <a:noFill/>
                  </pic:spPr>
                </pic:pic>
              </a:graphicData>
            </a:graphic>
          </wp:anchor>
        </w:drawing>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15" w:lineRule="exact"/>
        <w:rPr>
          <w:rFonts w:ascii="Arial" w:cs="Arial" w:eastAsia="Arial" w:hAnsi="Arial"/>
          <w:sz w:val="16"/>
          <w:szCs w:val="16"/>
          <w:color w:val="0000FF"/>
        </w:rPr>
      </w:pPr>
    </w:p>
    <w:p>
      <w:pPr>
        <w:jc w:val="both"/>
        <w:ind w:right="20" w:firstLine="486"/>
        <w:spacing w:after="0" w:line="253" w:lineRule="auto"/>
        <w:rPr>
          <w:sz w:val="20"/>
          <w:szCs w:val="20"/>
          <w:color w:val="auto"/>
        </w:rPr>
      </w:pPr>
      <w:r>
        <w:rPr>
          <w:rFonts w:ascii="Arial" w:cs="Arial" w:eastAsia="Arial" w:hAnsi="Arial"/>
          <w:sz w:val="16"/>
          <w:szCs w:val="16"/>
          <w:color w:val="auto"/>
        </w:rPr>
        <w:t>The stock price performance depicted in the above graph is not necessarily indicative of future price performance. 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200" w:lineRule="exact"/>
        <w:rPr>
          <w:rFonts w:ascii="Arial" w:cs="Arial" w:eastAsia="Arial" w:hAnsi="Arial"/>
          <w:sz w:val="16"/>
          <w:szCs w:val="16"/>
          <w:color w:val="0000FF"/>
        </w:rPr>
      </w:pPr>
    </w:p>
    <w:p>
      <w:pPr>
        <w:spacing w:after="0" w:line="366"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33" w:lineRule="exact"/>
        <w:rPr>
          <w:sz w:val="20"/>
          <w:szCs w:val="20"/>
          <w:color w:val="auto"/>
        </w:rPr>
      </w:pPr>
    </w:p>
    <w:p>
      <w:pPr>
        <w:jc w:val="both"/>
        <w:ind w:firstLine="486"/>
        <w:spacing w:after="0" w:line="253" w:lineRule="auto"/>
        <w:rPr>
          <w:rFonts w:ascii="Arial" w:cs="Arial" w:eastAsia="Arial" w:hAnsi="Arial"/>
          <w:sz w:val="16"/>
          <w:szCs w:val="16"/>
          <w:color w:val="0000FF"/>
        </w:rPr>
      </w:pPr>
      <w:hyperlink w:anchor="page34">
        <w:r>
          <w:rPr>
            <w:rFonts w:ascii="Arial" w:cs="Arial" w:eastAsia="Arial" w:hAnsi="Arial"/>
            <w:sz w:val="16"/>
            <w:szCs w:val="16"/>
            <w:color w:val="auto"/>
          </w:rPr>
          <w:t xml:space="preserve">The following selected financial data should be read in conjunction with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 Analysis of Financial Condition and</w:t>
        </w:r>
      </w:hyperlink>
      <w:r>
        <w:rPr>
          <w:rFonts w:ascii="Arial" w:cs="Arial" w:eastAsia="Arial" w:hAnsi="Arial"/>
          <w:sz w:val="16"/>
          <w:szCs w:val="16"/>
          <w:color w:val="auto"/>
        </w:rPr>
        <w:t xml:space="preserve"> </w:t>
      </w:r>
      <w:hyperlink w:anchor="page34">
        <w:r>
          <w:rPr>
            <w:rFonts w:ascii="Arial" w:cs="Arial" w:eastAsia="Arial" w:hAnsi="Arial"/>
            <w:sz w:val="16"/>
            <w:szCs w:val="16"/>
            <w:u w:val="single" w:color="auto"/>
            <w:color w:val="0000FF"/>
          </w:rPr>
          <w:t>Results of Operations</w:t>
        </w:r>
        <w:r>
          <w:rPr>
            <w:rFonts w:ascii="Arial" w:cs="Arial" w:eastAsia="Arial" w:hAnsi="Arial"/>
            <w:sz w:val="16"/>
            <w:szCs w:val="16"/>
            <w:color w:val="000000"/>
          </w:rPr>
          <w:t>,” and our consolidated financial statements and notes thereto contained in</w:t>
        </w:r>
        <w:r>
          <w:rPr>
            <w:rFonts w:ascii="Arial" w:cs="Arial" w:eastAsia="Arial" w:hAnsi="Arial"/>
            <w:sz w:val="16"/>
            <w:szCs w:val="16"/>
            <w:color w:val="0000FF"/>
          </w:rPr>
          <w:t xml:space="preserve"> </w:t>
        </w:r>
      </w:hyperlink>
      <w:hyperlink w:anchor="page52">
        <w:r>
          <w:rPr>
            <w:rFonts w:ascii="Arial" w:cs="Arial" w:eastAsia="Arial" w:hAnsi="Arial"/>
            <w:sz w:val="16"/>
            <w:szCs w:val="16"/>
            <w:u w:val="single" w:color="auto"/>
            <w:color w:val="0000FF"/>
          </w:rPr>
          <w:t>Item 8</w:t>
        </w:r>
      </w:hyperlink>
      <w:hyperlink w:anchor="page34">
        <w:r>
          <w:rPr>
            <w:rFonts w:ascii="Arial" w:cs="Arial" w:eastAsia="Arial" w:hAnsi="Arial"/>
            <w:sz w:val="16"/>
            <w:szCs w:val="16"/>
            <w:color w:val="000000"/>
          </w:rPr>
          <w:t>, “</w:t>
        </w:r>
      </w:hyperlink>
      <w:hyperlink w:anchor="page52">
        <w:r>
          <w:rPr>
            <w:rFonts w:ascii="Arial" w:cs="Arial" w:eastAsia="Arial" w:hAnsi="Arial"/>
            <w:sz w:val="16"/>
            <w:szCs w:val="16"/>
            <w:u w:val="single" w:color="auto"/>
            <w:color w:val="0000FF"/>
          </w:rPr>
          <w:t>Financial Statements and Supplementary Data</w:t>
        </w:r>
      </w:hyperlink>
      <w:hyperlink w:anchor="page34">
        <w:r>
          <w:rPr>
            <w:rFonts w:ascii="Arial" w:cs="Arial" w:eastAsia="Arial" w:hAnsi="Arial"/>
            <w:sz w:val="16"/>
            <w:szCs w:val="16"/>
            <w:color w:val="000000"/>
          </w:rPr>
          <w:t>,” of</w:t>
        </w:r>
      </w:hyperlink>
      <w:r>
        <w:rPr>
          <w:rFonts w:ascii="Arial" w:cs="Arial" w:eastAsia="Arial" w:hAnsi="Arial"/>
          <w:sz w:val="16"/>
          <w:szCs w:val="16"/>
          <w:color w:val="0000FF"/>
        </w:rPr>
        <w:t xml:space="preserve"> </w:t>
      </w:r>
      <w:r>
        <w:rPr>
          <w:rFonts w:ascii="Arial" w:cs="Arial" w:eastAsia="Arial" w:hAnsi="Arial"/>
          <w:sz w:val="16"/>
          <w:szCs w:val="16"/>
          <w:color w:val="000000"/>
        </w:rPr>
        <w:t>this Annual Report on Form 10-K.</w:t>
      </w:r>
    </w:p>
    <w:p>
      <w:pPr>
        <w:spacing w:after="0" w:line="201" w:lineRule="exact"/>
        <w:rPr>
          <w:rFonts w:ascii="Arial" w:cs="Arial" w:eastAsia="Arial" w:hAnsi="Arial"/>
          <w:sz w:val="16"/>
          <w:szCs w:val="16"/>
          <w:color w:val="0000FF"/>
        </w:rPr>
      </w:pPr>
    </w:p>
    <w:p>
      <w:pPr>
        <w:jc w:val="both"/>
        <w:ind w:firstLine="486"/>
        <w:spacing w:after="0" w:line="249" w:lineRule="auto"/>
        <w:rPr>
          <w:rFonts w:ascii="Arial" w:cs="Arial" w:eastAsia="Arial" w:hAnsi="Arial"/>
          <w:sz w:val="16"/>
          <w:szCs w:val="16"/>
          <w:color w:val="0000FF"/>
        </w:rPr>
      </w:pPr>
      <w:r>
        <w:rPr>
          <w:rFonts w:ascii="Arial" w:cs="Arial" w:eastAsia="Arial" w:hAnsi="Arial"/>
          <w:sz w:val="16"/>
          <w:szCs w:val="16"/>
          <w:color w:val="auto"/>
        </w:rPr>
        <w:t xml:space="preserve">The consolidated statements of operations data and consolidated statements of cash flows data for the years ended December 31, 2019, 2018 and 2017 and the consolidated balance sheet data as of December 31, 2019 and 2018 are derived from our audited consolidated financial statements contained in </w:t>
      </w:r>
      <w:hyperlink w:anchor="page52">
        <w:r>
          <w:rPr>
            <w:rFonts w:ascii="Arial" w:cs="Arial" w:eastAsia="Arial" w:hAnsi="Arial"/>
            <w:sz w:val="16"/>
            <w:szCs w:val="16"/>
            <w:u w:val="single" w:color="auto"/>
            <w:color w:val="0000FF"/>
          </w:rPr>
          <w:t>Item 8</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w:t>
      </w:r>
      <w:hyperlink w:anchor="page52">
        <w:r>
          <w:rPr>
            <w:rFonts w:ascii="Arial" w:cs="Arial" w:eastAsia="Arial" w:hAnsi="Arial"/>
            <w:sz w:val="16"/>
            <w:szCs w:val="16"/>
            <w:u w:val="single" w:color="auto"/>
            <w:color w:val="0000FF"/>
          </w:rPr>
          <w:t>Financial Statements and Supplementary Data</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of this Annual Report on Form 10-K. The consolidated statements of operations data and</w:t>
      </w:r>
      <w:r>
        <w:rPr>
          <w:rFonts w:ascii="Arial" w:cs="Arial" w:eastAsia="Arial" w:hAnsi="Arial"/>
          <w:sz w:val="16"/>
          <w:szCs w:val="16"/>
          <w:color w:val="0000FF"/>
        </w:rPr>
        <w:t xml:space="preserve"> </w:t>
      </w:r>
      <w:r>
        <w:rPr>
          <w:rFonts w:ascii="Arial" w:cs="Arial" w:eastAsia="Arial" w:hAnsi="Arial"/>
          <w:sz w:val="16"/>
          <w:szCs w:val="16"/>
          <w:color w:val="000000"/>
        </w:rPr>
        <w:t>consolidated statements of cash flows data for the years ended December 31, 2016 and 2015 and the consolidated balance sheet data as of December 31, 2017, 2016, and 2015 are derived from audited consolidated financial statements not included in this Annual Report on Form 10-K. Our historical results are not necessarily indicative of the results to be expected in the future. All amounts presented below are in thousands,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3"/>
                <w:szCs w:val="13"/>
                <w:b w:val="1"/>
                <w:bCs w:val="1"/>
                <w:color w:val="auto"/>
                <w:w w:val="96"/>
              </w:rPr>
              <w:t>Year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73"/>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0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8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8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80"/>
              <w:spacing w:after="0"/>
              <w:rPr>
                <w:sz w:val="20"/>
                <w:szCs w:val="20"/>
                <w:color w:val="auto"/>
              </w:rPr>
            </w:pPr>
            <w:r>
              <w:rPr>
                <w:rFonts w:ascii="Arial" w:cs="Arial" w:eastAsia="Arial" w:hAnsi="Arial"/>
                <w:sz w:val="13"/>
                <w:szCs w:val="13"/>
                <w:b w:val="1"/>
                <w:bCs w:val="1"/>
                <w:color w:val="auto"/>
              </w:rPr>
              <w:t>2015</w:t>
            </w:r>
          </w:p>
        </w:tc>
      </w:tr>
      <w:tr>
        <w:trPr>
          <w:trHeight w:val="30"/>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3,974,988</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3,866,956</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3,598,484</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3,373,387</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2,960,896</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income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363,417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562,016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493,440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459,572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459,769</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Income from continuing operations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164,312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340,921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249,576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241,390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234,555</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(Loss) Income from discontinued operations, net of tax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314,408</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Net income attributable to common stockholders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158,592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337,531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242,531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242,562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545,482</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2.00</w:t>
            </w: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274,168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276,893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277,546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273,139</w:t>
            </w:r>
          </w:p>
        </w:tc>
      </w:tr>
      <w:tr>
        <w:trPr>
          <w:trHeight w:val="233"/>
        </w:trPr>
        <w:tc>
          <w:tcPr>
            <w:tcW w:w="5020" w:type="dxa"/>
            <w:vAlign w:val="bottom"/>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276,217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277,518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278,320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282,752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280,067</w:t>
            </w:r>
          </w:p>
        </w:tc>
      </w:tr>
      <w:tr>
        <w:trPr>
          <w:trHeight w:val="226"/>
        </w:trPr>
        <w:tc>
          <w:tcPr>
            <w:tcW w:w="5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Cash Flows Data:</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581,260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724,797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678,033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699,400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529,207</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(243,026)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(275,259)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(317,525)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(445,808)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(729,041)</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(409,721)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(356,780)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(190,025)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93,144</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Additions to property and equipment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115,166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283,940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316,436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327,647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286,697</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interest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157,648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149,572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151,495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154,307</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Financial Data:</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1,391,806</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1,521,408</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1,500,186</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1,460,675</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1,316,820</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513,408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706,149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720,361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653,105</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279,215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427,570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390,118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370,937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308,072</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946,360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1,124,390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1,078,571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1,046,646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941,587</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466,094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440,857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361,597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371,753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242,510</w:t>
            </w:r>
          </w:p>
        </w:tc>
      </w:tr>
      <w:tr>
        <w:trPr>
          <w:trHeight w:val="226"/>
        </w:trPr>
        <w:tc>
          <w:tcPr>
            <w:tcW w:w="5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Key Metrics: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Network</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5020" w:type="dxa"/>
            <w:vAlign w:val="bottom"/>
          </w:tcPr>
          <w:p>
            <w:pPr>
              <w:ind w:left="220"/>
              <w:spacing w:after="0"/>
              <w:rPr>
                <w:sz w:val="20"/>
                <w:szCs w:val="20"/>
                <w:color w:val="auto"/>
              </w:rPr>
            </w:pPr>
            <w:r>
              <w:rPr>
                <w:rFonts w:ascii="Arial" w:cs="Arial" w:eastAsia="Arial" w:hAnsi="Arial"/>
                <w:sz w:val="16"/>
                <w:szCs w:val="16"/>
                <w:color w:val="auto"/>
              </w:rPr>
              <w:t>Direct Billable Bookings - Air</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499,111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491,820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462,381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445,050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384,309</w:t>
            </w:r>
          </w:p>
        </w:tc>
      </w:tr>
      <w:tr>
        <w:trPr>
          <w:trHeight w:val="253"/>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Lodging, Ground and Sea</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67,197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62,443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60,421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58,414</w:t>
            </w:r>
          </w:p>
        </w:tc>
      </w:tr>
      <w:tr>
        <w:trPr>
          <w:trHeight w:val="233"/>
        </w:trPr>
        <w:tc>
          <w:tcPr>
            <w:tcW w:w="5020" w:type="dxa"/>
            <w:vAlign w:val="bottom"/>
          </w:tcPr>
          <w:p>
            <w:pPr>
              <w:ind w:left="220"/>
              <w:spacing w:after="0"/>
              <w:rPr>
                <w:sz w:val="20"/>
                <w:szCs w:val="20"/>
                <w:color w:val="auto"/>
              </w:rPr>
            </w:pPr>
            <w:r>
              <w:rPr>
                <w:rFonts w:ascii="Arial" w:cs="Arial" w:eastAsia="Arial" w:hAnsi="Arial"/>
                <w:sz w:val="16"/>
                <w:szCs w:val="16"/>
                <w:color w:val="auto"/>
              </w:rPr>
              <w:t>Total Direct Billable Bookings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566,308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558,274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524,824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505,471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442,723</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Airline Solutions Passengers Boarded</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741,107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752,548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772,149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789,260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584,876</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Hospitality Solutions Central Reservations System Transactions</w:t>
            </w:r>
          </w:p>
        </w:tc>
        <w:tc>
          <w:tcPr>
            <w:tcW w:w="2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108,482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9"/>
                <w:szCs w:val="19"/>
                <w:color w:val="auto"/>
              </w:rPr>
            </w:pPr>
          </w:p>
        </w:tc>
        <w:tc>
          <w:tcPr>
            <w:tcW w:w="980" w:type="dxa"/>
            <w:vAlign w:val="bottom"/>
          </w:tcPr>
          <w:p>
            <w:pPr>
              <w:jc w:val="right"/>
              <w:ind w:right="440"/>
              <w:spacing w:after="0"/>
              <w:rPr>
                <w:sz w:val="20"/>
                <w:szCs w:val="20"/>
                <w:color w:val="auto"/>
              </w:rPr>
            </w:pPr>
            <w:r>
              <w:rPr>
                <w:rFonts w:ascii="Arial" w:cs="Arial" w:eastAsia="Arial" w:hAnsi="Arial"/>
                <w:sz w:val="16"/>
                <w:szCs w:val="16"/>
                <w:color w:val="auto"/>
              </w:rPr>
              <w:t>N/A</w:t>
            </w:r>
          </w:p>
        </w:tc>
      </w:tr>
    </w:tbl>
    <w:p>
      <w:pPr>
        <w:spacing w:after="0" w:line="11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________________________________</w:t>
      </w:r>
    </w:p>
    <w:p>
      <w:pPr>
        <w:spacing w:after="0" w:line="118" w:lineRule="exact"/>
        <w:rPr>
          <w:sz w:val="20"/>
          <w:szCs w:val="20"/>
          <w:color w:val="auto"/>
        </w:rPr>
      </w:pPr>
    </w:p>
    <w:p>
      <w:pPr>
        <w:ind w:left="340" w:hanging="332"/>
        <w:spacing w:after="0" w:line="250" w:lineRule="auto"/>
        <w:tabs>
          <w:tab w:leader="none" w:pos="245"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first quarter of 2018, we adopted the comprehensive update to revenue recognition guidance in accordance with Accounting Standards Codification ("ASC") 606, Revenue from Contracts with Customers ("ASC 606"), on a prospective basis from January 1, 2018. See Note 2. Revenue from Contracts with Customers with Customers, to our consolidated financial statements.</w:t>
      </w:r>
    </w:p>
    <w:p>
      <w:pPr>
        <w:sectPr>
          <w:pgSz w:w="11900" w:h="16838" w:orient="portrait"/>
          <w:cols w:equalWidth="0" w:num="1">
            <w:col w:w="11420"/>
          </w:cols>
          <w:pgMar w:left="240" w:top="12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2"/>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42"/>
              <w:spacing w:after="0"/>
              <w:rPr>
                <w:sz w:val="20"/>
                <w:szCs w:val="20"/>
                <w:color w:val="auto"/>
              </w:rPr>
            </w:pPr>
            <w:r>
              <w:rPr>
                <w:rFonts w:ascii="Arial" w:cs="Arial" w:eastAsia="Arial" w:hAnsi="Arial"/>
                <w:sz w:val="13"/>
                <w:szCs w:val="13"/>
                <w:b w:val="1"/>
                <w:bCs w:val="1"/>
                <w:color w:val="auto"/>
              </w:rPr>
              <w:t>2015</w:t>
            </w:r>
          </w:p>
        </w:tc>
      </w:tr>
      <w:tr>
        <w:trPr>
          <w:trHeight w:val="30"/>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3"/>
        </w:trPr>
        <w:tc>
          <w:tcPr>
            <w:tcW w:w="53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436,176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509,265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361,381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364,114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321,132</w:t>
            </w:r>
          </w:p>
        </w:tc>
      </w:tr>
      <w:tr>
        <w:trPr>
          <w:trHeight w:val="25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 (2) (3)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5,689,957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5,806,381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5,649,364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5,724,570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5,393,627</w:t>
            </w:r>
          </w:p>
        </w:tc>
      </w:tr>
      <w:tr>
        <w:trPr>
          <w:trHeight w:val="243"/>
        </w:trPr>
        <w:tc>
          <w:tcPr>
            <w:tcW w:w="5360" w:type="dxa"/>
            <w:vAlign w:val="bottom"/>
          </w:tcPr>
          <w:p>
            <w:pPr>
              <w:ind w:left="2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3,261,821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3,337,467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3,398,731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3,276,281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3,169,344</w:t>
            </w: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Working capital surplus (deficit) </w:t>
            </w:r>
            <w:r>
              <w:rPr>
                <w:rFonts w:ascii="Arial" w:cs="Arial" w:eastAsia="Arial" w:hAnsi="Arial"/>
                <w:sz w:val="21"/>
                <w:szCs w:val="21"/>
                <w:color w:val="auto"/>
                <w:vertAlign w:val="superscript"/>
              </w:rPr>
              <w:t>(2) (3)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96,377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169,235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(11,455)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(312,977)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(222,400)</w:t>
            </w:r>
          </w:p>
        </w:tc>
      </w:tr>
      <w:tr>
        <w:trPr>
          <w:trHeight w:val="233"/>
        </w:trPr>
        <w:tc>
          <w:tcPr>
            <w:tcW w:w="536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8,588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5,198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1,438</w:t>
            </w:r>
          </w:p>
        </w:tc>
      </w:tr>
      <w:tr>
        <w:trPr>
          <w:trHeight w:val="25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Total stockholders’ equity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947,669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974,271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698,500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625,615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484,140</w:t>
            </w:r>
          </w:p>
        </w:tc>
      </w:tr>
    </w:tbl>
    <w:p>
      <w:pPr>
        <w:spacing w:after="0" w:line="9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________________________________</w:t>
      </w:r>
    </w:p>
    <w:p>
      <w:pPr>
        <w:spacing w:after="0" w:line="118" w:lineRule="exact"/>
        <w:rPr>
          <w:sz w:val="20"/>
          <w:szCs w:val="20"/>
          <w:color w:val="auto"/>
        </w:rPr>
      </w:pPr>
    </w:p>
    <w:p>
      <w:pPr>
        <w:ind w:left="340" w:right="20" w:hanging="332"/>
        <w:spacing w:after="0" w:line="241" w:lineRule="auto"/>
        <w:tabs>
          <w:tab w:leader="none" w:pos="241"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the first quarter of 2019, we adopted new lease accounting guidance on a modified retrospective basis in accordance with ASC 842, Leases. See Note 11. Leases, to our consolidated financial statements.</w:t>
      </w:r>
    </w:p>
    <w:p>
      <w:pPr>
        <w:ind w:left="340" w:hanging="332"/>
        <w:spacing w:after="0" w:line="241" w:lineRule="auto"/>
        <w:tabs>
          <w:tab w:leader="none" w:pos="249"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the first quarter of 2018, we adopted the comprehensive update to revenue recognition guidance, ASC 606, on a prospective basis from January 1, 2018. See Note 2. Revenue from Contracts with Customers , to our consolidated financial statements.</w:t>
      </w:r>
    </w:p>
    <w:p>
      <w:pPr>
        <w:ind w:left="340" w:hanging="332"/>
        <w:spacing w:after="0" w:line="258"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the fourth quarter of 2015, we adopted new accounting standards that changed the presentation of deferred tax assets and liabilities and debt issuance costs and were applied retrospectively.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reconciliation of net income (loss) attributable to common stockholders to Adjusted Net Income, Adjusted EBITDA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3"/>
                <w:szCs w:val="13"/>
                <w:b w:val="1"/>
                <w:bCs w:val="1"/>
                <w:color w:val="auto"/>
                <w:w w:val="96"/>
              </w:rPr>
              <w:t>Year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3"/>
        </w:trPr>
        <w:tc>
          <w:tcPr>
            <w:tcW w:w="5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6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6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60"/>
              <w:spacing w:after="0"/>
              <w:rPr>
                <w:sz w:val="20"/>
                <w:szCs w:val="20"/>
                <w:color w:val="auto"/>
              </w:rPr>
            </w:pPr>
            <w:r>
              <w:rPr>
                <w:rFonts w:ascii="Arial" w:cs="Arial" w:eastAsia="Arial" w:hAnsi="Arial"/>
                <w:sz w:val="13"/>
                <w:szCs w:val="13"/>
                <w:b w:val="1"/>
                <w:bCs w:val="1"/>
                <w:color w:val="auto"/>
              </w:rPr>
              <w:t>2015</w:t>
            </w:r>
          </w:p>
        </w:tc>
      </w:tr>
      <w:tr>
        <w:trPr>
          <w:trHeight w:val="30"/>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158,592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337,531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242,531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242,562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545,482</w:t>
            </w:r>
          </w:p>
        </w:tc>
      </w:tr>
      <w:tr>
        <w:trPr>
          <w:trHeight w:val="233"/>
        </w:trPr>
        <w:tc>
          <w:tcPr>
            <w:tcW w:w="5240" w:type="dxa"/>
            <w:vAlign w:val="bottom"/>
          </w:tcPr>
          <w:p>
            <w:pPr>
              <w:ind w:left="340"/>
              <w:spacing w:after="0"/>
              <w:rPr>
                <w:sz w:val="20"/>
                <w:szCs w:val="20"/>
                <w:color w:val="auto"/>
              </w:rPr>
            </w:pPr>
            <w:r>
              <w:rPr>
                <w:rFonts w:ascii="Arial" w:cs="Arial" w:eastAsia="Arial" w:hAnsi="Arial"/>
                <w:sz w:val="16"/>
                <w:szCs w:val="16"/>
                <w:color w:val="auto"/>
              </w:rPr>
              <w:t>Loss (Income) from discontinued operations, net of tax</w:t>
            </w:r>
          </w:p>
        </w:tc>
        <w:tc>
          <w:tcPr>
            <w:tcW w:w="24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(314,408)</w:t>
            </w:r>
          </w:p>
        </w:tc>
      </w:tr>
      <w:tr>
        <w:trPr>
          <w:trHeight w:val="25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5,113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4,377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3,481</w:t>
            </w: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164,312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340,921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249,576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241,390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234,555</w:t>
            </w:r>
          </w:p>
        </w:tc>
      </w:tr>
      <w:tr>
        <w:trPr>
          <w:trHeight w:val="25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5240" w:type="dxa"/>
            <w:vAlign w:val="bottom"/>
          </w:tcPr>
          <w:p>
            <w:pPr>
              <w:ind w:left="360"/>
              <w:spacing w:after="0"/>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81,112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64,604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95,860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143,425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108,121</w:t>
            </w:r>
          </w:p>
        </w:tc>
      </w:tr>
      <w:tr>
        <w:trPr>
          <w:trHeight w:val="233"/>
        </w:trPr>
        <w:tc>
          <w:tcPr>
            <w:tcW w:w="524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38,783</w:t>
            </w:r>
          </w:p>
        </w:tc>
      </w:tr>
      <w:tr>
        <w:trPr>
          <w:trHeight w:val="25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9,432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(36,530)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(27,617)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(91,377)</w:t>
            </w:r>
          </w:p>
        </w:tc>
      </w:tr>
      <w:tr>
        <w:trPr>
          <w:trHeight w:val="243"/>
        </w:trPr>
        <w:tc>
          <w:tcPr>
            <w:tcW w:w="5240" w:type="dxa"/>
            <w:vAlign w:val="bottom"/>
          </w:tcPr>
          <w:p>
            <w:pPr>
              <w:ind w:left="36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23,975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9,256</w:t>
            </w:r>
          </w:p>
        </w:tc>
      </w:tr>
      <w:tr>
        <w:trPr>
          <w:trHeight w:val="24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41,037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14,437</w:t>
            </w:r>
          </w:p>
        </w:tc>
      </w:tr>
      <w:tr>
        <w:trPr>
          <w:trHeight w:val="243"/>
        </w:trPr>
        <w:tc>
          <w:tcPr>
            <w:tcW w:w="5240" w:type="dxa"/>
            <w:vAlign w:val="bottom"/>
          </w:tcPr>
          <w:p>
            <w:pPr>
              <w:ind w:left="36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40" w:type="dxa"/>
            <w:vAlign w:val="bottom"/>
          </w:tcPr>
          <w:p>
            <w:pPr>
              <w:spacing w:after="0"/>
              <w:rPr>
                <w:sz w:val="21"/>
                <w:szCs w:val="21"/>
                <w:color w:val="auto"/>
              </w:rPr>
            </w:pPr>
          </w:p>
        </w:tc>
        <w:tc>
          <w:tcPr>
            <w:tcW w:w="900" w:type="dxa"/>
            <w:vAlign w:val="bottom"/>
          </w:tcPr>
          <w:p>
            <w:pPr>
              <w:ind w:left="200"/>
              <w:spacing w:after="0"/>
              <w:rPr>
                <w:sz w:val="20"/>
                <w:szCs w:val="20"/>
                <w:color w:val="auto"/>
              </w:rPr>
            </w:pPr>
            <w:r>
              <w:rPr>
                <w:rFonts w:ascii="Arial" w:cs="Arial" w:eastAsia="Arial" w:hAnsi="Arial"/>
                <w:sz w:val="16"/>
                <w:szCs w:val="16"/>
                <w:color w:val="auto"/>
              </w:rPr>
              <w:t>(24,579)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Arial" w:cs="Arial" w:eastAsia="Arial" w:hAnsi="Arial"/>
                <w:sz w:val="16"/>
                <w:szCs w:val="16"/>
                <w:color w:val="auto"/>
              </w:rPr>
              <w:t>(35,507)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46,995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16,709</w:t>
            </w:r>
          </w:p>
        </w:tc>
      </w:tr>
      <w:tr>
        <w:trPr>
          <w:trHeight w:val="24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66,885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44,689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48,524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29,971</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Tax impact of net income adjustments</w:t>
            </w:r>
            <w:r>
              <w:rPr>
                <w:rFonts w:ascii="Arial" w:cs="Arial" w:eastAsia="Arial" w:hAnsi="Arial"/>
                <w:sz w:val="21"/>
                <w:szCs w:val="21"/>
                <w:color w:val="auto"/>
                <w:vertAlign w:val="superscript"/>
              </w:rPr>
              <w:t>(9), (10)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(42,476)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(59,353)</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(34,069)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(104,528)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(52,383)</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from continuing operations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279,215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427,570</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390,118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370,937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308,072</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6"/>
                <w:szCs w:val="16"/>
                <w:color w:val="auto"/>
              </w:rPr>
              <w:t>Adjusted Net Income from continuing operations per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1.10</w:t>
            </w:r>
          </w:p>
        </w:tc>
      </w:tr>
      <w:tr>
        <w:trPr>
          <w:trHeight w:val="25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276,217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278,320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282,752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280,067</w:t>
            </w:r>
          </w:p>
        </w:tc>
      </w:tr>
      <w:tr>
        <w:trPr>
          <w:trHeight w:val="149"/>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from continuing operations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279,215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427,570</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390,118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370,937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308,072</w:t>
            </w:r>
          </w:p>
        </w:tc>
      </w:tr>
      <w:tr>
        <w:trPr>
          <w:trHeight w:val="233"/>
        </w:trPr>
        <w:tc>
          <w:tcPr>
            <w:tcW w:w="52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310,573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264,880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233,303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213,520</w:t>
            </w:r>
          </w:p>
        </w:tc>
      </w:tr>
      <w:tr>
        <w:trPr>
          <w:trHeight w:val="243"/>
        </w:trPr>
        <w:tc>
          <w:tcPr>
            <w:tcW w:w="5240" w:type="dxa"/>
            <w:vAlign w:val="bottom"/>
          </w:tcPr>
          <w:p>
            <w:pPr>
              <w:ind w:left="36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39,444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41,724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37,258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31,441</w:t>
            </w:r>
          </w:p>
        </w:tc>
      </w:tr>
      <w:tr>
        <w:trPr>
          <w:trHeight w:val="243"/>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82,935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67,411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55,724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43,521</w:t>
            </w:r>
          </w:p>
        </w:tc>
      </w:tr>
      <w:tr>
        <w:trPr>
          <w:trHeight w:val="233"/>
        </w:trPr>
        <w:tc>
          <w:tcPr>
            <w:tcW w:w="524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156,391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153,925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158,251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173,298</w:t>
            </w:r>
          </w:p>
        </w:tc>
      </w:tr>
      <w:tr>
        <w:trPr>
          <w:trHeight w:val="253"/>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Remaining provision for income taxes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77,802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116,845</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162,106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191,173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171,735</w:t>
            </w: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946,360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1,124,390</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1,078,571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1,046,646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941,587</w:t>
            </w:r>
          </w:p>
        </w:tc>
      </w:tr>
      <w:tr>
        <w:trPr>
          <w:trHeight w:val="25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414,621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413,344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400,871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413,986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351,480</w:t>
            </w:r>
          </w:p>
        </w:tc>
      </w:tr>
      <w:tr>
        <w:trPr>
          <w:trHeight w:val="243"/>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82,935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67,411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55,724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43,521</w:t>
            </w:r>
          </w:p>
        </w:tc>
      </w:tr>
      <w:tr>
        <w:trPr>
          <w:trHeight w:val="243"/>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Acquisition related amortization</w:t>
            </w:r>
            <w:r>
              <w:rPr>
                <w:rFonts w:ascii="Arial" w:cs="Arial" w:eastAsia="Arial" w:hAnsi="Arial"/>
                <w:sz w:val="21"/>
                <w:szCs w:val="21"/>
                <w:color w:val="auto"/>
                <w:vertAlign w:val="superscript"/>
              </w:rPr>
              <w:t>(3a)</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(64,604)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(68,008)</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(95,860)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(143,425)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(106,519)</w:t>
            </w: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513,408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701,432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706,149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720,361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653,105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59"/>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0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8"/>
        </w:trPr>
        <w:tc>
          <w:tcPr>
            <w:tcW w:w="5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color w:val="auto"/>
        </w:rPr>
        <w:t>The following tables set forth the reconciliation of operating income (loss) in our statement of operations to Adjusted Gross Profit, Adjusted EBITDA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(Loss) by business segment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Year Ended December 31, 2019</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0"/>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80"/>
              <w:spacing w:after="0" w:line="140" w:lineRule="exact"/>
              <w:rPr>
                <w:sz w:val="20"/>
                <w:szCs w:val="20"/>
                <w:color w:val="auto"/>
              </w:rPr>
            </w:pPr>
            <w:r>
              <w:rPr>
                <w:rFonts w:ascii="Arial" w:cs="Arial" w:eastAsia="Arial" w:hAnsi="Arial"/>
                <w:sz w:val="13"/>
                <w:szCs w:val="13"/>
                <w:b w:val="1"/>
                <w:bCs w:val="1"/>
                <w:color w:val="auto"/>
              </w:rPr>
              <w:t>Travel</w:t>
            </w:r>
          </w:p>
        </w:tc>
        <w:tc>
          <w:tcPr>
            <w:tcW w:w="200" w:type="dxa"/>
            <w:vAlign w:val="bottom"/>
          </w:tcPr>
          <w:p>
            <w:pPr>
              <w:spacing w:after="0"/>
              <w:rPr>
                <w:sz w:val="12"/>
                <w:szCs w:val="12"/>
                <w:color w:val="auto"/>
              </w:rPr>
            </w:pPr>
          </w:p>
        </w:tc>
        <w:tc>
          <w:tcPr>
            <w:tcW w:w="780" w:type="dxa"/>
            <w:vAlign w:val="bottom"/>
          </w:tcPr>
          <w:p>
            <w:pPr>
              <w:jc w:val="right"/>
              <w:ind w:right="161"/>
              <w:spacing w:after="0" w:line="140" w:lineRule="exact"/>
              <w:rPr>
                <w:sz w:val="20"/>
                <w:szCs w:val="20"/>
                <w:color w:val="auto"/>
              </w:rPr>
            </w:pPr>
            <w:r>
              <w:rPr>
                <w:rFonts w:ascii="Arial" w:cs="Arial" w:eastAsia="Arial" w:hAnsi="Arial"/>
                <w:sz w:val="13"/>
                <w:szCs w:val="13"/>
                <w:b w:val="1"/>
                <w:bCs w:val="1"/>
                <w:color w:val="auto"/>
              </w:rPr>
              <w:t>Airline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Hospitality</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8"/>
        </w:trPr>
        <w:tc>
          <w:tcPr>
            <w:tcW w:w="5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Network</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Solutions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Solutions</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Corporate</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Total</w:t>
            </w: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646,794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80,428</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(21,632)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   (342,173)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363,417</w:t>
            </w: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178,664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38,597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273,506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576,568</w:t>
            </w:r>
          </w:p>
        </w:tc>
      </w:tr>
      <w:tr>
        <w:trPr>
          <w:trHeight w:val="233"/>
        </w:trPr>
        <w:tc>
          <w:tcPr>
            <w:tcW w:w="5100" w:type="dxa"/>
            <w:vAlign w:val="bottom"/>
          </w:tcPr>
          <w:p>
            <w:pPr>
              <w:ind w:left="22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51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108,302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160,381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47,877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24,329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340,889</w:t>
            </w:r>
          </w:p>
        </w:tc>
      </w:tr>
      <w:tr>
        <w:trPr>
          <w:trHeight w:val="243"/>
        </w:trPr>
        <w:tc>
          <w:tcPr>
            <w:tcW w:w="5100" w:type="dxa"/>
            <w:vAlign w:val="bottom"/>
          </w:tcPr>
          <w:p>
            <w:pPr>
              <w:ind w:left="5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82,935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82,935</w:t>
            </w:r>
          </w:p>
        </w:tc>
      </w:tr>
      <w:tr>
        <w:trPr>
          <w:trHeight w:val="237"/>
        </w:trPr>
        <w:tc>
          <w:tcPr>
            <w:tcW w:w="5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27,997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27,997</w:t>
            </w: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1,016,695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326,610</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64,842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(16,341)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1,391,806</w:t>
            </w:r>
          </w:p>
        </w:tc>
      </w:tr>
      <w:tr>
        <w:trPr>
          <w:trHeight w:val="25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(178,664)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(85,801)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(38,597)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(273,506)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(576,568)</w:t>
            </w: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Joint venture equity income</w:t>
            </w:r>
          </w:p>
        </w:tc>
        <w:tc>
          <w:tcPr>
            <w:tcW w:w="180" w:type="dxa"/>
            <w:vAlign w:val="bottom"/>
          </w:tcPr>
          <w:p>
            <w:pPr>
              <w:spacing w:after="0"/>
              <w:rPr>
                <w:sz w:val="20"/>
                <w:szCs w:val="20"/>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2,044</w:t>
            </w:r>
          </w:p>
        </w:tc>
      </w:tr>
      <w:tr>
        <w:trPr>
          <w:trHeight w:val="25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510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12,781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5,221</w:t>
            </w:r>
          </w:p>
        </w:tc>
        <w:tc>
          <w:tcPr>
            <w:tcW w:w="100" w:type="dxa"/>
            <w:vAlign w:val="bottom"/>
          </w:tcPr>
          <w:p>
            <w:pPr>
              <w:spacing w:after="0"/>
              <w:rPr>
                <w:sz w:val="21"/>
                <w:szCs w:val="21"/>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45,097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73,732</w:t>
            </w:r>
          </w:p>
        </w:tc>
      </w:tr>
      <w:tr>
        <w:trPr>
          <w:trHeight w:val="243"/>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41,037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41,037</w:t>
            </w:r>
          </w:p>
        </w:tc>
      </w:tr>
      <w:tr>
        <w:trPr>
          <w:trHeight w:val="243"/>
        </w:trPr>
        <w:tc>
          <w:tcPr>
            <w:tcW w:w="5100" w:type="dxa"/>
            <w:vAlign w:val="bottom"/>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(24,579)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(24,579)</w:t>
            </w:r>
          </w:p>
        </w:tc>
      </w:tr>
      <w:tr>
        <w:trPr>
          <w:trHeight w:val="237"/>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38,888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38,888</w:t>
            </w: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852,856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251,442</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31,466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(189,404)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946,360</w:t>
            </w:r>
          </w:p>
        </w:tc>
      </w:tr>
      <w:tr>
        <w:trPr>
          <w:trHeight w:val="25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29" w:lineRule="exact"/>
        <w:rPr>
          <w:sz w:val="20"/>
          <w:szCs w:val="20"/>
          <w:color w:val="auto"/>
        </w:rPr>
      </w:pPr>
    </w:p>
    <w:p>
      <w:pPr>
        <w:sectPr>
          <w:pgSz w:w="11900" w:h="16838" w:orient="portrait"/>
          <w:cols w:equalWidth="0" w:num="1">
            <w:col w:w="11400"/>
          </w:cols>
          <w:pgMar w:left="240" w:top="1127" w:right="259" w:bottom="1440" w:gutter="0" w:footer="0" w:header="0"/>
        </w:sectPr>
      </w:pPr>
    </w:p>
    <w:p>
      <w:pPr>
        <w:spacing w:after="0" w:line="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Operating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121,083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171,014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53,098</w:t>
            </w:r>
          </w:p>
        </w:tc>
        <w:tc>
          <w:tcPr>
            <w:tcW w:w="1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69,426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414,621</w:t>
            </w:r>
          </w:p>
        </w:tc>
      </w:tr>
      <w:tr>
        <w:trPr>
          <w:trHeight w:val="243"/>
        </w:trPr>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82,935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82,935</w:t>
            </w:r>
          </w:p>
        </w:tc>
      </w:tr>
      <w:tr>
        <w:trPr>
          <w:trHeight w:val="256"/>
        </w:trPr>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(64,604)</w:t>
            </w:r>
          </w:p>
        </w:tc>
      </w:tr>
      <w:tr>
        <w:trPr>
          <w:trHeight w:val="237"/>
        </w:trPr>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648,838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80,428</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(194,226)</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513,408</w:t>
            </w:r>
          </w:p>
        </w:tc>
      </w:tr>
      <w:tr>
        <w:trPr>
          <w:trHeight w:val="27"/>
        </w:trPr>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-505460</wp:posOffset>
            </wp:positionV>
            <wp:extent cx="722058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-196850</wp:posOffset>
            </wp:positionV>
            <wp:extent cx="722058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22225</wp:posOffset>
            </wp:positionV>
            <wp:extent cx="40303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33" w:lineRule="exact"/>
        <w:rPr>
          <w:sz w:val="20"/>
          <w:szCs w:val="20"/>
          <w:color w:val="auto"/>
        </w:rPr>
      </w:pPr>
    </w:p>
    <w:p>
      <w:pPr>
        <w:ind w:left="300"/>
        <w:spacing w:after="0"/>
        <w:tabs>
          <w:tab w:leader="none" w:pos="1520" w:val="left"/>
          <w:tab w:leader="none" w:pos="2640" w:val="left"/>
        </w:tabs>
        <w:rPr>
          <w:sz w:val="20"/>
          <w:szCs w:val="20"/>
          <w:color w:val="auto"/>
        </w:rPr>
      </w:pPr>
      <w:r>
        <w:rPr>
          <w:rFonts w:ascii="Arial" w:cs="Arial" w:eastAsia="Arial" w:hAnsi="Arial"/>
          <w:sz w:val="13"/>
          <w:szCs w:val="13"/>
          <w:b w:val="1"/>
          <w:bCs w:val="1"/>
          <w:color w:val="auto"/>
        </w:rPr>
        <w:t>Travel</w:t>
      </w:r>
      <w:r>
        <w:rPr>
          <w:sz w:val="20"/>
          <w:szCs w:val="20"/>
          <w:color w:val="auto"/>
        </w:rPr>
        <w:tab/>
      </w:r>
      <w:r>
        <w:rPr>
          <w:rFonts w:ascii="Arial" w:cs="Arial" w:eastAsia="Arial" w:hAnsi="Arial"/>
          <w:sz w:val="13"/>
          <w:szCs w:val="13"/>
          <w:b w:val="1"/>
          <w:bCs w:val="1"/>
          <w:color w:val="auto"/>
        </w:rPr>
        <w:t>Airline</w:t>
      </w:r>
      <w:r>
        <w:rPr>
          <w:sz w:val="20"/>
          <w:szCs w:val="20"/>
          <w:color w:val="auto"/>
        </w:rPr>
        <w:tab/>
      </w:r>
      <w:r>
        <w:rPr>
          <w:rFonts w:ascii="Arial" w:cs="Arial" w:eastAsia="Arial" w:hAnsi="Arial"/>
          <w:sz w:val="12"/>
          <w:szCs w:val="12"/>
          <w:b w:val="1"/>
          <w:bCs w:val="1"/>
          <w:color w:val="auto"/>
        </w:rPr>
        <w:t>Hospitality</w:t>
      </w:r>
    </w:p>
    <w:p>
      <w:pPr>
        <w:spacing w:after="0" w:line="2" w:lineRule="exact"/>
        <w:rPr>
          <w:sz w:val="20"/>
          <w:szCs w:val="20"/>
          <w:color w:val="auto"/>
        </w:rPr>
      </w:pPr>
    </w:p>
    <w:p>
      <w:pPr>
        <w:ind w:left="260"/>
        <w:spacing w:after="0"/>
        <w:tabs>
          <w:tab w:leader="none" w:pos="1440" w:val="left"/>
          <w:tab w:leader="none" w:pos="2680" w:val="left"/>
          <w:tab w:leader="none" w:pos="3920" w:val="left"/>
          <w:tab w:leader="none" w:pos="5440" w:val="left"/>
        </w:tabs>
        <w:rPr>
          <w:sz w:val="20"/>
          <w:szCs w:val="20"/>
          <w:color w:val="auto"/>
        </w:rPr>
      </w:pPr>
      <w:r>
        <w:rPr>
          <w:rFonts w:ascii="Arial" w:cs="Arial" w:eastAsia="Arial" w:hAnsi="Arial"/>
          <w:sz w:val="13"/>
          <w:szCs w:val="13"/>
          <w:b w:val="1"/>
          <w:bCs w:val="1"/>
          <w:color w:val="auto"/>
        </w:rPr>
        <w:t>Network</w:t>
      </w:r>
      <w:r>
        <w:rPr>
          <w:sz w:val="20"/>
          <w:szCs w:val="20"/>
          <w:color w:val="auto"/>
        </w:rPr>
        <w:tab/>
      </w:r>
      <w:r>
        <w:rPr>
          <w:rFonts w:ascii="Arial" w:cs="Arial" w:eastAsia="Arial" w:hAnsi="Arial"/>
          <w:sz w:val="13"/>
          <w:szCs w:val="13"/>
          <w:b w:val="1"/>
          <w:bCs w:val="1"/>
          <w:color w:val="auto"/>
        </w:rPr>
        <w:t>Solutions</w:t>
      </w:r>
      <w:r>
        <w:rPr>
          <w:sz w:val="20"/>
          <w:szCs w:val="20"/>
          <w:color w:val="auto"/>
        </w:rPr>
        <w:tab/>
      </w:r>
      <w:r>
        <w:rPr>
          <w:rFonts w:ascii="Arial" w:cs="Arial" w:eastAsia="Arial" w:hAnsi="Arial"/>
          <w:sz w:val="13"/>
          <w:szCs w:val="13"/>
          <w:b w:val="1"/>
          <w:bCs w:val="1"/>
          <w:color w:val="auto"/>
        </w:rPr>
        <w:t>Solutions</w:t>
      </w:r>
      <w:r>
        <w:rPr>
          <w:sz w:val="20"/>
          <w:szCs w:val="20"/>
          <w:color w:val="auto"/>
        </w:rPr>
        <w:tab/>
      </w:r>
      <w:r>
        <w:rPr>
          <w:rFonts w:ascii="Arial" w:cs="Arial" w:eastAsia="Arial" w:hAnsi="Arial"/>
          <w:sz w:val="13"/>
          <w:szCs w:val="13"/>
          <w:b w:val="1"/>
          <w:bCs w:val="1"/>
          <w:color w:val="auto"/>
        </w:rPr>
        <w:t>Corporate</w:t>
      </w:r>
      <w:r>
        <w:rPr>
          <w:sz w:val="20"/>
          <w:szCs w:val="20"/>
          <w:color w:val="auto"/>
        </w:rPr>
        <w:tab/>
      </w:r>
      <w:r>
        <w:rPr>
          <w:rFonts w:ascii="Arial" w:cs="Arial" w:eastAsia="Arial" w:hAnsi="Arial"/>
          <w:sz w:val="12"/>
          <w:szCs w:val="12"/>
          <w:b w:val="1"/>
          <w:bCs w:val="1"/>
          <w:color w:val="auto"/>
        </w:rPr>
        <w:t>Total</w:t>
      </w:r>
    </w:p>
    <w:p>
      <w:pPr>
        <w:spacing w:after="0" w:line="3" w:lineRule="exact"/>
        <w:rPr>
          <w:sz w:val="20"/>
          <w:szCs w:val="20"/>
          <w:color w:val="auto"/>
        </w:rPr>
      </w:pPr>
    </w:p>
    <w:p>
      <w:pPr>
        <w:sectPr>
          <w:pgSz w:w="11900" w:h="16838" w:orient="portrait"/>
          <w:cols w:equalWidth="0" w:num="2">
            <w:col w:w="4380" w:space="720"/>
            <w:col w:w="6300"/>
          </w:cols>
          <w:pgMar w:left="240" w:top="1127" w:right="25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753,255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111,146</w:t>
            </w:r>
          </w:p>
        </w:tc>
        <w:tc>
          <w:tcPr>
            <w:tcW w:w="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12,881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(315,266)</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562,016</w:t>
            </w: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160,298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73,675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245,927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513,526</w:t>
            </w:r>
          </w:p>
        </w:tc>
      </w:tr>
      <w:tr>
        <w:trPr>
          <w:trHeight w:val="233"/>
        </w:trPr>
        <w:tc>
          <w:tcPr>
            <w:tcW w:w="5040" w:type="dxa"/>
            <w:vAlign w:val="bottom"/>
          </w:tcPr>
          <w:p>
            <w:pPr>
              <w:ind w:left="22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5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106,877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170,258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36,826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27,692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341,653</w:t>
            </w:r>
          </w:p>
        </w:tc>
      </w:tr>
      <w:tr>
        <w:trPr>
          <w:trHeight w:val="243"/>
        </w:trPr>
        <w:tc>
          <w:tcPr>
            <w:tcW w:w="5040" w:type="dxa"/>
            <w:vAlign w:val="bottom"/>
          </w:tcPr>
          <w:p>
            <w:pPr>
              <w:ind w:left="5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8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77,622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77,622</w:t>
            </w:r>
          </w:p>
        </w:tc>
      </w:tr>
      <w:tr>
        <w:trPr>
          <w:trHeight w:val="237"/>
        </w:trPr>
        <w:tc>
          <w:tcPr>
            <w:tcW w:w="5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26,591</w:t>
            </w: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1,098,052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355,079</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83,333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1,521,408</w:t>
            </w:r>
          </w:p>
        </w:tc>
      </w:tr>
      <w:tr>
        <w:trPr>
          <w:trHeight w:val="25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(160,298)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(73,675)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(245,927)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(513,526)</w:t>
            </w: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Joint venture equity income</w:t>
            </w: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2,556</w:t>
            </w:r>
          </w:p>
        </w:tc>
      </w:tr>
      <w:tr>
        <w:trPr>
          <w:trHeight w:val="25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12,173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45,002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71,691</w:t>
            </w:r>
          </w:p>
        </w:tc>
      </w:tr>
      <w:tr>
        <w:trPr>
          <w:trHeight w:val="243"/>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3,266</w:t>
            </w:r>
          </w:p>
        </w:tc>
      </w:tr>
      <w:tr>
        <w:trPr>
          <w:trHeight w:val="243"/>
        </w:trPr>
        <w:tc>
          <w:tcPr>
            <w:tcW w:w="5040" w:type="dxa"/>
            <w:vAlign w:val="bottom"/>
          </w:tcPr>
          <w:p>
            <w:pPr>
              <w:ind w:left="2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1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8,323</w:t>
            </w:r>
          </w:p>
        </w:tc>
      </w:tr>
      <w:tr>
        <w:trPr>
          <w:trHeight w:val="23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30,672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30,672</w:t>
            </w: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951,709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293,577</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52,824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(173,720)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1,124,390</w:t>
            </w:r>
          </w:p>
        </w:tc>
      </w:tr>
      <w:tr>
        <w:trPr>
          <w:trHeight w:val="25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04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118,276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182,431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39,943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72,694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413,344</w:t>
            </w:r>
          </w:p>
        </w:tc>
      </w:tr>
      <w:tr>
        <w:trPr>
          <w:trHeight w:val="243"/>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77,622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77,622</w:t>
            </w:r>
          </w:p>
        </w:tc>
      </w:tr>
      <w:tr>
        <w:trPr>
          <w:trHeight w:val="243"/>
        </w:trPr>
        <w:tc>
          <w:tcPr>
            <w:tcW w:w="5040" w:type="dxa"/>
            <w:vAlign w:val="bottom"/>
          </w:tcPr>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1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(68,008)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(68,008)</w:t>
            </w:r>
          </w:p>
        </w:tc>
      </w:tr>
      <w:tr>
        <w:trPr>
          <w:trHeight w:val="26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755,811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111,146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(178,406)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701,432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2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27" w:right="25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9"/>
          </w:tcPr>
          <w:p>
            <w:pPr>
              <w:ind w:left="320"/>
              <w:spacing w:after="0"/>
              <w:rPr>
                <w:sz w:val="20"/>
                <w:szCs w:val="20"/>
                <w:color w:val="auto"/>
              </w:rPr>
            </w:pPr>
            <w:r>
              <w:rPr>
                <w:rFonts w:ascii="Arial" w:cs="Arial" w:eastAsia="Arial" w:hAnsi="Arial"/>
                <w:sz w:val="13"/>
                <w:szCs w:val="13"/>
                <w:b w:val="1"/>
                <w:bCs w:val="1"/>
                <w:color w:val="auto"/>
              </w:rPr>
              <w:t>Year Ended December 31, 2017</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0"/>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9"/>
              </w:rPr>
              <w:t>Travel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700"/>
              <w:spacing w:after="0" w:line="140" w:lineRule="exact"/>
              <w:rPr>
                <w:sz w:val="20"/>
                <w:szCs w:val="20"/>
                <w:color w:val="auto"/>
              </w:rPr>
            </w:pPr>
            <w:r>
              <w:rPr>
                <w:rFonts w:ascii="Arial" w:cs="Arial" w:eastAsia="Arial" w:hAnsi="Arial"/>
                <w:sz w:val="13"/>
                <w:szCs w:val="13"/>
                <w:b w:val="1"/>
                <w:bCs w:val="1"/>
                <w:color w:val="auto"/>
                <w:w w:val="98"/>
              </w:rPr>
              <w:t>Airline</w:t>
            </w:r>
          </w:p>
        </w:tc>
        <w:tc>
          <w:tcPr>
            <w:tcW w:w="140" w:type="dxa"/>
            <w:vAlign w:val="bottom"/>
          </w:tcPr>
          <w:p>
            <w:pPr>
              <w:spacing w:after="0"/>
              <w:rPr>
                <w:sz w:val="12"/>
                <w:szCs w:val="12"/>
                <w:color w:val="auto"/>
              </w:rPr>
            </w:pPr>
          </w:p>
        </w:tc>
        <w:tc>
          <w:tcPr>
            <w:tcW w:w="1320" w:type="dxa"/>
            <w:vAlign w:val="bottom"/>
            <w:gridSpan w:val="5"/>
          </w:tcPr>
          <w:p>
            <w:pPr>
              <w:ind w:left="120"/>
              <w:spacing w:after="0" w:line="140" w:lineRule="exact"/>
              <w:rPr>
                <w:sz w:val="20"/>
                <w:szCs w:val="20"/>
                <w:color w:val="auto"/>
              </w:rPr>
            </w:pPr>
            <w:r>
              <w:rPr>
                <w:rFonts w:ascii="Arial" w:cs="Arial" w:eastAsia="Arial" w:hAnsi="Arial"/>
                <w:sz w:val="13"/>
                <w:szCs w:val="13"/>
                <w:b w:val="1"/>
                <w:bCs w:val="1"/>
                <w:color w:val="auto"/>
              </w:rPr>
              <w:t>Hospitality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45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3"/>
                <w:szCs w:val="13"/>
                <w:b w:val="1"/>
                <w:bCs w:val="1"/>
                <w:color w:val="auto"/>
                <w:w w:val="97"/>
              </w:rPr>
              <w:t>Network</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3"/>
                <w:szCs w:val="13"/>
                <w:b w:val="1"/>
                <w:bCs w:val="1"/>
                <w:color w:val="auto"/>
                <w:w w:val="94"/>
              </w:rPr>
              <w:t>Solutions</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Solutions</w:t>
            </w:r>
          </w:p>
        </w:tc>
        <w:tc>
          <w:tcPr>
            <w:tcW w:w="24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w w:val="99"/>
              </w:rPr>
              <w:t>Corporate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744,045</w:t>
            </w:r>
          </w:p>
        </w:tc>
        <w:tc>
          <w:tcPr>
            <w:tcW w:w="8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241"/>
              <w:spacing w:after="0"/>
              <w:rPr>
                <w:sz w:val="20"/>
                <w:szCs w:val="20"/>
                <w:color w:val="auto"/>
              </w:rPr>
            </w:pPr>
            <w:r>
              <w:rPr>
                <w:rFonts w:ascii="Arial" w:cs="Arial" w:eastAsia="Arial" w:hAnsi="Arial"/>
                <w:sz w:val="16"/>
                <w:szCs w:val="16"/>
                <w:color w:val="auto"/>
              </w:rPr>
              <w:t>137,932</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9,670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(398,207)</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493,440</w:t>
            </w:r>
          </w:p>
        </w:tc>
        <w:tc>
          <w:tcPr>
            <w:tcW w:w="20" w:type="dxa"/>
            <w:vAlign w:val="bottom"/>
          </w:tcPr>
          <w:p>
            <w:pPr>
              <w:spacing w:after="0"/>
              <w:rPr>
                <w:sz w:val="21"/>
                <w:szCs w:val="21"/>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Add back:</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162,997</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241"/>
              <w:spacing w:after="0"/>
              <w:rPr>
                <w:sz w:val="20"/>
                <w:szCs w:val="20"/>
                <w:color w:val="auto"/>
              </w:rPr>
            </w:pPr>
            <w:r>
              <w:rPr>
                <w:rFonts w:ascii="Arial" w:cs="Arial" w:eastAsia="Arial" w:hAnsi="Arial"/>
                <w:sz w:val="16"/>
                <w:szCs w:val="16"/>
                <w:color w:val="auto"/>
              </w:rPr>
              <w:t>78,638</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98"/>
              </w:rPr>
              <w:t>47,121</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221,319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510,075</w:t>
            </w:r>
          </w:p>
        </w:tc>
        <w:tc>
          <w:tcPr>
            <w:tcW w:w="20" w:type="dxa"/>
            <w:vAlign w:val="bottom"/>
          </w:tcPr>
          <w:p>
            <w:pPr>
              <w:spacing w:after="0"/>
              <w:rPr>
                <w:sz w:val="21"/>
                <w:szCs w:val="21"/>
                <w:color w:val="auto"/>
              </w:rPr>
            </w:pPr>
          </w:p>
        </w:tc>
      </w:tr>
      <w:tr>
        <w:trPr>
          <w:trHeight w:val="243"/>
        </w:trPr>
        <w:tc>
          <w:tcPr>
            <w:tcW w:w="4520" w:type="dxa"/>
            <w:vAlign w:val="bottom"/>
          </w:tcPr>
          <w:p>
            <w:pPr>
              <w:ind w:left="240"/>
              <w:spacing w:after="0"/>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81,112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81,112</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revenue adjustments: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20" w:type="dxa"/>
            <w:vAlign w:val="bottom"/>
          </w:tcPr>
          <w:p>
            <w:pPr>
              <w:ind w:left="5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96,796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4"/>
          </w:tcPr>
          <w:p>
            <w:pPr>
              <w:jc w:val="right"/>
              <w:ind w:right="241"/>
              <w:spacing w:after="0"/>
              <w:rPr>
                <w:sz w:val="20"/>
                <w:szCs w:val="20"/>
                <w:color w:val="auto"/>
              </w:rPr>
            </w:pPr>
            <w:r>
              <w:rPr>
                <w:rFonts w:ascii="Arial" w:cs="Arial" w:eastAsia="Arial" w:hAnsi="Arial"/>
                <w:sz w:val="16"/>
                <w:szCs w:val="16"/>
                <w:color w:val="auto"/>
              </w:rPr>
              <w:t>149,685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color w:val="auto"/>
                <w:w w:val="98"/>
              </w:rPr>
              <w:t>31,686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39,645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317,812</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12,604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12,604</w:t>
            </w:r>
          </w:p>
        </w:tc>
        <w:tc>
          <w:tcPr>
            <w:tcW w:w="20" w:type="dxa"/>
            <w:vAlign w:val="bottom"/>
          </w:tcPr>
          <w:p>
            <w:pPr>
              <w:spacing w:after="0"/>
              <w:rPr>
                <w:sz w:val="21"/>
                <w:szCs w:val="21"/>
                <w:color w:val="auto"/>
              </w:rPr>
            </w:pPr>
          </w:p>
        </w:tc>
      </w:tr>
      <w:tr>
        <w:trPr>
          <w:trHeight w:val="243"/>
        </w:trPr>
        <w:tc>
          <w:tcPr>
            <w:tcW w:w="4520" w:type="dxa"/>
            <w:vAlign w:val="bottom"/>
          </w:tcPr>
          <w:p>
            <w:pPr>
              <w:ind w:left="5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67,411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67,411</w:t>
            </w:r>
          </w:p>
        </w:tc>
        <w:tc>
          <w:tcPr>
            <w:tcW w:w="20" w:type="dxa"/>
            <w:vAlign w:val="bottom"/>
          </w:tcPr>
          <w:p>
            <w:pPr>
              <w:spacing w:after="0"/>
              <w:rPr>
                <w:sz w:val="21"/>
                <w:szCs w:val="21"/>
                <w:color w:val="auto"/>
              </w:rPr>
            </w:pPr>
          </w:p>
        </w:tc>
      </w:tr>
      <w:tr>
        <w:trPr>
          <w:trHeight w:val="237"/>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17,732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17,732</w:t>
            </w:r>
          </w:p>
        </w:tc>
        <w:tc>
          <w:tcPr>
            <w:tcW w:w="20" w:type="dxa"/>
            <w:vAlign w:val="bottom"/>
          </w:tcPr>
          <w:p>
            <w:pPr>
              <w:spacing w:after="0"/>
              <w:rPr>
                <w:sz w:val="20"/>
                <w:szCs w:val="20"/>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Adjusted Gross Profit</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1,071,249</w:t>
            </w:r>
          </w:p>
        </w:tc>
        <w:tc>
          <w:tcPr>
            <w:tcW w:w="2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4"/>
          </w:tcPr>
          <w:p>
            <w:pPr>
              <w:jc w:val="right"/>
              <w:ind w:right="241"/>
              <w:spacing w:after="0"/>
              <w:rPr>
                <w:sz w:val="20"/>
                <w:szCs w:val="20"/>
                <w:color w:val="auto"/>
              </w:rPr>
            </w:pPr>
            <w:r>
              <w:rPr>
                <w:rFonts w:ascii="Arial" w:cs="Arial" w:eastAsia="Arial" w:hAnsi="Arial"/>
                <w:sz w:val="16"/>
                <w:szCs w:val="16"/>
                <w:color w:val="auto"/>
              </w:rPr>
              <w:t>366,255</w:t>
            </w: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color w:val="auto"/>
                <w:w w:val="98"/>
              </w:rPr>
              <w:t>88,477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(25,795)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1,500,186</w:t>
            </w: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rPr>
              <w:t>(162,997)</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201"/>
              <w:spacing w:after="0"/>
              <w:rPr>
                <w:sz w:val="20"/>
                <w:szCs w:val="20"/>
                <w:color w:val="auto"/>
              </w:rPr>
            </w:pPr>
            <w:r>
              <w:rPr>
                <w:rFonts w:ascii="Arial" w:cs="Arial" w:eastAsia="Arial" w:hAnsi="Arial"/>
                <w:sz w:val="16"/>
                <w:szCs w:val="16"/>
                <w:color w:val="auto"/>
              </w:rPr>
              <w:t>(78,638)</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(47,121)</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(221,319)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(510,075)</w:t>
            </w:r>
          </w:p>
        </w:tc>
        <w:tc>
          <w:tcPr>
            <w:tcW w:w="20" w:type="dxa"/>
            <w:vAlign w:val="bottom"/>
          </w:tcPr>
          <w:p>
            <w:pPr>
              <w:spacing w:after="0"/>
              <w:rPr>
                <w:sz w:val="21"/>
                <w:szCs w:val="21"/>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Joint venture equity income</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2,580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2,580</w:t>
            </w: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adjustments: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20" w:type="dxa"/>
            <w:vAlign w:val="bottom"/>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12,783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4"/>
          </w:tcPr>
          <w:p>
            <w:pPr>
              <w:jc w:val="right"/>
              <w:ind w:right="241"/>
              <w:spacing w:after="0"/>
              <w:rPr>
                <w:sz w:val="20"/>
                <w:szCs w:val="20"/>
                <w:color w:val="auto"/>
              </w:rPr>
            </w:pPr>
            <w:r>
              <w:rPr>
                <w:rFonts w:ascii="Arial" w:cs="Arial" w:eastAsia="Arial" w:hAnsi="Arial"/>
                <w:sz w:val="16"/>
                <w:szCs w:val="16"/>
                <w:color w:val="auto"/>
              </w:rPr>
              <w:t>8,820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color w:val="auto"/>
              </w:rPr>
              <w:t>1,428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60,028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83,059</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11,371</w:t>
            </w:r>
          </w:p>
        </w:tc>
        <w:tc>
          <w:tcPr>
            <w:tcW w:w="20" w:type="dxa"/>
            <w:vAlign w:val="bottom"/>
          </w:tcPr>
          <w:p>
            <w:pPr>
              <w:spacing w:after="0"/>
              <w:rPr>
                <w:sz w:val="21"/>
                <w:szCs w:val="21"/>
                <w:color w:val="auto"/>
              </w:rPr>
            </w:pPr>
          </w:p>
        </w:tc>
      </w:tr>
      <w:tr>
        <w:trPr>
          <w:trHeight w:val="243"/>
        </w:trPr>
        <w:tc>
          <w:tcPr>
            <w:tcW w:w="4520" w:type="dxa"/>
            <w:vAlign w:val="bottom"/>
          </w:tcPr>
          <w:p>
            <w:pPr>
              <w:ind w:left="2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(35,507)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(35,507)</w:t>
            </w:r>
          </w:p>
        </w:tc>
        <w:tc>
          <w:tcPr>
            <w:tcW w:w="20" w:type="dxa"/>
            <w:vAlign w:val="bottom"/>
          </w:tcPr>
          <w:p>
            <w:pPr>
              <w:spacing w:after="0"/>
              <w:rPr>
                <w:sz w:val="21"/>
                <w:szCs w:val="21"/>
                <w:color w:val="auto"/>
              </w:rPr>
            </w:pPr>
          </w:p>
        </w:tc>
      </w:tr>
      <w:tr>
        <w:trPr>
          <w:trHeight w:val="237"/>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26,957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26,957</w:t>
            </w:r>
          </w:p>
        </w:tc>
        <w:tc>
          <w:tcPr>
            <w:tcW w:w="20" w:type="dxa"/>
            <w:vAlign w:val="bottom"/>
          </w:tcPr>
          <w:p>
            <w:pPr>
              <w:spacing w:after="0"/>
              <w:rPr>
                <w:sz w:val="20"/>
                <w:szCs w:val="20"/>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923,615</w:t>
            </w:r>
          </w:p>
        </w:tc>
        <w:tc>
          <w:tcPr>
            <w:tcW w:w="2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4"/>
          </w:tcPr>
          <w:p>
            <w:pPr>
              <w:jc w:val="right"/>
              <w:ind w:right="241"/>
              <w:spacing w:after="0"/>
              <w:rPr>
                <w:sz w:val="20"/>
                <w:szCs w:val="20"/>
                <w:color w:val="auto"/>
              </w:rPr>
            </w:pPr>
            <w:r>
              <w:rPr>
                <w:rFonts w:ascii="Arial" w:cs="Arial" w:eastAsia="Arial" w:hAnsi="Arial"/>
                <w:sz w:val="16"/>
                <w:szCs w:val="16"/>
                <w:color w:val="auto"/>
              </w:rPr>
              <w:t>296,437</w:t>
            </w: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color w:val="auto"/>
                <w:w w:val="98"/>
              </w:rPr>
              <w:t>42,784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(184,265)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1,078,571</w:t>
            </w: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2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109,579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4"/>
          </w:tcPr>
          <w:p>
            <w:pPr>
              <w:jc w:val="right"/>
              <w:ind w:right="241"/>
              <w:spacing w:after="0"/>
              <w:rPr>
                <w:sz w:val="20"/>
                <w:szCs w:val="20"/>
                <w:color w:val="auto"/>
              </w:rPr>
            </w:pPr>
            <w:r>
              <w:rPr>
                <w:rFonts w:ascii="Arial" w:cs="Arial" w:eastAsia="Arial" w:hAnsi="Arial"/>
                <w:sz w:val="16"/>
                <w:szCs w:val="16"/>
                <w:color w:val="auto"/>
              </w:rPr>
              <w:t>158,505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color w:val="auto"/>
                <w:w w:val="98"/>
              </w:rPr>
              <w:t>33,114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99,673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400,871</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67,411</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67,411</w:t>
            </w:r>
          </w:p>
        </w:tc>
        <w:tc>
          <w:tcPr>
            <w:tcW w:w="20" w:type="dxa"/>
            <w:vAlign w:val="bottom"/>
          </w:tcPr>
          <w:p>
            <w:pPr>
              <w:spacing w:after="0"/>
              <w:rPr>
                <w:sz w:val="21"/>
                <w:szCs w:val="21"/>
                <w:color w:val="auto"/>
              </w:rPr>
            </w:pPr>
          </w:p>
        </w:tc>
      </w:tr>
      <w:tr>
        <w:trPr>
          <w:trHeight w:val="243"/>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(95,860)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(95,860)</w:t>
            </w:r>
          </w:p>
        </w:tc>
        <w:tc>
          <w:tcPr>
            <w:tcW w:w="20" w:type="dxa"/>
            <w:vAlign w:val="bottom"/>
          </w:tcPr>
          <w:p>
            <w:pPr>
              <w:spacing w:after="0"/>
              <w:rPr>
                <w:sz w:val="21"/>
                <w:szCs w:val="21"/>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746,625</w:t>
            </w:r>
          </w:p>
        </w:tc>
        <w:tc>
          <w:tcPr>
            <w:tcW w:w="2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4"/>
            <w:shd w:val="clear" w:color="auto" w:fill="CCEEFF"/>
          </w:tcPr>
          <w:p>
            <w:pPr>
              <w:jc w:val="right"/>
              <w:ind w:right="241"/>
              <w:spacing w:after="0"/>
              <w:rPr>
                <w:sz w:val="20"/>
                <w:szCs w:val="20"/>
                <w:color w:val="auto"/>
              </w:rPr>
            </w:pPr>
            <w:r>
              <w:rPr>
                <w:rFonts w:ascii="Arial" w:cs="Arial" w:eastAsia="Arial" w:hAnsi="Arial"/>
                <w:sz w:val="16"/>
                <w:szCs w:val="16"/>
                <w:color w:val="auto"/>
              </w:rPr>
              <w:t>137,932</w:t>
            </w:r>
          </w:p>
        </w:tc>
        <w:tc>
          <w:tcPr>
            <w:tcW w:w="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9,670</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(188,078)</w:t>
            </w:r>
          </w:p>
        </w:tc>
        <w:tc>
          <w:tcPr>
            <w:tcW w:w="260" w:type="dxa"/>
            <w:vAlign w:val="bottom"/>
            <w:tcBorders>
              <w:bottom w:val="single" w:sz="8" w:color="CCEEFF"/>
            </w:tcBorders>
            <w:gridSpan w:val="3"/>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706,149</w:t>
            </w:r>
          </w:p>
        </w:tc>
        <w:tc>
          <w:tcPr>
            <w:tcW w:w="20" w:type="dxa"/>
            <w:vAlign w:val="bottom"/>
          </w:tcPr>
          <w:p>
            <w:pPr>
              <w:spacing w:after="0"/>
              <w:rPr>
                <w:sz w:val="22"/>
                <w:szCs w:val="22"/>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9"/>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jc w:val="right"/>
              <w:ind w:right="700"/>
              <w:spacing w:after="0"/>
              <w:rPr>
                <w:sz w:val="20"/>
                <w:szCs w:val="20"/>
                <w:color w:val="auto"/>
              </w:rPr>
            </w:pPr>
            <w:r>
              <w:rPr>
                <w:rFonts w:ascii="Arial" w:cs="Arial" w:eastAsia="Arial" w:hAnsi="Arial"/>
                <w:sz w:val="13"/>
                <w:szCs w:val="13"/>
                <w:b w:val="1"/>
                <w:bCs w:val="1"/>
                <w:color w:val="auto"/>
              </w:rPr>
              <w:t>Year Ended December 31, 2016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0"/>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100"/>
              <w:spacing w:after="0" w:line="140" w:lineRule="exact"/>
              <w:rPr>
                <w:sz w:val="20"/>
                <w:szCs w:val="20"/>
                <w:color w:val="auto"/>
              </w:rPr>
            </w:pPr>
            <w:r>
              <w:rPr>
                <w:rFonts w:ascii="Arial" w:cs="Arial" w:eastAsia="Arial" w:hAnsi="Arial"/>
                <w:sz w:val="13"/>
                <w:szCs w:val="13"/>
                <w:b w:val="1"/>
                <w:bCs w:val="1"/>
                <w:color w:val="auto"/>
              </w:rPr>
              <w:t>Travel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b w:val="1"/>
                <w:bCs w:val="1"/>
                <w:color w:val="auto"/>
              </w:rPr>
              <w:t>Airline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Hospitality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45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3"/>
                <w:szCs w:val="13"/>
                <w:b w:val="1"/>
                <w:bCs w:val="1"/>
                <w:color w:val="auto"/>
                <w:w w:val="97"/>
              </w:rPr>
              <w:t>Network</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Solutions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Solutions</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w w:val="99"/>
              </w:rPr>
              <w:t>Corporate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5"/>
                <w:szCs w:val="15"/>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735,354</w:t>
            </w:r>
          </w:p>
        </w:tc>
        <w:tc>
          <w:tcPr>
            <w:tcW w:w="360" w:type="dxa"/>
            <w:vAlign w:val="bottom"/>
            <w:gridSpan w:val="3"/>
            <w:shd w:val="clear" w:color="auto" w:fill="CCEEFF"/>
          </w:tcPr>
          <w:p>
            <w:pPr>
              <w:jc w:val="center"/>
              <w:ind w:left="1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136,177</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16,807</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(428,766)</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459,572</w:t>
            </w:r>
          </w:p>
        </w:tc>
        <w:tc>
          <w:tcPr>
            <w:tcW w:w="20" w:type="dxa"/>
            <w:vAlign w:val="bottom"/>
            <w:shd w:val="clear" w:color="auto" w:fill="CCEEFF"/>
          </w:tcPr>
          <w:p>
            <w:pPr>
              <w:spacing w:after="0"/>
              <w:rPr>
                <w:sz w:val="21"/>
                <w:szCs w:val="21"/>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Add back:</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165,520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74,048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33,867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626,153</w:t>
            </w:r>
          </w:p>
        </w:tc>
        <w:tc>
          <w:tcPr>
            <w:tcW w:w="20" w:type="dxa"/>
            <w:vAlign w:val="bottom"/>
            <w:shd w:val="clear" w:color="auto" w:fill="CCEEFF"/>
          </w:tcPr>
          <w:p>
            <w:pPr>
              <w:spacing w:after="0"/>
              <w:rPr>
                <w:sz w:val="21"/>
                <w:szCs w:val="21"/>
                <w:color w:val="auto"/>
              </w:rPr>
            </w:pPr>
          </w:p>
        </w:tc>
      </w:tr>
      <w:tr>
        <w:trPr>
          <w:trHeight w:val="233"/>
        </w:trPr>
        <w:tc>
          <w:tcPr>
            <w:tcW w:w="4520" w:type="dxa"/>
            <w:vAlign w:val="bottom"/>
          </w:tcPr>
          <w:p>
            <w:pPr>
              <w:ind w:left="220"/>
              <w:spacing w:after="0"/>
              <w:rPr>
                <w:sz w:val="20"/>
                <w:szCs w:val="20"/>
                <w:color w:val="auto"/>
              </w:rPr>
            </w:pPr>
            <w:r>
              <w:rPr>
                <w:rFonts w:ascii="Arial" w:cs="Arial" w:eastAsia="Arial" w:hAnsi="Arial"/>
                <w:sz w:val="16"/>
                <w:szCs w:val="16"/>
                <w:color w:val="auto"/>
              </w:rPr>
              <w:t>Cost of revenue adjustments: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82,963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144,697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21,823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287,353</w:t>
            </w:r>
          </w:p>
        </w:tc>
        <w:tc>
          <w:tcPr>
            <w:tcW w:w="20" w:type="dxa"/>
            <w:vAlign w:val="bottom"/>
            <w:shd w:val="clear" w:color="auto" w:fill="CCEEFF"/>
          </w:tcPr>
          <w:p>
            <w:pPr>
              <w:spacing w:after="0"/>
              <w:rPr>
                <w:sz w:val="21"/>
                <w:szCs w:val="21"/>
                <w:color w:val="auto"/>
              </w:rPr>
            </w:pPr>
          </w:p>
        </w:tc>
      </w:tr>
      <w:tr>
        <w:trPr>
          <w:trHeight w:val="243"/>
        </w:trPr>
        <w:tc>
          <w:tcPr>
            <w:tcW w:w="4520" w:type="dxa"/>
            <w:vAlign w:val="bottom"/>
          </w:tcPr>
          <w:p>
            <w:pPr>
              <w:ind w:left="46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12,660</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55,724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55,724</w:t>
            </w:r>
          </w:p>
        </w:tc>
        <w:tc>
          <w:tcPr>
            <w:tcW w:w="20" w:type="dxa"/>
            <w:vAlign w:val="bottom"/>
            <w:shd w:val="clear" w:color="auto" w:fill="CCEEFF"/>
          </w:tcPr>
          <w:p>
            <w:pPr>
              <w:spacing w:after="0"/>
              <w:rPr>
                <w:sz w:val="21"/>
                <w:szCs w:val="21"/>
                <w:color w:val="auto"/>
              </w:rPr>
            </w:pPr>
          </w:p>
        </w:tc>
      </w:tr>
      <w:tr>
        <w:trPr>
          <w:trHeight w:val="237"/>
        </w:trPr>
        <w:tc>
          <w:tcPr>
            <w:tcW w:w="452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19,213</w:t>
            </w:r>
          </w:p>
        </w:tc>
        <w:tc>
          <w:tcPr>
            <w:tcW w:w="20" w:type="dxa"/>
            <w:vAlign w:val="bottom"/>
          </w:tcPr>
          <w:p>
            <w:pPr>
              <w:spacing w:after="0"/>
              <w:rPr>
                <w:sz w:val="20"/>
                <w:szCs w:val="20"/>
                <w:color w:val="auto"/>
              </w:rPr>
            </w:pPr>
          </w:p>
        </w:tc>
      </w:tr>
      <w:tr>
        <w:trPr>
          <w:trHeight w:val="24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Gross Profit</w:t>
            </w:r>
          </w:p>
        </w:tc>
        <w:tc>
          <w:tcPr>
            <w:tcW w:w="1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1,039,561</w:t>
            </w:r>
          </w:p>
        </w:tc>
        <w:tc>
          <w:tcPr>
            <w:tcW w:w="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354,922</w:t>
            </w:r>
          </w:p>
        </w:tc>
        <w:tc>
          <w:tcPr>
            <w:tcW w:w="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72,497</w:t>
            </w: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1,460,675</w:t>
            </w:r>
          </w:p>
        </w:tc>
        <w:tc>
          <w:tcPr>
            <w:tcW w:w="20" w:type="dxa"/>
            <w:vAlign w:val="bottom"/>
            <w:tcBorders>
              <w:top w:val="single" w:sz="8" w:color="auto"/>
            </w:tcBorders>
            <w:shd w:val="clear" w:color="auto" w:fill="CCEEFF"/>
          </w:tcPr>
          <w:p>
            <w:pPr>
              <w:spacing w:after="0"/>
              <w:rPr>
                <w:sz w:val="21"/>
                <w:szCs w:val="21"/>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ind w:left="100"/>
              <w:spacing w:after="0"/>
              <w:rPr>
                <w:sz w:val="20"/>
                <w:szCs w:val="20"/>
                <w:color w:val="auto"/>
              </w:rPr>
            </w:pPr>
            <w:r>
              <w:rPr>
                <w:rFonts w:ascii="Arial" w:cs="Arial" w:eastAsia="Arial" w:hAnsi="Arial"/>
                <w:sz w:val="16"/>
                <w:szCs w:val="16"/>
                <w:color w:val="auto"/>
              </w:rPr>
              <w:t>(165,520)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ind w:right="19"/>
              <w:spacing w:after="0"/>
              <w:rPr>
                <w:sz w:val="20"/>
                <w:szCs w:val="20"/>
                <w:color w:val="auto"/>
              </w:rPr>
            </w:pPr>
            <w:r>
              <w:rPr>
                <w:rFonts w:ascii="Arial" w:cs="Arial" w:eastAsia="Arial" w:hAnsi="Arial"/>
                <w:sz w:val="16"/>
                <w:szCs w:val="16"/>
                <w:color w:val="auto"/>
              </w:rPr>
              <w:t>(74,048)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(33,867)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(352,718)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(626,153)</w:t>
            </w: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equity income</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2,780</w:t>
            </w:r>
          </w:p>
        </w:tc>
        <w:tc>
          <w:tcPr>
            <w:tcW w:w="20" w:type="dxa"/>
            <w:vAlign w:val="bottom"/>
            <w:shd w:val="clear" w:color="auto" w:fill="CCEEFF"/>
          </w:tcPr>
          <w:p>
            <w:pPr>
              <w:spacing w:after="0"/>
              <w:rPr>
                <w:sz w:val="21"/>
                <w:szCs w:val="21"/>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Selling, general and administrative adjustments: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9,809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5,488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1,334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126,633</w:t>
            </w:r>
          </w:p>
        </w:tc>
        <w:tc>
          <w:tcPr>
            <w:tcW w:w="20" w:type="dxa"/>
            <w:vAlign w:val="bottom"/>
            <w:shd w:val="clear" w:color="auto" w:fill="CCEEFF"/>
          </w:tcPr>
          <w:p>
            <w:pPr>
              <w:spacing w:after="0"/>
              <w:rPr>
                <w:sz w:val="21"/>
                <w:szCs w:val="21"/>
                <w:color w:val="auto"/>
              </w:rPr>
            </w:pPr>
          </w:p>
        </w:tc>
      </w:tr>
      <w:tr>
        <w:trPr>
          <w:trHeight w:val="243"/>
        </w:trPr>
        <w:tc>
          <w:tcPr>
            <w:tcW w:w="4520" w:type="dxa"/>
            <w:vAlign w:val="bottom"/>
          </w:tcPr>
          <w:p>
            <w:pPr>
              <w:ind w:left="2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5,626</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779</w:t>
            </w:r>
          </w:p>
        </w:tc>
        <w:tc>
          <w:tcPr>
            <w:tcW w:w="20" w:type="dxa"/>
            <w:vAlign w:val="bottom"/>
            <w:shd w:val="clear" w:color="auto" w:fill="CCEEFF"/>
          </w:tcPr>
          <w:p>
            <w:pPr>
              <w:spacing w:after="0"/>
              <w:rPr>
                <w:sz w:val="21"/>
                <w:szCs w:val="21"/>
                <w:color w:val="auto"/>
              </w:rPr>
            </w:pPr>
          </w:p>
        </w:tc>
      </w:tr>
      <w:tr>
        <w:trPr>
          <w:trHeight w:val="243"/>
        </w:trPr>
        <w:tc>
          <w:tcPr>
            <w:tcW w:w="4520" w:type="dxa"/>
            <w:vAlign w:val="bottom"/>
          </w:tcPr>
          <w:p>
            <w:pPr>
              <w:ind w:left="2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46,995</w:t>
            </w:r>
          </w:p>
        </w:tc>
        <w:tc>
          <w:tcPr>
            <w:tcW w:w="20" w:type="dxa"/>
            <w:vAlign w:val="bottom"/>
          </w:tcPr>
          <w:p>
            <w:pPr>
              <w:spacing w:after="0"/>
              <w:rPr>
                <w:sz w:val="21"/>
                <w:szCs w:val="21"/>
                <w:color w:val="auto"/>
              </w:rPr>
            </w:pPr>
          </w:p>
        </w:tc>
      </w:tr>
      <w:tr>
        <w:trPr>
          <w:trHeight w:val="237"/>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29,311</w:t>
            </w:r>
          </w:p>
        </w:tc>
        <w:tc>
          <w:tcPr>
            <w:tcW w:w="20" w:type="dxa"/>
            <w:vAlign w:val="bottom"/>
            <w:shd w:val="clear" w:color="auto" w:fill="CCEEFF"/>
          </w:tcPr>
          <w:p>
            <w:pPr>
              <w:spacing w:after="0"/>
              <w:rPr>
                <w:sz w:val="20"/>
                <w:szCs w:val="20"/>
                <w:color w:val="auto"/>
              </w:rPr>
            </w:pP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886,630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286,362</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39,964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(166,310)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1,046,646</w:t>
            </w:r>
          </w:p>
        </w:tc>
        <w:tc>
          <w:tcPr>
            <w:tcW w:w="20" w:type="dxa"/>
            <w:vAlign w:val="bottom"/>
            <w:tcBorders>
              <w:top w:val="single" w:sz="8" w:color="auto"/>
            </w:tcBorders>
          </w:tcPr>
          <w:p>
            <w:pPr>
              <w:spacing w:after="0"/>
              <w:rPr>
                <w:sz w:val="20"/>
                <w:szCs w:val="20"/>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520" w:type="dxa"/>
            <w:vAlign w:val="bottom"/>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92,772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150,185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23,157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147,872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413,986</w:t>
            </w:r>
          </w:p>
        </w:tc>
        <w:tc>
          <w:tcPr>
            <w:tcW w:w="20" w:type="dxa"/>
            <w:vAlign w:val="bottom"/>
          </w:tcPr>
          <w:p>
            <w:pPr>
              <w:spacing w:after="0"/>
              <w:rPr>
                <w:sz w:val="21"/>
                <w:szCs w:val="21"/>
                <w:color w:val="auto"/>
              </w:rPr>
            </w:pPr>
          </w:p>
        </w:tc>
      </w:tr>
      <w:tr>
        <w:trPr>
          <w:trHeight w:val="243"/>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55,724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55,724</w:t>
            </w:r>
          </w:p>
        </w:tc>
        <w:tc>
          <w:tcPr>
            <w:tcW w:w="20" w:type="dxa"/>
            <w:vAlign w:val="bottom"/>
            <w:shd w:val="clear" w:color="auto" w:fill="CCEEFF"/>
          </w:tcPr>
          <w:p>
            <w:pPr>
              <w:spacing w:after="0"/>
              <w:rPr>
                <w:sz w:val="21"/>
                <w:szCs w:val="21"/>
                <w:color w:val="auto"/>
              </w:rPr>
            </w:pPr>
          </w:p>
        </w:tc>
      </w:tr>
      <w:tr>
        <w:trPr>
          <w:trHeight w:val="243"/>
        </w:trPr>
        <w:tc>
          <w:tcPr>
            <w:tcW w:w="4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(143,425)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(143,425)</w:t>
            </w:r>
          </w:p>
        </w:tc>
        <w:tc>
          <w:tcPr>
            <w:tcW w:w="20" w:type="dxa"/>
            <w:vAlign w:val="bottom"/>
            <w:tcBorders>
              <w:bottom w:val="single" w:sz="8" w:color="auto"/>
            </w:tcBorders>
          </w:tcPr>
          <w:p>
            <w:pPr>
              <w:spacing w:after="0"/>
              <w:rPr>
                <w:sz w:val="21"/>
                <w:szCs w:val="2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738,134</w:t>
            </w:r>
          </w:p>
        </w:tc>
        <w:tc>
          <w:tcPr>
            <w:tcW w:w="360" w:type="dxa"/>
            <w:vAlign w:val="bottom"/>
            <w:gridSpan w:val="3"/>
            <w:shd w:val="clear" w:color="auto" w:fill="CCEEFF"/>
          </w:tcPr>
          <w:p>
            <w:pPr>
              <w:jc w:val="center"/>
              <w:ind w:left="1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136,177</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16,807</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(170,757)</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720,361</w:t>
            </w:r>
          </w:p>
        </w:tc>
        <w:tc>
          <w:tcPr>
            <w:tcW w:w="20" w:type="dxa"/>
            <w:vAlign w:val="bottom"/>
            <w:shd w:val="clear" w:color="auto" w:fill="CCEEFF"/>
          </w:tcPr>
          <w:p>
            <w:pPr>
              <w:spacing w:after="0"/>
              <w:rPr>
                <w:sz w:val="22"/>
                <w:szCs w:val="22"/>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99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5" w:right="25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3"/>
                <w:szCs w:val="13"/>
                <w:b w:val="1"/>
                <w:bCs w:val="1"/>
                <w:color w:val="auto"/>
                <w:w w:val="96"/>
              </w:rPr>
              <w:t>Year Ended December 31, 2015</w:t>
            </w: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40"/>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80"/>
              <w:spacing w:after="0" w:line="140" w:lineRule="exact"/>
              <w:rPr>
                <w:sz w:val="20"/>
                <w:szCs w:val="20"/>
                <w:color w:val="auto"/>
              </w:rPr>
            </w:pPr>
            <w:r>
              <w:rPr>
                <w:rFonts w:ascii="Arial" w:cs="Arial" w:eastAsia="Arial" w:hAnsi="Arial"/>
                <w:sz w:val="13"/>
                <w:szCs w:val="13"/>
                <w:b w:val="1"/>
                <w:bCs w:val="1"/>
                <w:color w:val="auto"/>
              </w:rPr>
              <w:t>Travel</w:t>
            </w:r>
          </w:p>
        </w:tc>
        <w:tc>
          <w:tcPr>
            <w:tcW w:w="220" w:type="dxa"/>
            <w:vAlign w:val="bottom"/>
          </w:tcPr>
          <w:p>
            <w:pPr>
              <w:spacing w:after="0"/>
              <w:rPr>
                <w:sz w:val="12"/>
                <w:szCs w:val="12"/>
                <w:color w:val="auto"/>
              </w:rPr>
            </w:pPr>
          </w:p>
        </w:tc>
        <w:tc>
          <w:tcPr>
            <w:tcW w:w="110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w w:val="93"/>
              </w:rPr>
              <w:t>Airline</w:t>
            </w:r>
          </w:p>
        </w:tc>
        <w:tc>
          <w:tcPr>
            <w:tcW w:w="200" w:type="dxa"/>
            <w:vAlign w:val="bottom"/>
          </w:tcPr>
          <w:p>
            <w:pPr>
              <w:spacing w:after="0"/>
              <w:rPr>
                <w:sz w:val="12"/>
                <w:szCs w:val="12"/>
                <w:color w:val="auto"/>
              </w:rPr>
            </w:pPr>
          </w:p>
        </w:tc>
        <w:tc>
          <w:tcPr>
            <w:tcW w:w="114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Hospitality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8"/>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Network</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Solutions</w:t>
            </w: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Solutions</w:t>
            </w:r>
          </w:p>
        </w:tc>
        <w:tc>
          <w:tcPr>
            <w:tcW w:w="2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Corporate</w:t>
            </w:r>
          </w:p>
        </w:tc>
        <w:tc>
          <w:tcPr>
            <w:tcW w:w="220" w:type="dxa"/>
            <w:vAlign w:val="bottom"/>
          </w:tcPr>
          <w:p>
            <w:pPr>
              <w:spacing w:after="0"/>
              <w:rPr>
                <w:sz w:val="15"/>
                <w:szCs w:val="15"/>
                <w:color w:val="auto"/>
              </w:rPr>
            </w:pPr>
          </w:p>
        </w:tc>
        <w:tc>
          <w:tcPr>
            <w:tcW w:w="1000" w:type="dxa"/>
            <w:vAlign w:val="bottom"/>
          </w:tcPr>
          <w:p>
            <w:pPr>
              <w:jc w:val="right"/>
              <w:ind w:right="380"/>
              <w:spacing w:after="0"/>
              <w:rPr>
                <w:sz w:val="20"/>
                <w:szCs w:val="20"/>
                <w:color w:val="auto"/>
              </w:rPr>
            </w:pPr>
            <w:r>
              <w:rPr>
                <w:rFonts w:ascii="Arial" w:cs="Arial" w:eastAsia="Arial" w:hAnsi="Arial"/>
                <w:sz w:val="13"/>
                <w:szCs w:val="13"/>
                <w:b w:val="1"/>
                <w:bCs w:val="1"/>
                <w:color w:val="auto"/>
              </w:rPr>
              <w:t>Total</w:t>
            </w:r>
          </w:p>
        </w:tc>
      </w:tr>
      <w:tr>
        <w:trPr>
          <w:trHeight w:val="24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679,045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134,660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6,236</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(360,172)</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459,769</w:t>
            </w: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Add back:</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156,775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68,730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30,387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301,185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557,077</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Cost of revenue adjustments: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4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71,003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134,811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16,313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22,408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244,535</w:t>
            </w:r>
          </w:p>
        </w:tc>
      </w:tr>
      <w:tr>
        <w:trPr>
          <w:trHeight w:val="243"/>
        </w:trPr>
        <w:tc>
          <w:tcPr>
            <w:tcW w:w="4840" w:type="dxa"/>
            <w:vAlign w:val="bottom"/>
          </w:tcPr>
          <w:p>
            <w:pPr>
              <w:ind w:left="48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43,521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43,521</w:t>
            </w:r>
          </w:p>
        </w:tc>
      </w:tr>
      <w:tr>
        <w:trPr>
          <w:trHeight w:val="237"/>
        </w:trPr>
        <w:tc>
          <w:tcPr>
            <w:tcW w:w="4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11,918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11,918</w:t>
            </w: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Adjusted Gross Profit</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950,344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338,201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52,936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(24,661)</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1,316,820</w:t>
            </w:r>
          </w:p>
        </w:tc>
      </w:tr>
      <w:tr>
        <w:trPr>
          <w:trHeight w:val="25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(156,775)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(68,730)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(30,387)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(301,185)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(557,077)</w:t>
            </w: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Joint venture equity income</w:t>
            </w:r>
          </w:p>
        </w:tc>
        <w:tc>
          <w:tcPr>
            <w:tcW w:w="240" w:type="dxa"/>
            <w:vAlign w:val="bottom"/>
          </w:tcPr>
          <w:p>
            <w:pPr>
              <w:spacing w:after="0"/>
              <w:rPr>
                <w:sz w:val="20"/>
                <w:szCs w:val="20"/>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14,842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14,842</w:t>
            </w:r>
          </w:p>
        </w:tc>
      </w:tr>
      <w:tr>
        <w:trPr>
          <w:trHeight w:val="25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intangible amortization</w:t>
            </w:r>
            <w:r>
              <w:rPr>
                <w:rFonts w:ascii="Arial" w:cs="Arial" w:eastAsia="Arial" w:hAnsi="Arial"/>
                <w:sz w:val="21"/>
                <w:szCs w:val="21"/>
                <w:color w:val="auto"/>
                <w:vertAlign w:val="superscript"/>
              </w:rPr>
              <w:t>(3a)</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1,602</w:t>
            </w: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Selling, general and administrative adjustments: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8,900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5,939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91,203</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106,945</w:t>
            </w:r>
          </w:p>
        </w:tc>
      </w:tr>
      <w:tr>
        <w:trPr>
          <w:trHeight w:val="243"/>
        </w:trPr>
        <w:tc>
          <w:tcPr>
            <w:tcW w:w="4840" w:type="dxa"/>
            <w:vAlign w:val="bottom"/>
          </w:tcPr>
          <w:p>
            <w:pPr>
              <w:ind w:left="2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4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9,256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9,256</w:t>
            </w:r>
          </w:p>
        </w:tc>
      </w:tr>
      <w:tr>
        <w:trPr>
          <w:trHeight w:val="243"/>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14,437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14,437</w:t>
            </w:r>
          </w:p>
        </w:tc>
      </w:tr>
      <w:tr>
        <w:trPr>
          <w:trHeight w:val="243"/>
        </w:trPr>
        <w:tc>
          <w:tcPr>
            <w:tcW w:w="4840" w:type="dxa"/>
            <w:vAlign w:val="bottom"/>
          </w:tcPr>
          <w:p>
            <w:pPr>
              <w:ind w:left="2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(8)</w:t>
            </w:r>
          </w:p>
        </w:tc>
        <w:tc>
          <w:tcPr>
            <w:tcW w:w="24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16,709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16,709</w:t>
            </w:r>
          </w:p>
        </w:tc>
      </w:tr>
      <w:tr>
        <w:trPr>
          <w:trHeight w:val="237"/>
        </w:trPr>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18,053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18,053</w:t>
            </w: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818,913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275,410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23,452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(176,188)</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941,587</w:t>
            </w:r>
          </w:p>
        </w:tc>
      </w:tr>
      <w:tr>
        <w:trPr>
          <w:trHeight w:val="25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4840" w:type="dxa"/>
            <w:vAlign w:val="bottom"/>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(3)</w:t>
            </w:r>
          </w:p>
        </w:tc>
        <w:tc>
          <w:tcPr>
            <w:tcW w:w="24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79,903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140,750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17,216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113,611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351,480</w:t>
            </w:r>
          </w:p>
        </w:tc>
      </w:tr>
      <w:tr>
        <w:trPr>
          <w:trHeight w:val="243"/>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43,521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43,521</w:t>
            </w:r>
          </w:p>
        </w:tc>
      </w:tr>
      <w:tr>
        <w:trPr>
          <w:trHeight w:val="243"/>
        </w:trPr>
        <w:tc>
          <w:tcPr>
            <w:tcW w:w="4840" w:type="dxa"/>
            <w:vAlign w:val="bottom"/>
          </w:tcPr>
          <w:p>
            <w:pPr>
              <w:ind w:left="24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(108,121)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(106,519)</w:t>
            </w:r>
          </w:p>
        </w:tc>
      </w:tr>
      <w:tr>
        <w:trPr>
          <w:trHeight w:val="26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693,887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134,660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6,236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(181,678)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653,105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provided by operating activities, the most directly comparable GAAP measure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3"/>
                <w:szCs w:val="13"/>
                <w:b w:val="1"/>
                <w:bCs w:val="1"/>
                <w:color w:val="auto"/>
                <w:w w:val="95"/>
              </w:rPr>
              <w:t>Year Ended December 31,</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2015</w:t>
            </w: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581,260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rPr>
              <w:t>724,797</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678,033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699,400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529,207</w:t>
            </w:r>
          </w:p>
        </w:tc>
      </w:tr>
      <w:tr>
        <w:trPr>
          <w:trHeight w:val="233"/>
        </w:trPr>
        <w:tc>
          <w:tcPr>
            <w:tcW w:w="53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(243,026)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left="23"/>
              <w:spacing w:after="0"/>
              <w:rPr>
                <w:sz w:val="20"/>
                <w:szCs w:val="20"/>
                <w:color w:val="auto"/>
              </w:rPr>
            </w:pPr>
            <w:r>
              <w:rPr>
                <w:rFonts w:ascii="Arial" w:cs="Arial" w:eastAsia="Arial" w:hAnsi="Arial"/>
                <w:sz w:val="16"/>
                <w:szCs w:val="16"/>
                <w:color w:val="auto"/>
              </w:rPr>
              <w:t>(275,259)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(317,525)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(445,808)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(729,041)</w:t>
            </w:r>
          </w:p>
        </w:tc>
      </w:tr>
      <w:tr>
        <w:trPr>
          <w:trHeight w:val="25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(409,721)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rPr>
              <w:t>(306,506)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(356,780)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(190,025)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93,144</w:t>
            </w:r>
          </w:p>
        </w:tc>
      </w:tr>
      <w:tr>
        <w:trPr>
          <w:trHeight w:val="736"/>
        </w:trPr>
        <w:tc>
          <w:tcPr>
            <w:tcW w:w="5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3"/>
                <w:szCs w:val="13"/>
                <w:b w:val="1"/>
                <w:bCs w:val="1"/>
                <w:color w:val="auto"/>
                <w:w w:val="95"/>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2015</w:t>
            </w: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581,260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rPr>
              <w:t>724,797</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678,033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699,400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529,207</w:t>
            </w:r>
          </w:p>
        </w:tc>
      </w:tr>
      <w:tr>
        <w:trPr>
          <w:trHeight w:val="23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Additions to property and equipment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(115,166)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23"/>
              <w:spacing w:after="0"/>
              <w:rPr>
                <w:sz w:val="20"/>
                <w:szCs w:val="20"/>
                <w:color w:val="auto"/>
              </w:rPr>
            </w:pPr>
            <w:r>
              <w:rPr>
                <w:rFonts w:ascii="Arial" w:cs="Arial" w:eastAsia="Arial" w:hAnsi="Arial"/>
                <w:sz w:val="16"/>
                <w:szCs w:val="16"/>
                <w:color w:val="auto"/>
              </w:rPr>
              <w:t>(283,940)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(316,436)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(327,647)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(286,697)</w:t>
            </w:r>
          </w:p>
        </w:tc>
      </w:tr>
      <w:tr>
        <w:trPr>
          <w:trHeight w:val="25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466,094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rPr>
              <w:t>440,857</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361,597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371,753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242,510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11" w:lineRule="exact"/>
        <w:rPr>
          <w:sz w:val="20"/>
          <w:szCs w:val="20"/>
          <w:color w:val="auto"/>
        </w:rPr>
      </w:pPr>
    </w:p>
    <w:p>
      <w:pPr>
        <w:jc w:val="both"/>
        <w:ind w:left="340" w:right="20" w:hanging="332"/>
        <w:spacing w:after="0" w:line="24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income attributable to non-controlling interests represents an adjustment to include earnings allocated to non-controlling interest held in (i) Sabre Travel Network Middle East of 40% and Sabre Seyahat Dagitim Sistemleri A.S. of 40% for all periods presented, (ii) Sabre Travel Network Lanka (Pte) Ltd of 40% beginning in July 2015, and (iii) Sabre Bulgaria of 40% beginning in November 2017.</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Impairment and related charges represents an $81 million charge in 2017 associated with net capitalized contract costs related to an Airline Solutions' customer based on our analysis of the recoverability of such amounts. See Note 4. Impairment and Related Charges for additional information.</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1" w:lineRule="exact"/>
        <w:rPr>
          <w:rFonts w:ascii="Arial" w:cs="Arial" w:eastAsia="Arial" w:hAnsi="Arial"/>
          <w:sz w:val="14"/>
          <w:szCs w:val="14"/>
          <w:color w:val="auto"/>
        </w:rPr>
      </w:pPr>
    </w:p>
    <w:p>
      <w:pPr>
        <w:jc w:val="both"/>
        <w:ind w:left="980" w:hanging="324"/>
        <w:spacing w:after="0" w:line="243" w:lineRule="auto"/>
        <w:tabs>
          <w:tab w:leader="none" w:pos="978" w:val="left"/>
        </w:tabs>
        <w:numPr>
          <w:ilvl w:val="1"/>
          <w:numId w:val="17"/>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 Also includes amortization of the excess basis in our underlying equity interest in the net assets of SAPPL prior to its acquisition on July 1, 2015.</w:t>
      </w:r>
    </w:p>
    <w:p>
      <w:pPr>
        <w:spacing w:after="0" w:line="160" w:lineRule="exact"/>
        <w:rPr>
          <w:rFonts w:ascii="Arial" w:cs="Arial" w:eastAsia="Arial" w:hAnsi="Arial"/>
          <w:sz w:val="14"/>
          <w:szCs w:val="14"/>
          <w:color w:val="auto"/>
        </w:rPr>
      </w:pPr>
    </w:p>
    <w:p>
      <w:pPr>
        <w:ind w:left="980" w:hanging="324"/>
        <w:spacing w:after="0"/>
        <w:tabs>
          <w:tab w:leader="none" w:pos="9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ectPr>
          <w:pgSz w:w="11900" w:h="16838" w:orient="portrait"/>
          <w:cols w:equalWidth="0" w:num="1">
            <w:col w:w="11420"/>
          </w:cols>
          <w:pgMar w:left="240" w:top="1049"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9" w:right="239" w:bottom="1440" w:gutter="0" w:footer="0" w:header="0"/>
          <w:type w:val="continuous"/>
        </w:sectPr>
      </w:pPr>
    </w:p>
    <w:bookmarkStart w:id="32" w:name="page33"/>
    <w:bookmarkEnd w:id="32"/>
    <w:p>
      <w:pPr>
        <w:ind w:left="980" w:right="20" w:hanging="324"/>
        <w:spacing w:after="0" w:line="241" w:lineRule="auto"/>
        <w:tabs>
          <w:tab w:leader="none" w:pos="970" w:val="left"/>
        </w:tabs>
        <w:numPr>
          <w:ilvl w:val="1"/>
          <w:numId w:val="18"/>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jc w:val="both"/>
        <w:ind w:left="34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ten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 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164"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9"/>
        </w:numPr>
        <w:rPr>
          <w:rFonts w:ascii="Arial" w:cs="Arial" w:eastAsia="Arial" w:hAnsi="Arial"/>
          <w:sz w:val="14"/>
          <w:szCs w:val="14"/>
          <w:color w:val="0000FF"/>
        </w:rPr>
      </w:pPr>
      <w:r>
        <w:rPr>
          <w:rFonts w:ascii="Arial" w:cs="Arial" w:eastAsia="Arial" w:hAnsi="Arial"/>
          <w:sz w:val="14"/>
          <w:szCs w:val="14"/>
          <w:color w:val="auto"/>
        </w:rPr>
        <w:t xml:space="preserve">In 2019, Other, net, primarily includes foreign exchange gains and losses related to the remeasurement of foreign currency denominated balances included in our consolidated balance sheets into the relevant functional currency. In 2018, we recorded an expense of $5 million related to our liability under the Tax Receivable Agreement ("TRA") and an offsetting gain of $8 million on the sale of an investment. In 2017, we recognized a benefit of $60 million due to a reduction to our liability under the TRA primarily due to a provisional adjustment resulting from the enactment of TCJA which reduced the U.S. corporate income tax rate, offset by a loss of $15 million related to debt modification costs associated with a debt refinancing. In 2016, we recognized a gain of $15 million from the sale of our available-for-sale marketable securities, and $6 million gain associated with the receipt of an earn-out payment related to the sale of a business in 2013. In 2015, we recognized a gain of $78 million associated with the remeasurement of our previously-held 35% investment in SAPPL to its fair value and a gain of $12 million related to the settlement of pre-existing agreements between us and SAPPL. In addition, all periods presented include foreign exchange gains and losses related to the remeasurement of foreign currency denominated balances included in </w:t>
      </w:r>
      <w:hyperlink w:anchor="page41">
        <w:r>
          <w:rPr>
            <w:rFonts w:ascii="Arial" w:cs="Arial" w:eastAsia="Arial" w:hAnsi="Arial"/>
            <w:sz w:val="14"/>
            <w:szCs w:val="14"/>
            <w:color w:val="auto"/>
          </w:rPr>
          <w:t xml:space="preserve">our consolidated balance sheets into the relevant functional currency. See </w:t>
        </w:r>
        <w:r>
          <w:rPr>
            <w:rFonts w:ascii="Arial" w:cs="Arial" w:eastAsia="Arial" w:hAnsi="Arial"/>
            <w:sz w:val="14"/>
            <w:szCs w:val="14"/>
            <w:u w:val="single" w:color="auto"/>
            <w:color w:val="0000FF"/>
          </w:rPr>
          <w:t>Item 7</w:t>
        </w:r>
        <w:r>
          <w:rPr>
            <w:rFonts w:ascii="Arial" w:cs="Arial" w:eastAsia="Arial" w:hAnsi="Arial"/>
            <w:sz w:val="14"/>
            <w:szCs w:val="14"/>
            <w:color w:val="auto"/>
          </w:rPr>
          <w:t>, “</w:t>
        </w:r>
        <w:r>
          <w:rPr>
            <w:rFonts w:ascii="Arial" w:cs="Arial" w:eastAsia="Arial" w:hAnsi="Arial"/>
            <w:sz w:val="14"/>
            <w:szCs w:val="14"/>
            <w:u w:val="single" w:color="auto"/>
            <w:color w:val="0000FF"/>
          </w:rPr>
          <w:t>Management’s Discussion and Analysis of Financial Condition and Results of Operations—</w:t>
        </w:r>
      </w:hyperlink>
      <w:r>
        <w:rPr>
          <w:rFonts w:ascii="Arial" w:cs="Arial" w:eastAsia="Arial" w:hAnsi="Arial"/>
          <w:sz w:val="14"/>
          <w:szCs w:val="14"/>
          <w:color w:val="auto"/>
        </w:rPr>
        <w:t xml:space="preserve"> </w:t>
      </w:r>
      <w:hyperlink w:anchor="page41">
        <w:r>
          <w:rPr>
            <w:rFonts w:ascii="Arial" w:cs="Arial" w:eastAsia="Arial" w:hAnsi="Arial"/>
            <w:sz w:val="14"/>
            <w:szCs w:val="14"/>
            <w:u w:val="single" w:color="auto"/>
            <w:color w:val="0000FF"/>
          </w:rPr>
          <w:t>Liquidity and Capital Resources</w:t>
        </w:r>
        <w:r>
          <w:rPr>
            <w:rFonts w:ascii="Arial" w:cs="Arial" w:eastAsia="Arial" w:hAnsi="Arial"/>
            <w:sz w:val="14"/>
            <w:szCs w:val="14"/>
            <w:color w:val="000000"/>
          </w:rPr>
          <w:t>—Tax Receivable Agreement” for additional information regarding the TRA.</w:t>
        </w:r>
      </w:hyperlink>
    </w:p>
    <w:p>
      <w:pPr>
        <w:spacing w:after="0" w:line="3" w:lineRule="exact"/>
        <w:rPr>
          <w:rFonts w:ascii="Arial" w:cs="Arial" w:eastAsia="Arial" w:hAnsi="Arial"/>
          <w:sz w:val="14"/>
          <w:szCs w:val="14"/>
          <w:color w:val="0000FF"/>
        </w:rPr>
      </w:pPr>
    </w:p>
    <w:p>
      <w:pPr>
        <w:jc w:val="both"/>
        <w:ind w:left="34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 We recorded $25 million and $20 million in charges associated with announced actions to reduce our workforce in 2017 and 2016, respectively. These reductions aligned our operations with business needs and implemented an ongoing cost and organizational structure consistent with our expected growth needs and opportunities. In 2015, we recognized a restructuring charge of $9 million associated with the integration of Abacus, and reduced that estimate by $4 million in 2016, as a result of the reevaluation of our plan derived from a shift in timing and strategy of originally contemplated actions. As of December 31, 2018, our actions under these activities were substantially completed and payments under the plans have been made.</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the 2018 agreement to acquire Farelogix, which is anticipated to close in 2020, as well as costs related to the acquisition of Radixx in 2019. In 2016, acquisition-related costs relate to the acquisition of the Trust Group and Airpas Aviation. In 2015, acquisition-related costs relate to the acquisition of Abacus and the Trust Group. See Note 3. Acquisitions,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 and other foreign non-income tax contingency matters. In 2019, we recorded the reversal of our previously accrued loss related to the US Airways legal matter for $32 million. In 2018, we recorded non-income tax expense of $4 million for tax, penalties and interest associated with certain non-income tax claims for historical periods regarding permanent establishment in a foreign jurisdiction. In 2017, we recorded a $43 million reimbursement, net of accrued legal and related expenses, from a settlement with our insurance carriers with respect to the American Airlines litigation. In 2016, we recorded an accrual of $32 million representing the trebling of the jury award plus our estimate of attorneys’ fees, expenses and costs in the US Airways litigation. See Note 16. Commitments and Contingencies, to our consolidated financial statements.</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tax impact on net income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and other items. In 2018, the tax impact on net income adjustments includes a benefit of $27 million related to the provisional impact for deferred taxes and foreign tax effects recorded for the enactment of the TCJA in 2017. In 2017, the tax impact on net income adjustments includes a provisional impact of $47 million recognized in the fourth quarter of 2017 as a result of the enactment of the TCJA in December 2017.</w:t>
      </w:r>
    </w:p>
    <w:p>
      <w:pPr>
        <w:spacing w:after="0" w:line="1" w:lineRule="exact"/>
        <w:rPr>
          <w:rFonts w:ascii="Arial" w:cs="Arial" w:eastAsia="Arial" w:hAnsi="Arial"/>
          <w:sz w:val="14"/>
          <w:szCs w:val="14"/>
          <w:color w:val="auto"/>
        </w:rPr>
      </w:pPr>
    </w:p>
    <w:p>
      <w:pPr>
        <w:jc w:val="both"/>
        <w:ind w:left="340" w:hanging="332"/>
        <w:spacing w:after="0" w:line="250" w:lineRule="auto"/>
        <w:tabs>
          <w:tab w:leader="none" w:pos="339"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the first quarter of 2016, we adopted Accounting Standards Update ("ASU") 2016-09, Improvements to Employee Share-Based Payment Accounting. For the year ended December 31, 2016, we recognized $35 million in excess tax benefits associated with employee equity-based awards, as a result of the adoption of this standard. There were no other material impacts to our consolidated financial statements as a result of adopting this updated standard.</w:t>
      </w:r>
    </w:p>
    <w:p>
      <w:pPr>
        <w:spacing w:after="0" w:line="284"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6"/>
          <w:szCs w:val="16"/>
          <w:b w:val="1"/>
          <w:bCs w:val="1"/>
          <w:color w:val="auto"/>
        </w:rPr>
        <w:t>Definitions of Non-GAAP Financial Measures</w:t>
      </w:r>
    </w:p>
    <w:p>
      <w:pPr>
        <w:spacing w:after="0" w:line="133" w:lineRule="exact"/>
        <w:rPr>
          <w:rFonts w:ascii="Arial" w:cs="Arial" w:eastAsia="Arial" w:hAnsi="Arial"/>
          <w:sz w:val="14"/>
          <w:szCs w:val="14"/>
          <w:color w:val="auto"/>
        </w:rPr>
      </w:pPr>
    </w:p>
    <w:p>
      <w:pPr>
        <w:jc w:val="both"/>
        <w:ind w:firstLine="486"/>
        <w:spacing w:after="0" w:line="253"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 this Annual Report on Form 10-K, including Adjusted Gross Profit, Adjusted Operating Income (Loss), Adjusted Net Income from continuing operations ("Adjusted Net Income"), Adjusted EBITDA, Free Cash Flow and ratios based on these financial measures.</w:t>
      </w:r>
    </w:p>
    <w:p>
      <w:pPr>
        <w:spacing w:after="0" w:line="93" w:lineRule="exact"/>
        <w:rPr>
          <w:rFonts w:ascii="Arial" w:cs="Arial" w:eastAsia="Arial" w:hAnsi="Arial"/>
          <w:sz w:val="14"/>
          <w:szCs w:val="14"/>
          <w:color w:val="auto"/>
        </w:rPr>
      </w:pPr>
    </w:p>
    <w:p>
      <w:pPr>
        <w:jc w:val="both"/>
        <w:ind w:firstLine="486"/>
        <w:spacing w:after="0" w:line="253" w:lineRule="auto"/>
        <w:rPr>
          <w:sz w:val="20"/>
          <w:szCs w:val="20"/>
          <w:color w:val="auto"/>
        </w:rPr>
      </w:pPr>
      <w:r>
        <w:rPr>
          <w:rFonts w:ascii="Arial" w:cs="Arial" w:eastAsia="Arial" w:hAnsi="Arial"/>
          <w:sz w:val="16"/>
          <w:szCs w:val="16"/>
          <w:color w:val="auto"/>
        </w:rPr>
        <w:t>We define Adjusted Gross Profit as operating income (loss) adjusted for selling, general and administrative expenses, impairment and related charges, the cost of revenue portion of depreciation and amortization, restructuring and other costs, amortization of upfront incentive consideration, and stock-based compensation included in cost of revenue.</w:t>
      </w:r>
    </w:p>
    <w:p>
      <w:pPr>
        <w:spacing w:after="0" w:line="93" w:lineRule="exact"/>
        <w:rPr>
          <w:rFonts w:ascii="Arial" w:cs="Arial" w:eastAsia="Arial" w:hAnsi="Arial"/>
          <w:sz w:val="14"/>
          <w:szCs w:val="14"/>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We define Adjusted Operating Income (Loss) as operating income (loss) adjusted for joint venture equity income, impairment and related charges, acquisition-related amortization, restructuring and other costs, acquisition-related costs, litigation costs, net, and stock-based compensation.</w:t>
      </w:r>
    </w:p>
    <w:p>
      <w:pPr>
        <w:spacing w:after="0" w:line="88" w:lineRule="exact"/>
        <w:rPr>
          <w:rFonts w:ascii="Arial" w:cs="Arial" w:eastAsia="Arial" w:hAnsi="Arial"/>
          <w:sz w:val="14"/>
          <w:szCs w:val="14"/>
          <w:color w:val="auto"/>
        </w:rPr>
      </w:pPr>
    </w:p>
    <w:p>
      <w:pPr>
        <w:jc w:val="both"/>
        <w:ind w:firstLine="486"/>
        <w:spacing w:after="0" w:line="253" w:lineRule="auto"/>
        <w:rPr>
          <w:sz w:val="20"/>
          <w:szCs w:val="20"/>
          <w:color w:val="auto"/>
        </w:rPr>
      </w:pPr>
      <w:r>
        <w:rPr>
          <w:rFonts w:ascii="Arial" w:cs="Arial" w:eastAsia="Arial" w:hAnsi="Arial"/>
          <w:sz w:val="16"/>
          <w:szCs w:val="16"/>
          <w:color w:val="auto"/>
        </w:rPr>
        <w:t>We define Adjusted Net Income as net income attributable to common stockholders adjusted for income (loss) from discontinued operations, net of tax, net income attributable to noncontrolling interests, impairment and related charges, acquisition-related amortization, loss on extinguishment of debt, other, net, restructuring and other costs, acquisition-related costs, litigation costs, net, stock-based compensation, and the tax impact of net income adjustments.</w:t>
      </w:r>
    </w:p>
    <w:p>
      <w:pPr>
        <w:spacing w:after="0" w:line="200" w:lineRule="exact"/>
        <w:rPr>
          <w:rFonts w:ascii="Arial" w:cs="Arial" w:eastAsia="Arial" w:hAnsi="Arial"/>
          <w:sz w:val="14"/>
          <w:szCs w:val="14"/>
          <w:color w:val="auto"/>
        </w:rPr>
      </w:pPr>
    </w:p>
    <w:p>
      <w:pPr>
        <w:spacing w:after="0" w:line="366"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3" w:name="page34"/>
    <w:bookmarkEnd w:id="33"/>
    <w:p>
      <w:pPr>
        <w:jc w:val="both"/>
        <w:ind w:firstLine="486"/>
        <w:spacing w:after="0" w:line="260" w:lineRule="auto"/>
        <w:rPr>
          <w:sz w:val="20"/>
          <w:szCs w:val="20"/>
          <w:color w:val="auto"/>
        </w:rPr>
      </w:pPr>
      <w:r>
        <w:rPr>
          <w:rFonts w:ascii="Arial" w:cs="Arial" w:eastAsia="Arial" w:hAnsi="Arial"/>
          <w:sz w:val="16"/>
          <w:szCs w:val="16"/>
          <w:color w:val="auto"/>
        </w:rPr>
        <w:t>We define Adjusted EBITDA as Adjusted Net Income adjusted for depreciation and amortization of property and equipment, amortization of capitalized implementation costs, amortization of upfront incentive consideration, interest expense, net, and the remaining provision for income taxes.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define Free Cash Flow as cash provided by operating activities less cash used in additions to property and equipment.</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define Adjusted Net Income from continuing operations per share as Adjusted Net Income divided by diluted weighted-average common shares outstanding.</w:t>
      </w:r>
    </w:p>
    <w:p>
      <w:pPr>
        <w:spacing w:after="0" w:line="8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We also believe that Adjusted Gross Profit, Adjusted Operating Income (Loss), Adjusted Net Income and Adjusted EBITDA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00"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Adjusted Gross Profit, Adjusted Operating Income (Loss), Adjusted Net Income, Adjusted EBITDA,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97" w:lineRule="exact"/>
        <w:rPr>
          <w:sz w:val="20"/>
          <w:szCs w:val="20"/>
          <w:color w:val="auto"/>
        </w:rPr>
      </w:pPr>
    </w:p>
    <w:p>
      <w:pPr>
        <w:ind w:left="820" w:right="140" w:hanging="326"/>
        <w:spacing w:after="0" w:line="260" w:lineRule="auto"/>
        <w:tabs>
          <w:tab w:leader="none" w:pos="8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non-GAAP financial measures exclude certain recurring, non-cash charges such as stock-based compensation expense and amortization of acquired intangible assets</w:t>
      </w:r>
    </w:p>
    <w:p>
      <w:pPr>
        <w:spacing w:after="0" w:line="87" w:lineRule="exact"/>
        <w:rPr>
          <w:rFonts w:ascii="Arial" w:cs="Arial" w:eastAsia="Arial" w:hAnsi="Arial"/>
          <w:sz w:val="16"/>
          <w:szCs w:val="16"/>
          <w:color w:val="auto"/>
        </w:rPr>
      </w:pPr>
    </w:p>
    <w:p>
      <w:pPr>
        <w:ind w:left="820" w:right="200" w:hanging="326"/>
        <w:spacing w:after="0" w:line="260" w:lineRule="auto"/>
        <w:tabs>
          <w:tab w:leader="none" w:pos="8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Gross Profit and Adjusted EBITDA do not reflect cash requirements for such replacements;</w:t>
      </w:r>
    </w:p>
    <w:p>
      <w:pPr>
        <w:spacing w:after="0" w:line="87" w:lineRule="exact"/>
        <w:rPr>
          <w:rFonts w:ascii="Arial" w:cs="Arial" w:eastAsia="Arial" w:hAnsi="Arial"/>
          <w:sz w:val="16"/>
          <w:szCs w:val="16"/>
          <w:color w:val="auto"/>
        </w:rPr>
      </w:pPr>
    </w:p>
    <w:p>
      <w:pPr>
        <w:ind w:left="820" w:right="360" w:hanging="326"/>
        <w:spacing w:after="0" w:line="260" w:lineRule="auto"/>
        <w:tabs>
          <w:tab w:leader="none" w:pos="8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Operating Income (Loss), Adjusted Net Income and Adjusted EBITDA do not reflect changes in, or cash requirements for, our working capital needs;</w:t>
      </w:r>
    </w:p>
    <w:p>
      <w:pPr>
        <w:spacing w:after="0" w:line="87" w:lineRule="exact"/>
        <w:rPr>
          <w:rFonts w:ascii="Arial" w:cs="Arial" w:eastAsia="Arial" w:hAnsi="Arial"/>
          <w:sz w:val="16"/>
          <w:szCs w:val="16"/>
          <w:color w:val="auto"/>
        </w:rPr>
      </w:pPr>
    </w:p>
    <w:p>
      <w:pPr>
        <w:ind w:left="820" w:right="660" w:hanging="326"/>
        <w:spacing w:after="0" w:line="260" w:lineRule="auto"/>
        <w:tabs>
          <w:tab w:leader="none" w:pos="8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indebtedness;</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w:t>
      </w:r>
    </w:p>
    <w:p>
      <w:pPr>
        <w:spacing w:after="0" w:line="113" w:lineRule="exact"/>
        <w:rPr>
          <w:rFonts w:ascii="Arial" w:cs="Arial" w:eastAsia="Arial" w:hAnsi="Arial"/>
          <w:sz w:val="16"/>
          <w:szCs w:val="16"/>
          <w:color w:val="auto"/>
        </w:rPr>
      </w:pPr>
    </w:p>
    <w:p>
      <w:pPr>
        <w:ind w:left="820" w:right="260" w:hanging="326"/>
        <w:spacing w:after="0" w:line="260" w:lineRule="auto"/>
        <w:tabs>
          <w:tab w:leader="none" w:pos="8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87" w:lineRule="exact"/>
        <w:rPr>
          <w:rFonts w:ascii="Arial" w:cs="Arial" w:eastAsia="Arial" w:hAnsi="Arial"/>
          <w:sz w:val="16"/>
          <w:szCs w:val="16"/>
          <w:color w:val="auto"/>
        </w:rPr>
      </w:pPr>
    </w:p>
    <w:p>
      <w:pPr>
        <w:ind w:left="820" w:right="580" w:hanging="326"/>
        <w:spacing w:after="0" w:line="260" w:lineRule="auto"/>
        <w:tabs>
          <w:tab w:leader="none" w:pos="8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Gross Profit, Adjusted Operating Income (Loss), Adjusted Net Income, Adjusted EBITDA or Free Cash Flow differently, which reduces their usefulness as comparative measures.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3" w:lineRule="exact"/>
        <w:rPr>
          <w:sz w:val="20"/>
          <w:szCs w:val="20"/>
          <w:color w:val="auto"/>
        </w:rPr>
      </w:pPr>
    </w:p>
    <w:p>
      <w:pPr>
        <w:jc w:val="both"/>
        <w:ind w:firstLine="486"/>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The following discussion and analysis should be read in conjunction with our consolidated financial statements and related notes included in </w:t>
      </w:r>
      <w:hyperlink w:anchor="page52">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this Annual Report on Form 10-K. For a comparison of our Results of Operations for the years ended December 31, 2018 and 2017 and our Cash Flow discussion for the year ended December 31, 2017, see "Part II, Item 7. Management's Discussion and Analysis of Financial Conditions and Results of Operations" of our </w:t>
      </w:r>
      <w:hyperlink r:id="rId56">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as filed with the SEC on February 15, 2019.</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connect people and places with technology that reimagines the business of travel. We operate through three business segments: (i) Travel Network, our global business-to-business travel marketplace for travel suppliers and travel buyers, (ii) Airline Solutions, a broad portfolio of software technology products and solutions primarily for airlines, and (iii) Hospitality Solutions, an extensive suite of leading software solutions for hoteliers. Collectively, these offerings enable travel suppliers to better serve their customers across the entire travel lifecycle, from route planning to post-trip business intelligence and analytics.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 significant portion of our revenue is generated through transaction based fees that we charge to our customers. For Travel Network, this fee is in the form of a transaction fee for bookings on our GDS; for Airline Solutions and Hospitality Solutions, this fee is a recurring usage-based fee for the use of our SaaS and hosted systems, as well as upfront fees and professional service fees. Items that are not allocated to our business segments are identified as corporate and primarily include stock-based compensation expense, litigation costs, corporate headcount-related costs and other items that are not identifiable with either one of our segments.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travel industry continues to be adversely affected by the global health crisis due to the outbreak of the coronavirus (COVID-19) in January 2020, especially as it relates to air travel to and from Asia. We expect a material impact to our consolidated financial results in the first quarter of 2020. Given the uncertainties surrounding the duration of the outbreak and its impact on global travel, we cannot reasonably estimate the related financial impact to our full-year 2020 financial results; however, we expect the impact will be material.</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2019, we substantially completed our transition to utilizing the agile development methodology. This method is characterized by a more dynamic development process with iterative activities that involve planning, designing, coding and testing. The agile approach results in more frequent and incremental revisions to software and releases with shorter development cycles that may be less likely to meet the criteria for capitalization in accordance with generally accepted accounting principles in the United States (“GAAP”). In addition, we continue to focus our resources on re-platforming efforts as we continue to move to open source and cloud-based solutions. As expected, these continued investments have reduced our capitalization of certain costs, with a corresponding increase in technology operating expenses.</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April 2019, a customer of Travel Network and Airline Solutions, Jet Airways (India) Ltd. ("Jet Airways"), suspended flight operations and is now in insolvency proceedings. Our revenue was negatively impacted in 2019, and this negative impact will continue in 2020. This insolvency, coupled with the macroeconomic and geopolitical environment and channel shift related to certain European carriers, has negatively impacted our revenue growth and contributed to reduced growth rates in the GDS industry. We expect this trend to persist into 2020. In addition, our revenue was negatively impacted in 2019 from the effects of the 737 MAX incident on one particular carrier, and we expect this negative impact will continue in 2020. Finally, for Airline Solutions, Pakistan International Airlines Corporation, Bangkok Airways Public Company Limited, and Philippine Airlines, Inc. (the "Transitioned Customers"), previously made decisions in 2018 to transition from our services, which will dilute our growth rates on a year-over-year basis. Pakistan International Airlines, Philippine Airlines, and Bangkok Airways Public Company Limited transitioned in September 2018, March 2019, and August 2019, respectively.</w:t>
      </w:r>
    </w:p>
    <w:p>
      <w:pPr>
        <w:spacing w:after="0" w:line="10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October 15, 2019, we acquired Radixx, a leading airline retailing software provider for $110 million, utilizing cash on hand. Radixx is being integrated and is managed as a part of our Airline Solutions segment.</w:t>
      </w:r>
    </w:p>
    <w:p>
      <w:pPr>
        <w:spacing w:after="0" w:line="88" w:lineRule="exact"/>
        <w:rPr>
          <w:sz w:val="20"/>
          <w:szCs w:val="20"/>
          <w:color w:val="auto"/>
        </w:rPr>
      </w:pPr>
    </w:p>
    <w:p>
      <w:pPr>
        <w:jc w:val="both"/>
        <w:ind w:firstLine="486"/>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We announced on November 14, 2018 that we have entered into an agreement to purchase Farelogix, a travel industry innovator in the airline information technology and distribution landscape for $360 million, which will be funded at closing by cash on hand and borrowings under our Revolver. On August 20, 2019, the DOJ filed a complaint seeking a permanent injunction to prevent the acquisition. The trial concluded on February 6, 2020 and the trial court has not yet issued its decision. In addition, the CMA has referred its review of the acquisition for a Phase 2 investigation and has published its provisional findings of competition concerns. See </w:t>
      </w:r>
      <w:hyperlink w:anchor="page23">
        <w:r>
          <w:rPr>
            <w:rFonts w:ascii="Arial" w:cs="Arial" w:eastAsia="Arial" w:hAnsi="Arial"/>
            <w:sz w:val="16"/>
            <w:szCs w:val="16"/>
            <w:u w:val="single" w:color="auto"/>
            <w:color w:val="0000FF"/>
          </w:rPr>
          <w:t>Item 3. Legal Proceedings</w:t>
        </w:r>
      </w:hyperlink>
      <w:r>
        <w:rPr>
          <w:rFonts w:ascii="Arial" w:cs="Arial" w:eastAsia="Arial" w:hAnsi="Arial"/>
          <w:sz w:val="16"/>
          <w:szCs w:val="16"/>
          <w:color w:val="auto"/>
        </w:rPr>
        <w:t>. There can be no assurance that the acquisition will occur on these terms or at all. We have incurred and expect to continue to incur significant fees associated with this acquisition, including for the items discussed above, which are included in general and administrative expense.</w:t>
      </w:r>
    </w:p>
    <w:p>
      <w:pPr>
        <w:spacing w:after="0" w:line="1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the first quarter of 2018, we adopted the comprehensive update to revenue recognition guidance for Revenue from Contracts with Customers ("ASC 606"), which replaced the previous standard ("ASC 605"), using the modified retrospective approach. Under the updated standard, revenue is recognized when a company transfers the promised goods or services to customers in an amount that reflects the consideration that is expected to be received for those goods and services. See Note 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5" w:name="page36"/>
    <w:bookmarkEnd w:id="35"/>
    <w:p>
      <w:pPr>
        <w:jc w:val="both"/>
        <w:spacing w:after="0" w:line="260" w:lineRule="auto"/>
        <w:rPr>
          <w:sz w:val="20"/>
          <w:szCs w:val="20"/>
          <w:color w:val="auto"/>
        </w:rPr>
      </w:pPr>
      <w:r>
        <w:rPr>
          <w:rFonts w:ascii="Arial" w:cs="Arial" w:eastAsia="Arial" w:hAnsi="Arial"/>
          <w:sz w:val="16"/>
          <w:szCs w:val="16"/>
          <w:color w:val="auto"/>
        </w:rPr>
        <w:t>Revenue from Contracts with Customers, to our consolidated financial statements for more information on impacts of ASC 606 to our various streams of revenue recognition.</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During the year ended December 31, 2018, we recorded final adjustments to our provisional amounts recognized related to the TCJA, resulting in a decrease in our provision for income taxes from continuing operations of $27 million for deferred tax assets and foreign tax effects (see Note 7. Income Taxes, to our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33" w:lineRule="exact"/>
        <w:rPr>
          <w:sz w:val="20"/>
          <w:szCs w:val="20"/>
          <w:color w:val="auto"/>
        </w:rPr>
      </w:pPr>
    </w:p>
    <w:p>
      <w:pPr>
        <w:jc w:val="both"/>
        <w:ind w:firstLine="486"/>
        <w:spacing w:after="0" w:line="251" w:lineRule="auto"/>
        <w:rPr>
          <w:rFonts w:ascii="Arial" w:cs="Arial" w:eastAsia="Arial" w:hAnsi="Arial"/>
          <w:sz w:val="16"/>
          <w:szCs w:val="16"/>
          <w:color w:val="auto"/>
        </w:rPr>
      </w:pPr>
      <w:r>
        <w:rPr>
          <w:rFonts w:ascii="Arial" w:cs="Arial" w:eastAsia="Arial" w:hAnsi="Arial"/>
          <w:sz w:val="16"/>
          <w:szCs w:val="16"/>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w:t>
      </w:r>
      <w:hyperlink w:anchor="page6">
        <w:r>
          <w:rPr>
            <w:rFonts w:ascii="Arial" w:cs="Arial" w:eastAsia="Arial" w:hAnsi="Arial"/>
            <w:sz w:val="16"/>
            <w:szCs w:val="16"/>
            <w:u w:val="single" w:color="auto"/>
            <w:color w:val="0000FF"/>
          </w:rPr>
          <w:t>Risk Factors</w:t>
        </w:r>
      </w:hyperlink>
      <w:r>
        <w:rPr>
          <w:rFonts w:ascii="Arial" w:cs="Arial" w:eastAsia="Arial" w:hAnsi="Arial"/>
          <w:sz w:val="16"/>
          <w:szCs w:val="16"/>
          <w:color w:val="auto"/>
        </w:rPr>
        <w:t>” and “</w:t>
      </w:r>
      <w:hyperlink w:anchor="page2">
        <w:r>
          <w:rPr>
            <w:rFonts w:ascii="Arial" w:cs="Arial" w:eastAsia="Arial" w:hAnsi="Arial"/>
            <w:sz w:val="16"/>
            <w:szCs w:val="16"/>
            <w:u w:val="single" w:color="auto"/>
            <w:color w:val="0000FF"/>
          </w:rPr>
          <w:t>Forward-Looking Statements</w:t>
        </w:r>
      </w:hyperlink>
      <w:r>
        <w:rPr>
          <w:rFonts w:ascii="Arial" w:cs="Arial" w:eastAsia="Arial" w:hAnsi="Arial"/>
          <w:sz w:val="16"/>
          <w:szCs w:val="16"/>
          <w:color w:val="auto"/>
        </w:rPr>
        <w:t>” included elsewhere in this Annual Report on Form 10-K.</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transformation and change in mix of technology spend</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expect to further enable our technology transformation with incremental investments of approximately $150 million in 2020 and continued investment over the next few years which will have a material impact on our financial results. We expect to continue to make significant investments in our re-platforming efforts to open source and cloud-based solutions, as previously disclosed, with the goal of modernizing our architecture, driving efficiency in development and ongoing technology costs, further enhancing the stability and security of our network, and complying with data privacy regulations, and in next-generation retailing capabilities, including NDC and personalized offers, LCC, and full-service hotel PMS offerings. In 2020, we expect total capital expenditures to range from $80 million to $120 million.</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Upon completion of our technology transformation in 2024, we expect to benefit from lower cloud infrastructure costs and higher margins. We believe that continued investment in our technology will help to provide us the necessary framework and infrastructure for a secure and stable architecture for our customers, grow our addressable market, provide new revenue opportunities, reduce costs and will help to improve sales of our software solutions. However, there are various risks associated with our technology transformation efforts, including not achieving the amount of anticipated cost savings, not completing the steps during their current projected time frame, or changing the approach leading to, among other things, additional changes in our mix of technology spend between operating expense and capitalization.</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travel agency incentive consideration</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This consideration grew in the double digits on a per booking basis in 2017 and 2018 due to higher incentives in certain geographical markets and from new customer conversions and reverted to single-digit growth in 2019. We expect continued single-digit growth in the near term due to our focus on managing incentive consideration. Although incentive rate increases may continue to impact margins, we expect these increases to be more than offset by growth in Travel Network revenue. This expectation is based in part on our continuing to offer value added services and content to travel buyers, such as the Sabre Red Workspace, a SaaS product that provides a simplified interface and enhanced travel agency workflow and productivity tools.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Shift to SaaS and hosted solutions by airlines and hotels to manage their daily operations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Historically,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and began to license software from software providers. We believe that significant revenue opportunity remains in this outsourcing trend, as legacy in-house systems continue to migrate and upgrade to third party systems. The shift from a model with initial license fees to one with recurring monthly fees associated with our SaaS and hosted solutions, has resulted in an ongoing revenue stream based on the number of passengers boarded. However, under the SaaS and hosted solutions revenue model, revenue recognition may be delayed due to longer implementation schedules for larger suppliers. The SaaS and hosted models’ centralized deployment also allows us to save time and money by reducing maintenance and implementation tasks and lowering operating costs.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insolvencies of certain Airline Solutions customers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April 2019, a customer of Travel Network and Airline Solutions, Jet Airways suspended flight operations and is now in insolvency proceedings. Our revenue was negatively impacted in 2019 which will continue in 2020.</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addition, future revenues may be negatively impacted by, among other things, reduced sales of our software solutions and lower growth in Passengers Boarded due to delayed or uncertain implementations and insolvencies of airline carriers, such as Alitalia Compagnia Aerea Italiana S.p.A. operating as Alitalia (“Alitalia”), that implemented our services in the fourth quarter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36" w:name="page37"/>
    <w:bookmarkEnd w:id="36"/>
    <w:p>
      <w:pPr>
        <w:jc w:val="both"/>
        <w:spacing w:after="0" w:line="260" w:lineRule="auto"/>
        <w:rPr>
          <w:rFonts w:ascii="Arial" w:cs="Arial" w:eastAsia="Arial" w:hAnsi="Arial"/>
          <w:sz w:val="16"/>
          <w:szCs w:val="16"/>
          <w:color w:val="auto"/>
        </w:rPr>
      </w:pPr>
      <w:r>
        <w:rPr>
          <w:rFonts w:ascii="Arial" w:cs="Arial" w:eastAsia="Arial" w:hAnsi="Arial"/>
          <w:sz w:val="16"/>
          <w:szCs w:val="16"/>
          <w:color w:val="auto"/>
        </w:rPr>
        <w:t>2016. See “</w:t>
      </w:r>
      <w:hyperlink w:anchor="page6">
        <w:r>
          <w:rPr>
            <w:rFonts w:ascii="Arial" w:cs="Arial" w:eastAsia="Arial" w:hAnsi="Arial"/>
            <w:sz w:val="16"/>
            <w:szCs w:val="16"/>
            <w:u w:val="single" w:color="auto"/>
            <w:color w:val="0000FF"/>
          </w:rPr>
          <w:t>Risk Factors</w:t>
        </w:r>
      </w:hyperlink>
      <w:r>
        <w:rPr>
          <w:rFonts w:ascii="Arial" w:cs="Arial" w:eastAsia="Arial" w:hAnsi="Arial"/>
          <w:sz w:val="16"/>
          <w:szCs w:val="16"/>
          <w:color w:val="auto"/>
        </w:rPr>
        <w:t>—Our travel supplier customers may experience financial instability or consolidation, pursue cost reductions, change their distribution model or undergo other changes.”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Growing demand for continued technology improvements in the fragmented hotel market</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Most of the hotel market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Our SynXis Enterprise Platform integrates critical hospitality systems to optimize distribution, operations, retailing and guest experience via one scalable, flexible and intelligent platform. As these markets continue to grow, we believe both independent and enterprise hotel owners and operators will continue to seek increased connectivity and integrated solutions to ensure access to global travelers. We anticipate that this will contribute to the continued growth of Hospitality Solutions, which is ultimately dependent upon these hoteliers accepting and utilizing our products and services.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Impact of customer consolidation in Hospitality Solutions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Growth through acquisition and brand consolidation is emerging as a strategy for enterprise hoteliers. This has resulted, and may continue to result, in customer de-migration as larger hotel chains consolidate acquired brands onto their existing technology platforms. Certain of our Hospitality Solutions customers are in the process of being acquired by larger hoteliers, and it is possible that additional customer consolidations could occur in the future. We expect these consolidations to adversely impact revenue growth for the Hospitality Solutions business.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Geographic mix of Travel Network</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TMCs and OTAs customers and expanding the travel content available on our GDS to target regional traveler preferences, we anticipate that we will grow share in North America, Europe and Latin America. We invest for sustainable share growth, and in certain parts of Asia-Pacific and Latin America, our share may be impacted by travel agency deals we have declined to pursue due to credit risk and unfavorable economics. The geographic mix of our Direct Billable Bookings is summarized below:</w:t>
      </w:r>
    </w:p>
    <w:p>
      <w:pPr>
        <w:spacing w:after="0" w:line="127"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22225</wp:posOffset>
            </wp:positionV>
            <wp:extent cx="17494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47" w:lineRule="exact"/>
        <w:rPr>
          <w:sz w:val="20"/>
          <w:szCs w:val="20"/>
          <w:color w:val="auto"/>
        </w:rPr>
      </w:pPr>
    </w:p>
    <w:tbl>
      <w:tblPr>
        <w:tblLayout w:type="fixed"/>
        <w:tblInd w:w="3160" w:type="dxa"/>
        <w:tblCellMar>
          <w:top w:w="0" w:type="dxa"/>
          <w:left w:w="0" w:type="dxa"/>
          <w:bottom w:w="0" w:type="dxa"/>
          <w:right w:w="0" w:type="dxa"/>
        </w:tblCellMar>
      </w:tblPr>
      <w:tr>
        <w:trPr>
          <w:trHeight w:val="178"/>
        </w:trPr>
        <w:tc>
          <w:tcPr>
            <w:tcW w:w="3160" w:type="dxa"/>
            <w:vAlign w:val="bottom"/>
            <w:gridSpan w:val="2"/>
          </w:tcPr>
          <w:p>
            <w:pPr>
              <w:ind w:left="2880"/>
              <w:spacing w:after="0"/>
              <w:rPr>
                <w:sz w:val="20"/>
                <w:szCs w:val="20"/>
                <w:color w:val="auto"/>
              </w:rPr>
            </w:pPr>
            <w:r>
              <w:rPr>
                <w:rFonts w:ascii="Arial" w:cs="Arial" w:eastAsia="Arial" w:hAnsi="Arial"/>
                <w:sz w:val="13"/>
                <w:szCs w:val="13"/>
                <w:b w:val="1"/>
                <w:bCs w:val="1"/>
                <w:color w:val="auto"/>
                <w:w w:val="89"/>
              </w:rPr>
              <w:t>2019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442"/>
              <w:spacing w:after="0"/>
              <w:rPr>
                <w:sz w:val="20"/>
                <w:szCs w:val="20"/>
                <w:color w:val="auto"/>
              </w:rPr>
            </w:pPr>
            <w:r>
              <w:rPr>
                <w:rFonts w:ascii="Arial" w:cs="Arial" w:eastAsia="Arial" w:hAnsi="Arial"/>
                <w:sz w:val="13"/>
                <w:szCs w:val="13"/>
                <w:b w:val="1"/>
                <w:bCs w:val="1"/>
                <w:color w:val="auto"/>
              </w:rPr>
              <w:t>2018</w:t>
            </w:r>
          </w:p>
        </w:tc>
      </w:tr>
      <w:tr>
        <w:trPr>
          <w:trHeight w:val="81"/>
        </w:trPr>
        <w:tc>
          <w:tcPr>
            <w:tcW w:w="23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r>
      <w:tr>
        <w:trPr>
          <w:trHeight w:val="216"/>
        </w:trPr>
        <w:tc>
          <w:tcPr>
            <w:tcW w:w="31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Direct Billable Bookings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3"/>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50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5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33"/>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EMEA</w:t>
            </w:r>
          </w:p>
        </w:tc>
        <w:tc>
          <w:tcPr>
            <w:tcW w:w="50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4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8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
        </w:trPr>
        <w:tc>
          <w:tcPr>
            <w:tcW w:w="2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________________________________________________________________________________________</w:t>
      </w:r>
    </w:p>
    <w:p>
      <w:pPr>
        <w:spacing w:after="0" w:line="132" w:lineRule="exact"/>
        <w:rPr>
          <w:sz w:val="20"/>
          <w:szCs w:val="20"/>
          <w:color w:val="auto"/>
        </w:rPr>
      </w:pPr>
    </w:p>
    <w:p>
      <w:pPr>
        <w:ind w:left="340" w:hanging="332"/>
        <w:spacing w:after="0" w:line="258" w:lineRule="auto"/>
        <w:tabs>
          <w:tab w:leader="none" w:pos="243"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 Billable Bookings” is the primary metric utilized by Travel Network to measure operating performance and includes bookings made through our GDS and through our joint venture partners in cases where we are paid directly by the travel supplier.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buyers can shift their bookings to or from our Travel Network business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Travel Network business relies on relationships with several large travel buyers, including TMCs and OTAs, to drive a large portion of its revenue.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certain travel agencies have adopted a dual GDS provider strategy and shifted a sizeable portion of their business from our GDS to a competitor GDS, while other agencies have shifted a sizable portion their business to our GDS.</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importance of LCC/hybrids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Low-cost carriers and hybrid carriers ("LCC/hybrids")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 On October 15, 2019, we acquired Radixx, an airline retailing software provider whose signature products are a LCC passenger service system and internet booking engine. We expect to make additional investments to address the LCC space.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37" w:name="page38"/>
    <w:bookmarkEnd w:id="37"/>
    <w:p>
      <w:pPr>
        <w:ind w:left="500"/>
        <w:spacing w:after="0"/>
        <w:rPr>
          <w:sz w:val="20"/>
          <w:szCs w:val="20"/>
          <w:color w:val="auto"/>
        </w:rPr>
      </w:pPr>
      <w:r>
        <w:rPr>
          <w:rFonts w:ascii="Arial" w:cs="Arial" w:eastAsia="Arial" w:hAnsi="Arial"/>
          <w:sz w:val="16"/>
          <w:szCs w:val="16"/>
          <w:b w:val="1"/>
          <w:bCs w:val="1"/>
          <w:i w:val="1"/>
          <w:iCs w:val="1"/>
          <w:color w:val="auto"/>
        </w:rPr>
        <w:t>Continued focus by travel suppliers on cost cutting and exerting influence over distribution</w:t>
      </w:r>
    </w:p>
    <w:p>
      <w:pPr>
        <w:spacing w:after="0" w:line="133"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 The shift from indirect distribution channels, such as our GDS, to direct distribution channels, may result from increased content availability on supplier operated websites or from increased participation of meta search engines, such as Kayak and Google, which direct consumers to supplier 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This occurred in 2018 when certain European carriers began to withhold part of their content from our GDS to make use of alternative distribution channels, which may adversely affect our future revenue growth. However, in North America, which is our largest region, the rate at which bookings have shifted from indirect to direct distribution channels has been relatively consistent for a number of reasons, including the increased participation of LCC/hybrids in direct channels. Over the last several years, notable carriers that previously only distributed directly, including JetBlue, Norwegian and Interjet, have adopted our GDS. Other carriers such as EVA Airways, and Virgin Australia have further increased their participation in a GDS. Conversely, Air India, Ltd. fully migrated from our GDS during 2019.</w:t>
      </w:r>
    </w:p>
    <w:p>
      <w:pPr>
        <w:spacing w:after="0" w:line="200" w:lineRule="exact"/>
        <w:rPr>
          <w:sz w:val="20"/>
          <w:szCs w:val="20"/>
          <w:color w:val="auto"/>
        </w:rPr>
      </w:pPr>
    </w:p>
    <w:p>
      <w:pPr>
        <w:spacing w:after="0" w:line="20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These trends have impacted the revenue of Travel Network, which recognizes revenue for airline ticket sales based on transaction volumes. Simultaneously, this focus on cost cutting and direct distribution has also presented opportunities for Airline Solutions. Many airlines have turned to outside providers for key systems, process and industry expertise and other products that assist in their cost cutting initiatives in order to focus on their primary revenue generating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Travel Network primarily generates revenues from Direct Billable Bookings processed on our GDS as well as the sale of aggregated bookings data to carriers. Airline Solutions and Hospitality Solutions primarily generate revenue through upfront solution fees and recurring usage-based fees for the use of our software solutions hosted on secure platforms or deployed through our SaaS and through other professional service fees including Digital Experience ("DX"). Certain professional service fees are discrete sales opportunities that may have a high degree of variability from period to period, and we cannot guarantee that we will have such fees in the future consistent with prior periods. Airline Solutions also generates revenue through software licensing and maintenance fees. Recognition of license fees upon delivery has previously resulted and will continue to result in periodic fluctuations in revenue recognized.</w:t>
      </w:r>
    </w:p>
    <w:p>
      <w:pPr>
        <w:spacing w:after="0" w:line="20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connection with the adoption of ASC 606 effective January 1, 2018, Airline Solutions license fees are recognized upon delivery, while ongoing maintenance services are recognized ratably over the life of the contract. In addition, the allocation of contract revenues among various products and solutions, and the timing of the recognition of those revenues, may be impacted by agreements with tiered pricing or variable rate structures that do not correspond with the goods or services delivered to the customer. See Note 2. Revenue from Contracts with Customers, to our consolidated financial statements, and "—Recent Developments Affecting our Results of Operations" above. Revenue may occasionally include amounts from transactions that were partially or fully satisfied in previous periods, but recognized upon the resolution of an uncertainty regarding the amounts involved or changes in estimates.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Cost of revenue incurred by Travel Network, Airline Solutions and Hospitality Solutions consists of expenses related to technology operations including hosting, third-party software and expensed research and development labor costs, other salaries and benefits, and allocated overhead such as facilities and other support costs. Cost of revenue for Travel Network also includes incentive consideration expense representing payments or other consideration to travel agencies for reservations made on our GDS which accrue on a monthly basis.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Corporate cost of revenue includes expenses associated with our technology organization such as corporate systems and risk and security. Corporate cost of revenue also includes certain expenses such as stock-based compensation, restructuring charges, legal reserves and other items not identifiable with one of our segments.</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Depreciation and amortization included in cost of revenue is associated with property and equipment, amortization of capitalized implementation costs which relates to Airline Solutions and Hospitality Solutions, intangible assets for technology purchased through acquisitions or established with our take private transaction in 2007, and software developed for internal use that supports our revenue, businesses and systems. Cost of revenue also includes amortization of upfront incentive consideration representing upfront payments or other consideration provided to travel agencies for reservations made on our GDS which are capitalized and amortized over the expected life of the contract.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8" w:name="page39"/>
    <w:bookmarkEnd w:id="38"/>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Selling, general and administrative expenses consist of personnel-related expenses, including stock-based compensation, for employees that sell our services to new customers and administratively support the business, information technology and communication costs, professional service fees, certain settlement charges or reimbursements, costs to defend legal disputes, bad debt expense, depreciation and amortization and other overhead costs.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Intersegment Transactions</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 Airline Solutions and Hospitality Solutions pay fees to Travel Network for airline trips and hotel stays booked through our GDS.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“Direct Billable Bookings” and “Passengers Boarded” are the primary metrics utilized by Travel Network and Airline Solutions, respectively, to measure operating performance. Travel Network generates fees for each Direct Billable Booking which include bookings made through our GDS (e.g., Air, and Lodging, Ground and Sea ("LGS")) and through our joint venture partners in cases where we are paid directly by the travel supplier. Passengers Boarded (“PBs”) is the primary metric used by Airline Solutions to recognize SaaS and hosted revenue from recurring usage-based fees. The primary metric utilized by Hospitality Solutions is booking transactions processed through the SynXis Central Reservations System. These key metrics allow management to analyze customer volume over time for each of our three business segments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Pr>
          <w:p>
            <w:pPr>
              <w:spacing w:after="0"/>
              <w:rPr>
                <w:sz w:val="14"/>
                <w:szCs w:val="14"/>
                <w:color w:val="auto"/>
              </w:rPr>
            </w:pPr>
          </w:p>
        </w:tc>
        <w:tc>
          <w:tcPr>
            <w:tcW w:w="2420" w:type="dxa"/>
            <w:vAlign w:val="bottom"/>
            <w:gridSpan w:val="5"/>
          </w:tcPr>
          <w:p>
            <w:pPr>
              <w:ind w:left="840"/>
              <w:spacing w:after="0"/>
              <w:rPr>
                <w:sz w:val="20"/>
                <w:szCs w:val="20"/>
                <w:color w:val="auto"/>
              </w:rPr>
            </w:pPr>
            <w:r>
              <w:rPr>
                <w:rFonts w:ascii="Arial" w:cs="Arial" w:eastAsia="Arial" w:hAnsi="Arial"/>
                <w:sz w:val="13"/>
                <w:szCs w:val="13"/>
                <w:b w:val="1"/>
                <w:bCs w:val="1"/>
                <w:color w:val="auto"/>
                <w:w w:val="97"/>
              </w:rPr>
              <w:t>Year Ended December 31,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tcPr>
          <w:p>
            <w:pPr>
              <w:jc w:val="right"/>
              <w:ind w:right="262"/>
              <w:spacing w:after="0"/>
              <w:rPr>
                <w:sz w:val="20"/>
                <w:szCs w:val="20"/>
                <w:color w:val="auto"/>
              </w:rPr>
            </w:pPr>
            <w:r>
              <w:rPr>
                <w:rFonts w:ascii="Arial" w:cs="Arial" w:eastAsia="Arial" w:hAnsi="Arial"/>
                <w:sz w:val="13"/>
                <w:szCs w:val="13"/>
                <w:b w:val="1"/>
                <w:bCs w:val="1"/>
                <w:color w:val="auto"/>
              </w:rPr>
              <w:t>Year-over-Year % Change</w:t>
            </w:r>
          </w:p>
        </w:tc>
      </w:tr>
      <w:tr>
        <w:trPr>
          <w:trHeight w:val="30"/>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2018</w:t>
            </w: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Network</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3"/>
        </w:trPr>
        <w:tc>
          <w:tcPr>
            <w:tcW w:w="5820" w:type="dxa"/>
            <w:vAlign w:val="bottom"/>
          </w:tcPr>
          <w:p>
            <w:pPr>
              <w:ind w:left="220"/>
              <w:spacing w:after="0"/>
              <w:rPr>
                <w:sz w:val="20"/>
                <w:szCs w:val="20"/>
                <w:color w:val="auto"/>
              </w:rPr>
            </w:pPr>
            <w:r>
              <w:rPr>
                <w:rFonts w:ascii="Arial" w:cs="Arial" w:eastAsia="Arial" w:hAnsi="Arial"/>
                <w:sz w:val="16"/>
                <w:szCs w:val="16"/>
                <w:color w:val="auto"/>
              </w:rPr>
              <w:t>Direct Billable Bookings - Air</w:t>
            </w:r>
          </w:p>
        </w:tc>
        <w:tc>
          <w:tcPr>
            <w:tcW w:w="1000" w:type="dxa"/>
            <w:vAlign w:val="bottom"/>
          </w:tcPr>
          <w:p>
            <w:pPr>
              <w:jc w:val="right"/>
              <w:ind w:right="84"/>
              <w:spacing w:after="0"/>
              <w:rPr>
                <w:sz w:val="20"/>
                <w:szCs w:val="20"/>
                <w:color w:val="auto"/>
              </w:rPr>
            </w:pPr>
            <w:r>
              <w:rPr>
                <w:rFonts w:ascii="Arial" w:cs="Arial" w:eastAsia="Arial" w:hAnsi="Arial"/>
                <w:sz w:val="16"/>
                <w:szCs w:val="16"/>
                <w:color w:val="auto"/>
              </w:rPr>
              <w:t>499,111</w:t>
            </w:r>
          </w:p>
        </w:tc>
        <w:tc>
          <w:tcPr>
            <w:tcW w:w="120" w:type="dxa"/>
            <w:vAlign w:val="bottom"/>
          </w:tcPr>
          <w:p>
            <w:pPr>
              <w:spacing w:after="0"/>
              <w:rPr>
                <w:sz w:val="20"/>
                <w:szCs w:val="20"/>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491,820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462,381</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53"/>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LGS</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67,197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66,454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62,443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33"/>
        </w:trPr>
        <w:tc>
          <w:tcPr>
            <w:tcW w:w="5820" w:type="dxa"/>
            <w:vAlign w:val="bottom"/>
          </w:tcPr>
          <w:p>
            <w:pPr>
              <w:ind w:left="220"/>
              <w:spacing w:after="0"/>
              <w:rPr>
                <w:sz w:val="20"/>
                <w:szCs w:val="20"/>
                <w:color w:val="auto"/>
              </w:rPr>
            </w:pPr>
            <w:r>
              <w:rPr>
                <w:rFonts w:ascii="Arial" w:cs="Arial" w:eastAsia="Arial" w:hAnsi="Arial"/>
                <w:sz w:val="16"/>
                <w:szCs w:val="16"/>
                <w:color w:val="auto"/>
              </w:rPr>
              <w:t>Total Direct Billable Bookings</w:t>
            </w:r>
          </w:p>
        </w:tc>
        <w:tc>
          <w:tcPr>
            <w:tcW w:w="1000" w:type="dxa"/>
            <w:vAlign w:val="bottom"/>
          </w:tcPr>
          <w:p>
            <w:pPr>
              <w:jc w:val="right"/>
              <w:ind w:right="84"/>
              <w:spacing w:after="0"/>
              <w:rPr>
                <w:sz w:val="20"/>
                <w:szCs w:val="20"/>
                <w:color w:val="auto"/>
              </w:rPr>
            </w:pPr>
            <w:r>
              <w:rPr>
                <w:rFonts w:ascii="Arial" w:cs="Arial" w:eastAsia="Arial" w:hAnsi="Arial"/>
                <w:sz w:val="16"/>
                <w:szCs w:val="16"/>
                <w:color w:val="auto"/>
              </w:rPr>
              <w:t>566,308</w:t>
            </w:r>
          </w:p>
        </w:tc>
        <w:tc>
          <w:tcPr>
            <w:tcW w:w="120" w:type="dxa"/>
            <w:vAlign w:val="bottom"/>
          </w:tcPr>
          <w:p>
            <w:pPr>
              <w:spacing w:after="0"/>
              <w:rPr>
                <w:sz w:val="20"/>
                <w:szCs w:val="20"/>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558,274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524,824</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Airline Solutions Passengers Boarded</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741,107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752,548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772,149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color w:val="auto"/>
              </w:rPr>
              <w:t>Hospitality Solutions Central Reservations System Transactions</w:t>
            </w:r>
          </w:p>
        </w:tc>
        <w:tc>
          <w:tcPr>
            <w:tcW w:w="1000" w:type="dxa"/>
            <w:vAlign w:val="bottom"/>
          </w:tcPr>
          <w:p>
            <w:pPr>
              <w:jc w:val="right"/>
              <w:ind w:right="84"/>
              <w:spacing w:after="0"/>
              <w:rPr>
                <w:sz w:val="20"/>
                <w:szCs w:val="20"/>
                <w:color w:val="auto"/>
              </w:rPr>
            </w:pPr>
            <w:r>
              <w:rPr>
                <w:rFonts w:ascii="Arial" w:cs="Arial" w:eastAsia="Arial" w:hAnsi="Arial"/>
                <w:sz w:val="16"/>
                <w:szCs w:val="16"/>
                <w:color w:val="auto"/>
              </w:rPr>
              <w:t>108,482</w:t>
            </w:r>
          </w:p>
        </w:tc>
        <w:tc>
          <w:tcPr>
            <w:tcW w:w="120" w:type="dxa"/>
            <w:vAlign w:val="bottom"/>
          </w:tcPr>
          <w:p>
            <w:pPr>
              <w:spacing w:after="0"/>
              <w:rPr>
                <w:sz w:val="19"/>
                <w:szCs w:val="19"/>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88,655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N/A</w:t>
            </w:r>
          </w:p>
        </w:tc>
        <w:tc>
          <w:tcPr>
            <w:tcW w:w="1060" w:type="dxa"/>
            <w:vAlign w:val="bottom"/>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19"/>
                <w:szCs w:val="19"/>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 of operations data for each of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6"/>
        </w:trPr>
        <w:tc>
          <w:tcPr>
            <w:tcW w:w="7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r>
      <w:tr>
        <w:trPr>
          <w:trHeight w:val="233"/>
        </w:trPr>
        <w:tc>
          <w:tcPr>
            <w:tcW w:w="7060" w:type="dxa"/>
            <w:vAlign w:val="bottom"/>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3,974,988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3,866,956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3,598,484</w:t>
            </w:r>
          </w:p>
        </w:tc>
      </w:tr>
      <w:tr>
        <w:trPr>
          <w:trHeight w:val="25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3,035,003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2,791,414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2,513,857</w:t>
            </w:r>
          </w:p>
        </w:tc>
      </w:tr>
      <w:tr>
        <w:trPr>
          <w:trHeight w:val="233"/>
        </w:trPr>
        <w:tc>
          <w:tcPr>
            <w:tcW w:w="70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576,568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513,526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510,075</w:t>
            </w:r>
          </w:p>
        </w:tc>
      </w:tr>
      <w:tr>
        <w:trPr>
          <w:trHeight w:val="25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and related charges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81,112</w:t>
            </w:r>
          </w:p>
        </w:tc>
      </w:tr>
      <w:tr>
        <w:trPr>
          <w:trHeight w:val="227"/>
        </w:trPr>
        <w:tc>
          <w:tcPr>
            <w:tcW w:w="706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363,417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562,016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493,440</w:t>
            </w:r>
          </w:p>
        </w:tc>
      </w:tr>
      <w:tr>
        <w:trPr>
          <w:trHeight w:val="25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(156,391)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(157,017)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(153,925)</w:t>
            </w:r>
          </w:p>
        </w:tc>
      </w:tr>
      <w:tr>
        <w:trPr>
          <w:trHeight w:val="233"/>
        </w:trPr>
        <w:tc>
          <w:tcPr>
            <w:tcW w:w="706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(1,012)</w:t>
            </w:r>
          </w:p>
        </w:tc>
      </w:tr>
      <w:tr>
        <w:trPr>
          <w:trHeight w:val="25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equity income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2,580</w:t>
            </w:r>
          </w:p>
        </w:tc>
      </w:tr>
      <w:tr>
        <w:trPr>
          <w:trHeight w:val="23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(9,432)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(8,509)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36,530</w:t>
            </w:r>
          </w:p>
        </w:tc>
      </w:tr>
      <w:tr>
        <w:trPr>
          <w:trHeight w:val="243"/>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199,638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398,413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377,613</w:t>
            </w:r>
          </w:p>
        </w:tc>
      </w:tr>
      <w:tr>
        <w:trPr>
          <w:trHeight w:val="23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35,326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57,492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128,037</w:t>
            </w:r>
          </w:p>
        </w:tc>
      </w:tr>
      <w:tr>
        <w:trPr>
          <w:trHeight w:val="25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164,312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340,921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249,576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Years Ended December 31, 2019 and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60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249"/>
        </w:trPr>
        <w:tc>
          <w:tcPr>
            <w:tcW w:w="6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3"/>
                <w:szCs w:val="13"/>
                <w:color w:val="auto"/>
                <w:w w:val="97"/>
              </w:rPr>
              <w:t>(Amounts 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1"/>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Network</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2,882,662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2,806,194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76,468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Airline Solutions</w:t>
            </w:r>
          </w:p>
        </w:tc>
        <w:tc>
          <w:tcPr>
            <w:tcW w:w="240" w:type="dxa"/>
            <w:vAlign w:val="bottom"/>
          </w:tcPr>
          <w:p>
            <w:pPr>
              <w:spacing w:after="0"/>
              <w:rPr>
                <w:sz w:val="20"/>
                <w:szCs w:val="20"/>
                <w:color w:val="auto"/>
              </w:rPr>
            </w:pPr>
          </w:p>
        </w:tc>
        <w:tc>
          <w:tcPr>
            <w:tcW w:w="1020" w:type="dxa"/>
            <w:vAlign w:val="bottom"/>
          </w:tcPr>
          <w:p>
            <w:pPr>
              <w:jc w:val="right"/>
              <w:ind w:right="85"/>
              <w:spacing w:after="0"/>
              <w:rPr>
                <w:sz w:val="20"/>
                <w:szCs w:val="20"/>
                <w:color w:val="auto"/>
              </w:rPr>
            </w:pPr>
            <w:r>
              <w:rPr>
                <w:rFonts w:ascii="Arial" w:cs="Arial" w:eastAsia="Arial" w:hAnsi="Arial"/>
                <w:sz w:val="16"/>
                <w:szCs w:val="16"/>
                <w:color w:val="auto"/>
              </w:rPr>
              <w:t>840,338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822,747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17,591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5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Hospitality Solutions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292,880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273,079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19,801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27"/>
        </w:trPr>
        <w:tc>
          <w:tcPr>
            <w:tcW w:w="6020" w:type="dxa"/>
            <w:vAlign w:val="bottom"/>
          </w:tcPr>
          <w:p>
            <w:pPr>
              <w:ind w:left="220"/>
              <w:spacing w:after="0"/>
              <w:rPr>
                <w:sz w:val="20"/>
                <w:szCs w:val="20"/>
                <w:color w:val="auto"/>
              </w:rPr>
            </w:pPr>
            <w:r>
              <w:rPr>
                <w:rFonts w:ascii="Arial" w:cs="Arial" w:eastAsia="Arial" w:hAnsi="Arial"/>
                <w:sz w:val="16"/>
                <w:szCs w:val="16"/>
                <w:color w:val="auto"/>
              </w:rPr>
              <w:t>Total segment revenue</w:t>
            </w:r>
          </w:p>
        </w:tc>
        <w:tc>
          <w:tcPr>
            <w:tcW w:w="240" w:type="dxa"/>
            <w:vAlign w:val="bottom"/>
          </w:tcPr>
          <w:p>
            <w:pPr>
              <w:spacing w:after="0"/>
              <w:rPr>
                <w:sz w:val="19"/>
                <w:szCs w:val="19"/>
                <w:color w:val="auto"/>
              </w:rPr>
            </w:pPr>
          </w:p>
        </w:tc>
        <w:tc>
          <w:tcPr>
            <w:tcW w:w="1020" w:type="dxa"/>
            <w:vAlign w:val="bottom"/>
          </w:tcPr>
          <w:p>
            <w:pPr>
              <w:jc w:val="right"/>
              <w:ind w:right="85"/>
              <w:spacing w:after="0"/>
              <w:rPr>
                <w:sz w:val="20"/>
                <w:szCs w:val="20"/>
                <w:color w:val="auto"/>
              </w:rPr>
            </w:pPr>
            <w:r>
              <w:rPr>
                <w:rFonts w:ascii="Arial" w:cs="Arial" w:eastAsia="Arial" w:hAnsi="Arial"/>
                <w:sz w:val="16"/>
                <w:szCs w:val="16"/>
                <w:color w:val="auto"/>
              </w:rPr>
              <w:t>4,015,880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3,902,020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113,860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5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(40,892)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(35,064)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(5,828)</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30"/>
        </w:trPr>
        <w:tc>
          <w:tcPr>
            <w:tcW w:w="60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3,974,988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3,866,956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108,032</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7"/>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Travel Network</w:t>
      </w:r>
      <w:r>
        <w:rPr>
          <w:rFonts w:ascii="Arial" w:cs="Arial" w:eastAsia="Arial" w:hAnsi="Arial"/>
          <w:sz w:val="16"/>
          <w:szCs w:val="16"/>
          <w:color w:val="auto"/>
        </w:rPr>
        <w:t>—Revenue increased $76 million, or 3%, for the year ended December 31, 2019 compared to the prior year, primarily due to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transaction-based revenue of $75 million to $2,709 million. The increase in revenue primarily resulted from a 1% increase in Direct Billable Bookings to 566 million and growth in the average booking fee rate during the year ended December 31, 2019 due to a discrete shift in the distribution pricing structure for specific European carriers and favorable mix primarily resulting from growth in hotel bookings which have a higher rate.</w:t>
      </w:r>
    </w:p>
    <w:p>
      <w:pPr>
        <w:spacing w:after="0" w:line="7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Airline Solutions</w:t>
      </w:r>
      <w:r>
        <w:rPr>
          <w:rFonts w:ascii="Arial" w:cs="Arial" w:eastAsia="Arial" w:hAnsi="Arial"/>
          <w:sz w:val="16"/>
          <w:szCs w:val="16"/>
          <w:color w:val="auto"/>
        </w:rPr>
        <w:t>—Revenue increased $18 million, or 2%, for the year ended December 31, 2019 compared to the prior year. The $18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primarily resulted from:</w:t>
      </w:r>
    </w:p>
    <w:p>
      <w:pPr>
        <w:spacing w:after="0" w:line="58" w:lineRule="exact"/>
        <w:rPr>
          <w:sz w:val="20"/>
          <w:szCs w:val="20"/>
          <w:color w:val="auto"/>
        </w:rPr>
      </w:pPr>
    </w:p>
    <w:p>
      <w:pPr>
        <w:ind w:left="900" w:hanging="406"/>
        <w:spacing w:after="0" w:line="242" w:lineRule="auto"/>
        <w:tabs>
          <w:tab w:leader="none" w:pos="8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$13 million increase in AirVision and AirCentre commercial and operations solutions revenue primarily driven by license fee revenue from new implementations recognized upon delivery to the customer as well as an increase in revenue related to services and new implementations; and</w:t>
      </w:r>
    </w:p>
    <w:p>
      <w:pPr>
        <w:spacing w:after="0" w:line="88" w:lineRule="exact"/>
        <w:rPr>
          <w:rFonts w:ascii="Arial" w:cs="Arial" w:eastAsia="Arial" w:hAnsi="Arial"/>
          <w:sz w:val="16"/>
          <w:szCs w:val="16"/>
          <w:color w:val="auto"/>
        </w:rPr>
      </w:pPr>
    </w:p>
    <w:p>
      <w:pPr>
        <w:jc w:val="both"/>
        <w:ind w:left="900" w:hanging="406"/>
        <w:spacing w:after="0" w:line="235" w:lineRule="auto"/>
        <w:tabs>
          <w:tab w:leader="none" w:pos="8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$5 million increase in Reservation revenue for the year ended December 31, 2019 compared to the prior year primarily driven by the acquisition of Radixx and organic growth in our existing customer base. This increase was partially offset by a decrease in the volume of Passengers Boarded, which declined 2% to 741 million for the year ended December 31, 2019, driven by the demigration of the Transitioned Customers as well as the impact of Jet Airways' insolvency and the impact of the 737 Max incident on a particular customer.</w:t>
      </w:r>
    </w:p>
    <w:p>
      <w:pPr>
        <w:spacing w:after="0" w:line="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increased $20 million, or 7%, for the year ended December 31, 2019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growth in SynXis Software and Services Revenue of $17 million, or 7%, due to an increase in transaction volumes of 22% to 108 million, which includes the migration of certain brands of Wyndham Hotels over the first half of 2018 and early 2019. The migration of these enterprise hotel brands reduced the average rate of our transaction revenue for the year ended December 31, 2019 versus the prior year. Additionally, DX service revenue increased $3 million.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7"/>
        </w:trPr>
        <w:tc>
          <w:tcPr>
            <w:tcW w:w="60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289"/>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400"/>
              <w:spacing w:after="0"/>
              <w:rPr>
                <w:sz w:val="20"/>
                <w:szCs w:val="20"/>
                <w:color w:val="auto"/>
              </w:rPr>
            </w:pPr>
            <w:r>
              <w:rPr>
                <w:rFonts w:ascii="Arial" w:cs="Arial" w:eastAsia="Arial" w:hAnsi="Arial"/>
                <w:sz w:val="13"/>
                <w:szCs w:val="13"/>
                <w:color w:val="auto"/>
              </w:rPr>
              <w:t>(Amounts 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1"/>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Network</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1,865,968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1,708,142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157,826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Airline Solutions</w:t>
            </w:r>
          </w:p>
        </w:tc>
        <w:tc>
          <w:tcPr>
            <w:tcW w:w="240" w:type="dxa"/>
            <w:vAlign w:val="bottom"/>
          </w:tcPr>
          <w:p>
            <w:pPr>
              <w:spacing w:after="0"/>
              <w:rPr>
                <w:sz w:val="20"/>
                <w:szCs w:val="20"/>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513,729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467,668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46,061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5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Hospitality Solutions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228,037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189,746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38,291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37"/>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(40,879)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(35,065)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segment cost of revenue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2,566,855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2,330,491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236,364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44,324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41,648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5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340,889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341,653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upfront incentive consideration</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82,935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77,622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5,313</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262"/>
        </w:trPr>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3,035,003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2,791,414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243,589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i w:val="1"/>
          <w:iCs w:val="1"/>
          <w:color w:val="auto"/>
        </w:rPr>
        <w:t>Travel Network</w:t>
      </w:r>
      <w:r>
        <w:rPr>
          <w:rFonts w:ascii="Arial" w:cs="Arial" w:eastAsia="Arial" w:hAnsi="Arial"/>
          <w:sz w:val="16"/>
          <w:szCs w:val="16"/>
          <w:color w:val="auto"/>
        </w:rPr>
        <w:t>—Cost of revenue increased $158 million, or 9%, for the year ended December 31, 2019 compared to the prior year, partially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a $71 million increase in incentive consideration primarily due to volume growth in North America bookings as well as rate increases across all regions. The increase is also driven by a $69 million increase in labor costs and a $19 million increase in technology expenditures, both driven by the execution of our technology strategy, including cloud migration, mainframe offload and utilization of agile development methods, which increases the expensed portion of our total technology spend.</w:t>
      </w:r>
    </w:p>
    <w:p>
      <w:pPr>
        <w:spacing w:after="0" w:line="7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Airline Solutions</w:t>
      </w:r>
      <w:r>
        <w:rPr>
          <w:rFonts w:ascii="Arial" w:cs="Arial" w:eastAsia="Arial" w:hAnsi="Arial"/>
          <w:sz w:val="16"/>
          <w:szCs w:val="16"/>
          <w:color w:val="auto"/>
        </w:rPr>
        <w:t>—Cost of revenue increased $46 million, or 10%, for the year ended December 31, 2019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 result of a $62 million increase in labor costs and a $7 million increase in technology expenditures, both driven by the execution of our technology strategy, including cloud migration, mainframe offload and utilization of agile development methods, which increases the expensed portion of our total technology spend. The increase was partially offset by a reduction in non-development labor costs and benefits-related costs of $23 million.</w:t>
      </w:r>
    </w:p>
    <w:p>
      <w:pPr>
        <w:sectPr>
          <w:pgSz w:w="11900" w:h="16838" w:orient="portrait"/>
          <w:cols w:equalWidth="0" w:num="1">
            <w:col w:w="11420"/>
          </w:cols>
          <w:pgMar w:left="240" w:top="1215"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40" w:name="page41"/>
    <w:bookmarkEnd w:id="40"/>
    <w:p>
      <w:pPr>
        <w:jc w:val="both"/>
        <w:ind w:firstLine="486"/>
        <w:spacing w:after="0" w:line="255" w:lineRule="auto"/>
        <w:rPr>
          <w:sz w:val="20"/>
          <w:szCs w:val="20"/>
          <w:color w:val="auto"/>
        </w:rPr>
      </w:pPr>
      <w:r>
        <w:rPr>
          <w:rFonts w:ascii="Arial" w:cs="Arial" w:eastAsia="Arial" w:hAnsi="Arial"/>
          <w:sz w:val="16"/>
          <w:szCs w:val="16"/>
          <w:i w:val="1"/>
          <w:iCs w:val="1"/>
          <w:color w:val="auto"/>
        </w:rPr>
        <w:t xml:space="preserve">Hospitality Solutions </w:t>
      </w:r>
      <w:r>
        <w:rPr>
          <w:rFonts w:ascii="Arial" w:cs="Arial" w:eastAsia="Arial" w:hAnsi="Arial"/>
          <w:sz w:val="16"/>
          <w:szCs w:val="16"/>
          <w:color w:val="auto"/>
        </w:rPr>
        <w:t>—Cost of revenue increased $38 million, or 20%, for the year ended December 31, 2019 compared to the prior year.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a $28 million increase in labor costs and a $4 million increase in technology expenditures, both driven by the execution of our technology strategy, including cloud migration, mainframe offload and utilization of agile development methods, which increases the expensed portion of our total technology spend. Additionally, transaction-related costs increased by $14 million to support the growth of our business. These increases were partially offset by an $8 million reduction in non-development labor costs.</w:t>
      </w:r>
    </w:p>
    <w:p>
      <w:pPr>
        <w:spacing w:after="0" w:line="7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—Cost of revenue associated with corporate costs increased $3 million, or 6%, for the year ended December 31, 2019 compared to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This increase was primarily driven by an increase in labor costs resulting from the shift to open source and cloud-based solutions as well as an increase in non-development headcount-related expenses.</w:t>
      </w:r>
    </w:p>
    <w:p>
      <w:pPr>
        <w:spacing w:after="0" w:line="6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—Depreciation and amortization decreased $1 million for the year ended December 31, 2019 compared to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was primarily due to customer implementations that became fully amortized during the year, partially offset by additional depreciation related to the completion of software developed for internal use.</w:t>
      </w:r>
    </w:p>
    <w:p>
      <w:pPr>
        <w:spacing w:after="0" w:line="68"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Amortization of upfront incentive consideration—</w:t>
      </w:r>
      <w:r>
        <w:rPr>
          <w:rFonts w:ascii="Arial" w:cs="Arial" w:eastAsia="Arial" w:hAnsi="Arial"/>
          <w:sz w:val="16"/>
          <w:szCs w:val="16"/>
          <w:color w:val="auto"/>
        </w:rPr>
        <w:t>Amortization of upfront incentive consideration increased $5 million, or 7%,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compared to the prior year primarily due to an increase in upfront consideration provided to travel agencies.</w:t>
      </w:r>
    </w:p>
    <w:p>
      <w:pPr>
        <w:spacing w:after="0" w:line="2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60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249"/>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3"/>
                <w:szCs w:val="13"/>
                <w:color w:val="auto"/>
                <w:w w:val="97"/>
              </w:rPr>
              <w:t>(Amounts in thousands)</w:t>
            </w: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1"/>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6"/>
                <w:szCs w:val="16"/>
                <w:color w:val="auto"/>
              </w:rPr>
              <w:t>576,568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513,526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28"/>
              <w:spacing w:after="0"/>
              <w:rPr>
                <w:sz w:val="20"/>
                <w:szCs w:val="20"/>
                <w:color w:val="auto"/>
              </w:rPr>
            </w:pPr>
            <w:r>
              <w:rPr>
                <w:rFonts w:ascii="Arial" w:cs="Arial" w:eastAsia="Arial" w:hAnsi="Arial"/>
                <w:sz w:val="16"/>
                <w:szCs w:val="16"/>
                <w:color w:val="auto"/>
              </w:rPr>
              <w:t>63,042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bl>
    <w:p>
      <w:pPr>
        <w:spacing w:after="0" w:line="21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Selling, general and administrative expenses increased by $63 million, or 12%, for the year ended December 31, 2019 compared to the prior year, primarily driven by an increase in our legal costs associated with the potential acquisition of Farelogix of $41 million, an increase in labor costs of $24 million, an increase in technology costs of $14 million related to strategic investments in cybersecurity and corporate systems, an increase in bad debt expense of $13 million, and an increase in other antitrust litigation expenses of $3 million. The increase was partially offset by the reversal of our previously accrued loss related to the US Airways legal matter for $32 million. See Note 16. Commitments and Contingencies, to our consolidated financial statements for further information.</w:t>
      </w: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60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7"/>
                <w:szCs w:val="17"/>
                <w:color w:val="auto"/>
              </w:rPr>
            </w:pPr>
          </w:p>
        </w:tc>
      </w:tr>
      <w:tr>
        <w:trPr>
          <w:trHeight w:val="289"/>
        </w:trPr>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3"/>
                <w:szCs w:val="13"/>
                <w:color w:val="auto"/>
                <w:w w:val="97"/>
              </w:rPr>
              <w:t>(Amounts in thousands)</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1"/>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6"/>
                <w:szCs w:val="16"/>
                <w:color w:val="auto"/>
              </w:rPr>
              <w:t>35,326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57,492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(22,166)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21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effective tax rate for the year ended December 31, 2019 and 2018 was 17.7% and 14.4%, respectively. The increase in the effective tax rate for the year ended December 31, 2019 as compared to the same period in 2018 was primarily due to the impact of 2018 adjustments related to the enactment of the TCJA for deferred taxes and foreign tax effects of $27 million and, in 2019, an unfavorable impact of our geographic mix of taxable income, partially offset by an increase in net favorable U.S. tax permanent differences and certain tax credits and incentives.</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and tax credits.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principal sources of liquidity are: (i) cash flows from operations, (ii) cash and cash equivalents and (iii) borrowings under our $400 million Revolver (see “—Senior Secured Credit Facilities ”). Borrowing availability under our Revolver is reduced by our outstanding letters of credit and restricted cash collateral. As of December 31, 2019 and 2018, our cash and cash equivalents, Revolver and outstanding letters of credit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00" w:type="dxa"/>
            <w:vAlign w:val="bottom"/>
            <w:tcBorders>
              <w:bottom w:val="single" w:sz="8" w:color="auto"/>
            </w:tcBorders>
          </w:tcPr>
          <w:p>
            <w:pPr>
              <w:spacing w:after="0"/>
              <w:rPr>
                <w:sz w:val="15"/>
                <w:szCs w:val="15"/>
                <w:color w:val="auto"/>
              </w:rPr>
            </w:pPr>
          </w:p>
        </w:tc>
      </w:tr>
      <w:tr>
        <w:trPr>
          <w:trHeight w:val="183"/>
        </w:trPr>
        <w:tc>
          <w:tcPr>
            <w:tcW w:w="8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2018</w:t>
            </w: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436,176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509,265</w:t>
            </w:r>
          </w:p>
        </w:tc>
      </w:tr>
      <w:tr>
        <w:trPr>
          <w:trHeight w:val="233"/>
        </w:trPr>
        <w:tc>
          <w:tcPr>
            <w:tcW w:w="8100" w:type="dxa"/>
            <w:vAlign w:val="bottom"/>
          </w:tcPr>
          <w:p>
            <w:pPr>
              <w:ind w:left="20"/>
              <w:spacing w:after="0"/>
              <w:rPr>
                <w:sz w:val="20"/>
                <w:szCs w:val="20"/>
                <w:color w:val="auto"/>
              </w:rPr>
            </w:pPr>
            <w:r>
              <w:rPr>
                <w:rFonts w:ascii="Arial" w:cs="Arial" w:eastAsia="Arial" w:hAnsi="Arial"/>
                <w:sz w:val="16"/>
                <w:szCs w:val="16"/>
                <w:color w:val="auto"/>
              </w:rPr>
              <w:t>Available balance under the Revolver</w:t>
            </w:r>
          </w:p>
        </w:tc>
        <w:tc>
          <w:tcPr>
            <w:tcW w:w="380" w:type="dxa"/>
            <w:vAlign w:val="bottom"/>
          </w:tcPr>
          <w:p>
            <w:pPr>
              <w:spacing w:after="0"/>
              <w:rPr>
                <w:sz w:val="20"/>
                <w:szCs w:val="20"/>
                <w:color w:val="auto"/>
              </w:rPr>
            </w:pPr>
          </w:p>
        </w:tc>
        <w:tc>
          <w:tcPr>
            <w:tcW w:w="1220" w:type="dxa"/>
            <w:vAlign w:val="bottom"/>
          </w:tcPr>
          <w:p>
            <w:pPr>
              <w:jc w:val="right"/>
              <w:ind w:right="85"/>
              <w:spacing w:after="0"/>
              <w:rPr>
                <w:sz w:val="20"/>
                <w:szCs w:val="20"/>
                <w:color w:val="auto"/>
              </w:rPr>
            </w:pPr>
            <w:r>
              <w:rPr>
                <w:rFonts w:ascii="Arial" w:cs="Arial" w:eastAsia="Arial" w:hAnsi="Arial"/>
                <w:sz w:val="16"/>
                <w:szCs w:val="16"/>
                <w:color w:val="auto"/>
              </w:rPr>
              <w:t>388,396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385,335</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the Revolver: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3"/>
        </w:trPr>
        <w:tc>
          <w:tcPr>
            <w:tcW w:w="8100" w:type="dxa"/>
            <w:vAlign w:val="bottom"/>
          </w:tcPr>
          <w:p>
            <w:pPr>
              <w:ind w:left="220"/>
              <w:spacing w:after="0"/>
              <w:rPr>
                <w:sz w:val="20"/>
                <w:szCs w:val="20"/>
                <w:color w:val="auto"/>
              </w:rPr>
            </w:pPr>
            <w:r>
              <w:rPr>
                <w:rFonts w:ascii="Arial" w:cs="Arial" w:eastAsia="Arial" w:hAnsi="Arial"/>
                <w:sz w:val="16"/>
                <w:szCs w:val="16"/>
                <w:color w:val="auto"/>
              </w:rPr>
              <w:t>Revolver outstanding balance</w:t>
            </w:r>
          </w:p>
        </w:tc>
        <w:tc>
          <w:tcPr>
            <w:tcW w:w="3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53"/>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letters of credit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11,604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14,665</w:t>
            </w:r>
          </w:p>
        </w:tc>
      </w:tr>
    </w:tbl>
    <w:p>
      <w:pPr>
        <w:spacing w:after="0" w:line="218"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2019 and 2018.</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As a result of the enactment of the TCJA, we recorded a one-time transition tax on the undistributed earnings of our foreign subsidiaries. We do not consider these undistributed earnings to be indefinitely reinvested as of December 31, 2019, with certain limited exceptions. We consider the undistributed capital investments in our foreign subsidiaries to be indefinitely reinvested as of December 31, 2019, and have not provided deferred taxes on any outside basis differences. Our cash, cash equivalents and marketable securities held by our foreign subsidiaries are available to satisfy domestic liquidity needs arising in the ordinary course of business, including liquidity needs associated with our domestic debt service requirements.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share repurchases, and dividends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utilize cash and cash equivalents, supplemented by our Revolver, primarily to pay our operating expenses, make capital expenditures, invest in our information technology infrastructure, products and offerings, pay quarterly dividends on our common stock, make payments under the TRA, pay taxes, and service our debt and other long-term liabilities. On October 15, 2019, we acquired Radixx for $110 million utilizing cash on hand. In addition, we have entered into an agreement to purchase Farelogix for $360 million, which will be funded at closing by cash on hand and borrowings under our Revolver. Under the acquisition agreement, as amended, we have agreed to advance certain attorneys’ fees incurred by Farelogix in responding to certain governmental reviews of the acquisition and in defending against certain antitrust proceedings, which have totaled $20 million for the year ended December 31, 2019. These advances will be applied against the purchase price upon closing. The acquisition agreement, as amended, contains certain customary termination rights, including the right of either party to terminate the acquisition agreement if the acquisition has not occurred by April 30, 2020. We could be obligated to pay Farelogix up to an additional $25 million, either in the form of additional advances or in the form of a termination fee depending on the circumstances.</w:t>
      </w:r>
    </w:p>
    <w:p>
      <w:pPr>
        <w:spacing w:after="0" w:line="9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Furthermore, on an ongoing basis, we will evaluate and consider strategic acquisitions, divestitures, joint ventures, repurchasing shares of our common stock (including pursuant to our multi-year $500 million share repurchase program (the "Share Repurchase Program")) or our outstanding debt obligations in open market or in privately negotiated transactions,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 or utilization of our Revolver.</w:t>
      </w:r>
    </w:p>
    <w:p>
      <w:pPr>
        <w:spacing w:after="0" w:line="9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believe that cash flows from operations, cash and cash equivalents on hand and our Revolver provide adequate liquidity for our operational and capital expenditures and other obligations over the next twelve months, as well as funding our acquisition of Farelogix. We are reviewing opportunities to refinance Term Loan A, Term Loan B, and our Revolver, depending on market conditions. This refinancing may include a debt issuance, a reallocation between Term Loan A and Term Loan B and an extension of the maturity date of Term Loan A and our revolver. We may supplement our current liquidity through debt or equity offerings to support future strategic investments, or to pay down debt including debt offerings to pay down a portion of our outstanding debt. We funded TRA payments of $72 million, $74 million, and $60 million, including interest, due in January 2020, January 2019 and January 2018, respectively, with cash on hand.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2" w:name="page43"/>
    <w:bookmarkEnd w:id="42"/>
    <w:p>
      <w:pPr>
        <w:ind w:left="500"/>
        <w:spacing w:after="0"/>
        <w:rPr>
          <w:sz w:val="20"/>
          <w:szCs w:val="20"/>
          <w:color w:val="auto"/>
        </w:rPr>
      </w:pPr>
      <w:r>
        <w:rPr>
          <w:rFonts w:ascii="Arial" w:cs="Arial" w:eastAsia="Arial" w:hAnsi="Arial"/>
          <w:sz w:val="16"/>
          <w:szCs w:val="16"/>
          <w:color w:val="auto"/>
        </w:rPr>
        <w:t>As of December 31, 2018 we have utilized substantially all of our U.S. federal net operating loss carryforwards and a portion of our available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federal tax credits. As a result, we expect an increase in the amount of our cash taxes in future years, beginning in 2020.</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Dividends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During the year ended December 31, 2019, we paid quarterly cash dividends on our common stock totaling $154 million and expect to continue to pay quarterly cash dividends thereafter. Our board of directors has declared a cash dividend of $0.14 per share of our common stock, which will be paid on March 30, 2020 to stockholders of record as of March 20, 2020. We funded the 2019 dividends, and intend to fund any future dividends, from cash generated from our operations. 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Term Facility Amendment</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On March 2, 2018, Sabre GLBL entered into a Fifth Incremental Term Facility Amendment to our Amended and Restated Credit Agreement to refinance and modify the terms of the Term Loan B, resulting in a reduction of the applicable margins for the Term Loan B to 2.00% per annum for Eurocurrency rate loans and 1.00% per annum for base rate loans. We incurred no additional indebtedness as a result of this transaction and incurred $2 million in financing fees recorded within Other, net and a $1 million loss extinguishment of debt in our consolidated results of operations for the year ended December 31, 2018.</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Secondary Public Offerings</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During the year ended December 31, 2018, certain of our stockholders sold an aggregate of 69,304,636 shares of our common stock through secondary public offerings. We did not offer any shares or receive any proceeds from these secondary public offerings. Following the secondary public offering of approximately 23,304,636 shares of common stock during the fourth quarter of 2018, stockholders affiliated with TPG Global, LLC ("TPG") and Silver Lake Management Company II, L.L.C. ("Silver Lake") no longer held any shares of our common stock.</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February 2017, our Board approved a $500 million multi-year Share Repurchase Program. Repurchases under the program may take place in the open market or privately negotiated transactions, or otherwise. Approximately $287 million remains authorized for repurchase under the Share Repurchase Program as of December 31, 2019. For the year ended December 31, 2019, we repurchased 3,673,768 shares totaling $78 million pursuant to this Share Repurchase Program. There were no shares repurchased during the fourth quarter of 2019.</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February 2013, Sabre GLBL entered into the Amended and Restated Credit Agreement. The agreement replaced (i) the existing term loans with new classes of term loans of $1,775 million (the “2013 Term Loan B”) and $425 million (the “2013 Term Loan C”) and (ii) the existing revolving credit facility with a new revolving credit facility of $352 million (the “2013 Revolver”). In September 2013, Sabre GLBL entered into an agreement to amend the Amended and Restated Credit Agreement to add a new class of term loans in the amount of $350 million (the “2013 Incremental Term Loan Facility”).</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July 2016, Sabre GLBL entered into a series of amendments (the “Credit Agreement Amendments”) to our Amended and Restated Credit Agreement to provide for an incremental term loan under a new class with an aggregate principal amount of $600 million (the “2016 Term Loan A”) and to replace the 2013 Revolver with a new revolving credit facility totaling $400 million (the “2016 Revolver”). The proceeds of $597 million, net of $3 million discount, from the 2016 Term Loan A were used to repay $350 million of outstanding principal on our 2013 Term Loan B and 2013 Incremental Term Loan Facility, on a pro rata basis, repay the $120 million then-outstanding balance on the 2016 Revolver, and pay $11 million in associated financing fees. We recognized a $4 million loss on extinguishment of debt in connection with these transactions during the year ended December 31, 2016.</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February 22, 2017, Sabre GLBL entered into a Third Incremental Term Facility Amendment to our Amended and Restated Credit Agreement (the “2017 Term Facility Amendment”). The new agreement replaced the 2013 Term Loan B, 2013 Term Loan C, and 2013 Incremental Term Loan Facility with a single class of term loan (the "2017 Term Loan B") with an aggregate principal amount of $1,900 million maturing on February 22, 2024. The proceeds of $1,898 million, net of $2 million discount on the 2017 Term Loan B, were used to pay off approximately $1,761 million of all existing classes of outstanding term loans (other than the 2016 Term Loan A), pay related accrued interest and pay $12 million in associated financing fees, which were recorded as debt modification costs in Other, net in the consolidated statement of operations during the three months ended March 31, 2017. The remaining proceeds of the 2017 Term Loan B were used to pay off approximately $80 million of Sabre’s outstanding mortgage on its corporate headquarters on March 31, 2017 and for other general corporate purposes. Unamortized debt issuance costs and discount related to existing classes of outstanding term loans prior to the 2017 Term</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6"/>
          <w:szCs w:val="16"/>
          <w:color w:val="auto"/>
        </w:rPr>
        <w:t>Facility Amendment of $9 million and $3 million, respectively, will continue to be amortized over the remaining term of the 2017 Term Loan B along with the Term Loan B discount of $2 million. See Note 9. Derivatives, to our consolidated financial statements for information regarding the discontinuation of hedge accounting related to our existing interest rate swaps as a result of the 2017 Term Facility Amendment.</w:t>
      </w:r>
    </w:p>
    <w:p>
      <w:pPr>
        <w:spacing w:after="0" w:line="93"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On August 23, 2017, Sabre GLBL entered into a Fourth Incremental Term Facility Amendment to our Amended and Restated Credit Agreement, Term Loan A Refinancing Amendment to the Credit Agreement, and Second Revolving Facility Refinancing Amendment to the Credit Agreement to refinance and modify the terms of the 2017 Term Loan B, the 2016 Term Loan A, and the 2016 Revolver, resulting in a reduction of the applicable margins for each of these instruments and approximately a one-year extension of the maturity of the 2016 Term Loan A and 2016 Revolver (the “2017 Refinancing”). We incurred no additional indebtedness as a result of the 2017 Refinancing. The 2017 Refinancing included a $400 million revolving credit facility ("Revolver") that replaced the 2016 Revolver, as well as the application of the proceeds of the approximately $1,891 million incremental Term Loan B facility (“Term Loan B”) and $570 million Term Loan A facility (“Term Loan A”) to replace the 2017 Term Loan B and the 2016 Term Loan A. The maturity of the Revolver and the Term Loan A was extended from July 18, 2021 to July 1, 2022. The applicable margins for the Term Loan B were reduced to 2.25% per annum for Eurocurrency rate loans and 1.25% per annum for base rate loans. The applicable margins for the Term Loan A and the Revolver were reduced to (i) between 2.50% and 1.75% per annum for Eurocurrency rate loans and (ii) between 1.50% and 0.75% per annum for base rate loans, in each case with the applicable margin for any quarter reduced by 25 basis points (up to 75 basis points total) if the Senior Secured First-Lien Net Leverage Ratio (as defined in the Amended and Restated Credit Agreement) is less than 3.75 to 1.0, 3.00 to 1.0, or 2.25 to 1.0, respectively. The Eurocurrency rate is based on LIBOR. In July 2017, the Financial Conduct Authority announced its intention to phase out LIBOR by the end of 2021. If a published U.S. dollar LIBOR rate is unavailable, the interest rates on our debt indexed to LIBOR will be determined using various alternative methods set forth in our Amended and Restated Credit Agreement, any of which could result in interest obligations that are more than or that do not otherwise correlate over time with the payments that would have been made on this debt if U.S. dollar LIBOR were available in its current form. See “Risk Factors—We are exposed to interest rate fluctuations.” We anticipate amending our Amended and Restated Credit Agreement prior to the phaseout of LIBOR to provide for a Eurocurrency rate alternative to LIBOR.</w:t>
      </w:r>
    </w:p>
    <w:p>
      <w:pPr>
        <w:spacing w:after="0" w:line="10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March 2, 2018, Sabre GLBL entered into a Fifth Incremental Term Facility Amendment to our Amended and Restated Credit Agreement to refinance and modify the terms of the Term Loan B as discussed above. See "—Recent Events Impacting Our Liquidity and Capital Resources" above.</w:t>
      </w:r>
    </w:p>
    <w:p>
      <w:pPr>
        <w:spacing w:after="0" w:line="88" w:lineRule="exact"/>
        <w:rPr>
          <w:sz w:val="20"/>
          <w:szCs w:val="20"/>
          <w:color w:val="auto"/>
        </w:rPr>
      </w:pPr>
    </w:p>
    <w:p>
      <w:pPr>
        <w:jc w:val="both"/>
        <w:ind w:right="560" w:firstLine="486"/>
        <w:spacing w:after="0" w:line="253" w:lineRule="auto"/>
        <w:rPr>
          <w:sz w:val="20"/>
          <w:szCs w:val="20"/>
          <w:color w:val="auto"/>
        </w:rPr>
      </w:pPr>
      <w:r>
        <w:rPr>
          <w:rFonts w:ascii="Arial" w:cs="Arial" w:eastAsia="Arial" w:hAnsi="Arial"/>
          <w:sz w:val="16"/>
          <w:szCs w:val="16"/>
          <w:color w:val="auto"/>
        </w:rPr>
        <w:t>We had no balance outstanding under the Revolver as of December 31, 2019 and as of December 31, 2018. We had outstanding letters of credit totaling $12 million and $15 million as of December 31, 2019 and December 31, 2018, respectively, which reduced our overall credit capacity under the Revolver.</w:t>
      </w:r>
    </w:p>
    <w:p>
      <w:pPr>
        <w:spacing w:after="0" w:line="9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leverage ratio. Pursuant to Credit Agreement Amendments, effective July 18, 2016, the maximum leverage ratio has been adjusted to be based on the Total Net Leverage Ratio (as defined in the Amended and Restated Credit Agreement) and we are required, at all times (no longer solely when a threshold amount of revolving loans or letters of credit were outstanding), to maintain a Total Net Leverage Ratio of less than 4.5 to 1.0. As of December 31, 2019 we are in compliance with all covenants under the Amended and Restated Credit Agreement.</w:t>
      </w:r>
    </w:p>
    <w:p>
      <w:pPr>
        <w:spacing w:after="0" w:line="97"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are also required to pay down the term loans by an amount equal to 50% of annual excess cash flow, as defined in our Amended and Restated Credit Agreement. This percentage requirement may decrease or be eliminated if certain leverage ratios are achieved. Based on our results for the year ended December 31, 2018, we were not required to make an excess cash flow payment in 2019, and no excess cash flow payment was required in 2020 with respect to our results for the year ended December 31, 2019. We are further required to pay down the term loan with proceeds from certain asset sales or borrowings as defined in the Amended and Restated Credit Agreement.</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Immediately prior to the closing of our initial public offering, we entered into the TRA that provides the stockholders and equity award holders that were our stockholders and equity award holders, respectively, immediately prior to the closing of our initial public offering (collectively, the "Pre-IPO Existing Stockholders") the right to receive future payments from us equal to 85% of the amount of cash savings, if any, in U.S. federal income tax that we and our subsidiaries realize as a result of the utilization of certain tax assets attributable to periods prior to our initial public offerings, including NOLs, capital losses and the ability to realize tax amortization of certain intangible assets (collectively, the "Pre-IPO Tax Assets"). In connection with the TRA, we made payments, including interest, of $72 million in January 2020, $30 million in April 2019, and $74 million, $60 million and $101 million in January 2019, 2018 and 2017, respectively. In December 2019, we exercised our right under the terms of the TRA to accelerate our remaining payments under the TRA and make an early termination payment of $1 million, to the Pre-IPO Existing Shareholders, which was included in the January 2020 payment of $72 million described above. As a result, no future payments are required to be made to the Pre-IPO Existing Stockholders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44" w:name="page45"/>
    <w:bookmarkEnd w:id="44"/>
    <w:p>
      <w:pPr>
        <w:ind w:left="500"/>
        <w:spacing w:after="0"/>
        <w:rPr>
          <w:sz w:val="20"/>
          <w:szCs w:val="20"/>
          <w:color w:val="auto"/>
        </w:rPr>
      </w:pPr>
      <w:r>
        <w:rPr>
          <w:rFonts w:ascii="Arial" w:cs="Arial" w:eastAsia="Arial" w:hAnsi="Arial"/>
          <w:sz w:val="16"/>
          <w:szCs w:val="16"/>
          <w:b w:val="1"/>
          <w:bCs w:val="1"/>
          <w:i w:val="1"/>
          <w:iCs w:val="1"/>
          <w:color w:val="auto"/>
        </w:rPr>
        <w:t>Technology Expenditures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maintain and make enhancements to our products, services, technologies and systems in response to technological developments, industry standards, trends, and customer demands. We deploy resources in research and development in order to help maintain a competitive advantage and deliver innovation to the marketplace. Software developed for internal use includes costs incurred to enhance our infrastructure, software applications, and reservation systems. Additionally, we rely on other third-party providers, including DXC, Amazon Web Services, Inc., Google Cloud, and Microsoft Corporation, to operate computer data centers and network systems and provide hosting services. The aggregation of these costs represents our total technology expenditures of $1,034 million, $999 million, and $940 million for the years ended December 31, 2019, 2018, and 2017 respectively. These amounts include hosting, third-party software and expensed research and development costs of $945 million, $744 million, and $675 million for the years ended December 31, 2019, 2018, and 2017, respectively, and capitalized software development expenditures of $89 million, $256 million, and $264 million for these respective periods. This definition of total technology expenditures does not include computer equipment or other property, plant, and equipment. See "Factors Affecting Our Results— Technology transformation and change in mix of technology spend."</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Cash provided by operating activities for the year ended December 31, 2019 was $581 million and consisted of net income from continuing operations of $164 million, adjustments for non-cash and other items of $568 million and a decrease in cash from changes in operating assets and liabilities of $151 million. The adjustments for non-cash and other items consist primarily of $415 million of depreciation and amortization, $83 million in amortization of upfront incentive consideration, $67 million of stock-based compensation expense, $23 million of deferred income taxes, and $21 million allowance for doubtful accounts. The decrease in cash from changes in operating assets and liabilities of $151 million was primarily the result of $71 million used for upfront incentive consideration, $34 million increase in accounts receivable, $29 million used for capitalized implementation costs, $27 million decrease in accounts payable, $17 million decrease in accrued compensation and related benefits, and a $12 million decrease in deferred revenues. These decreases were partially offset by a decrease of $39 million in other assets and a decrease of $1 million in prepaid expenses and other current assets.</w:t>
      </w:r>
    </w:p>
    <w:p>
      <w:pPr>
        <w:spacing w:after="0" w:line="10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Cash provided by operating activities for the year ended December 31, 2018 was $725 million and consisted of net income from continuing operations of $341 million, adjustments for non-cash and other items of $607 million and a decrease in cash from changes in operating assets and liabilities of $223 million. The adjustments for non-cash and other items consist primarily of $413 million of depreciation and amortization, $78 million in amortization of upfront incentive consideration, $57 million of stock-based compensation expense, and $43 million of deferred income taxes. The decrease in cash from changes in operating assets and liabilities of $223 million was primarily the result of $89 million used for upfront incentive consideration, a $75 million increase in accounts receivable, $39 million used for capitalized implementation costs, a $30 million increase in other assets, a $27 million decrease in accounts payable, and a $15 million decrease in accrued compensation and related benefits. These decreases were partially offset by the receipt of $29 million from an insurance settlement, an increase of $8 million in deferred revenues, and a decrease of $14 million in prepaid expenses and other current assets.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For the year ended December 31, 2019, we used cash of $243 million in investing activities, including $107 million used in the acquisition of Radixx, net of cash acquired, and $89 million related to software developed for internal use. Additionally, we used cash of $20 million as an advance of purchase price to Farelogix for certain attorneys' fees. See "—Liquidity Outlook" above for additional information on the Farelogix acquisition agreement.</w:t>
      </w:r>
    </w:p>
    <w:p>
      <w:pPr>
        <w:spacing w:after="0" w:line="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For the year ended December 31, 2018, we used cash of $284 million on capital expenditures, which includes capitalized software development of $256 million, consisting of $252 million related to software developed for internal use and $4 million for development of on-premise licensed products.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2019, we used $410 million for financing activities. Significant highlights of our financing activities included:</w:t>
      </w:r>
    </w:p>
    <w:p>
      <w:pPr>
        <w:spacing w:after="0" w:line="113"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payment of $154 million in dividends on our common stock;</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payment of $45 million on our revolving credit facility and $62 million on our Term Loan A and Term Loan B, offset by proceeds of $45 million from borrowings on our revolving credit facility;</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payment on the TRA liability for $101 million, excluding interest;</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repurchase of 3,673,768 shares of our common stock outstanding totaling $78 million; and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45" w:name="page46"/>
    <w:bookmarkEnd w:id="45"/>
    <w:p>
      <w:pPr>
        <w:ind w:left="820" w:hanging="326"/>
        <w:spacing w:after="0" w:line="260" w:lineRule="auto"/>
        <w:tabs>
          <w:tab w:leader="none" w:pos="80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payments of $6 million from the settlement of employee stock-based awards, including $7 million in proceeds from the exercise of employee stock options, net of payments for $13 million in income tax withholdings associated with the settlement of employee stock-based awards.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2018, we used $307 million for financing activities. Significant highlights of our financing activities included:</w:t>
      </w:r>
    </w:p>
    <w:p>
      <w:pPr>
        <w:spacing w:after="0" w:line="113" w:lineRule="exact"/>
        <w:rPr>
          <w:sz w:val="20"/>
          <w:szCs w:val="20"/>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 of $154 million in dividends on our common stock;</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second annual payment in January 2018 on the TRA liability for $59 million, excluding interest;</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 of $47 million on our Term Loan A and Term Loan B and $2 million in debt issuance and modification costs;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repurchase of 1,075,255 shares of our common stock outstanding totaling $26 million; and</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receipt of net proceeds totaling $2 million from the settlement of employee stock-option awards, including a payment of $10 million in income tax withholdings associated with the settlement of employee restricted-stock awards.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Discontinued Travelocity Business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Cash flows used in discontinued operating activities were $2 million, $2 million, and $5 million for the years ended December 31, 2019, 2018 and 2017, respectively. The cash flows used by discontinued operations for the year ended December 31, 2019, 2018 and 2017, primarily resulted from expenses associated with legal contingencies related to hotel occupancy taxes.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2019, our contractual obligations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7"/>
              </w:rPr>
              <w:t>Payments Due by Period</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Thereafter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Total</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228,408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218,621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515,805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1,154,811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1,777,790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3,895,435</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26,972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21,008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17,564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14,127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12,681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31,651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124,003</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 outsourcing agreement</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139,870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125,797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107,653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357,287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2,230,607</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(4)</w:t>
            </w:r>
          </w:p>
        </w:tc>
        <w:tc>
          <w:tcPr>
            <w:tcW w:w="220" w:type="dxa"/>
            <w:vAlign w:val="bottom"/>
          </w:tcPr>
          <w:p>
            <w:pPr>
              <w:spacing w:after="0"/>
              <w:rPr>
                <w:sz w:val="21"/>
                <w:szCs w:val="21"/>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187,011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49,930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37,930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20,095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16,072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36,000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347,038</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Letters of credit</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7,135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2,549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1,920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11,604</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Unrecognized tax benefits</w:t>
            </w:r>
            <w:r>
              <w:rPr>
                <w:rFonts w:ascii="Arial" w:cs="Arial" w:eastAsia="Arial" w:hAnsi="Arial"/>
                <w:sz w:val="21"/>
                <w:szCs w:val="21"/>
                <w:color w:val="auto"/>
                <w:vertAlign w:val="superscript"/>
              </w:rPr>
              <w:t>(6)</w:t>
            </w:r>
          </w:p>
        </w:tc>
        <w:tc>
          <w:tcPr>
            <w:tcW w:w="2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80,933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80,933</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Receivable Agreement</w:t>
            </w:r>
            <w:r>
              <w:rPr>
                <w:rFonts w:ascii="Arial" w:cs="Arial" w:eastAsia="Arial" w:hAnsi="Arial"/>
                <w:sz w:val="21"/>
                <w:szCs w:val="21"/>
                <w:color w:val="auto"/>
                <w:vertAlign w:val="superscript"/>
              </w:rPr>
              <w:t>(7)</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71,958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71,958</w:t>
            </w:r>
          </w:p>
        </w:tc>
      </w:tr>
      <w:tr>
        <w:trPr>
          <w:trHeight w:val="237"/>
        </w:trPr>
        <w:tc>
          <w:tcPr>
            <w:tcW w:w="3040" w:type="dxa"/>
            <w:vAlign w:val="bottom"/>
          </w:tcPr>
          <w:p>
            <w:pPr>
              <w:ind w:left="20"/>
              <w:spacing w:after="0" w:line="237" w:lineRule="exact"/>
              <w:rPr>
                <w:sz w:val="20"/>
                <w:szCs w:val="20"/>
                <w:color w:val="auto"/>
              </w:rPr>
            </w:pPr>
            <w:r>
              <w:rPr>
                <w:rFonts w:ascii="Arial" w:cs="Arial" w:eastAsia="Arial" w:hAnsi="Arial"/>
                <w:sz w:val="16"/>
                <w:szCs w:val="16"/>
                <w:color w:val="auto"/>
              </w:rPr>
              <w:t>Total contractual cash obligations</w:t>
            </w:r>
            <w:r>
              <w:rPr>
                <w:rFonts w:ascii="Arial" w:cs="Arial" w:eastAsia="Arial" w:hAnsi="Arial"/>
                <w:sz w:val="21"/>
                <w:szCs w:val="21"/>
                <w:color w:val="auto"/>
                <w:vertAlign w:val="superscript"/>
              </w:rPr>
              <w:t>(8)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661,354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417,905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680,872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1,546,320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1,806,543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1,648,584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6,761,578</w:t>
            </w:r>
          </w:p>
        </w:tc>
      </w:tr>
      <w:tr>
        <w:trPr>
          <w:trHeight w:val="21"/>
        </w:trPr>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6" w:lineRule="exact"/>
        <w:rPr>
          <w:sz w:val="20"/>
          <w:szCs w:val="20"/>
          <w:color w:val="auto"/>
        </w:rPr>
      </w:pPr>
    </w:p>
    <w:p>
      <w:pPr>
        <w:jc w:val="both"/>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all interest and principal of borrowings under our senior secured credit facilities, senior secured notes due 2023 and finance lease obligations.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 See Note 8. Debt,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lease approximately 1.6 million square feet of office space in 93 locations in 48 countries. Lease payment escalations are based on fixed annual increases, local consumer price index changes or market rental reviews. We have renewal options of various term lengths in approximately 50 leases. We have no purchase options and no restrictions imposed by our leases concerning dividends or additional debt. Also includes future minimum payment obligations for an operating lease commencing in the first quarter of 2020. See Note 11. Leases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minimum amounts due to DXC under the terms of an outsourcing agreement through which DXC manages a significant portion of our information technology systems. Also reflects minimum amounts due under an information technology agreement entered into during the first quarter of 2020. Actual payments may vary significantly from the minimum amounts presented.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Purchase obligations represent an estimate of all open purchase orders and contractual obligations in the ordinary course of business for which we have not received the goods or services as of December 31, 2019.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letters of credit consist of stand-by letters of credit, underwritten by a group of lenders, which we primarily issue in the normal course of business. The contractual expiration dates of these letters of credit are shown in the table above. There were no claims made against any standby letters of credit during the years ended December 31, 2019, 2018 and 2017.</w:t>
      </w:r>
    </w:p>
    <w:p>
      <w:pPr>
        <w:spacing w:after="0" w:line="1" w:lineRule="exact"/>
        <w:rPr>
          <w:rFonts w:ascii="Arial" w:cs="Arial" w:eastAsia="Arial" w:hAnsi="Arial"/>
          <w:sz w:val="14"/>
          <w:szCs w:val="14"/>
          <w:color w:val="auto"/>
        </w:rPr>
      </w:pPr>
    </w:p>
    <w:p>
      <w:pPr>
        <w:ind w:left="340" w:hanging="332"/>
        <w:spacing w:after="0" w:line="249"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3" w:lineRule="exact"/>
        <w:rPr>
          <w:rFonts w:ascii="Arial" w:cs="Arial" w:eastAsia="Arial" w:hAnsi="Arial"/>
          <w:sz w:val="14"/>
          <w:szCs w:val="14"/>
          <w:color w:val="auto"/>
        </w:rPr>
      </w:pPr>
    </w:p>
    <w:p>
      <w:pPr>
        <w:ind w:left="340" w:hanging="332"/>
        <w:spacing w:after="0" w:line="234"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4"/>
          <w:szCs w:val="14"/>
          <w:color w:val="auto"/>
        </w:rPr>
        <w:t>We made payments, including interest, of $72 million in January 2020. See Note 7. Income Taxes, to our consolidated financial statements and “Liquidity and Capital Resources—Tax Receivable Agreement.”</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pension obligations, see Note 15. Pension and Other Postretirement Benefit Plans, to our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Off Balance Sheet Arrangements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had no off balance sheet arrangements during the years ended December 31, 2019, 2018 and 2017.</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376"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Information related to Recent Accounting Pronouncements is included in Note 1. Summary of Business and Significant Accounting Policies, to our consolidated financial statements included in Part II, Item 8 in this Annual Report on Form 10-K, which is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accounting policies that include significant estimates and assumptions include: (i) estimation for revenue recognition and multiple performance obligation arrangements, (ii) determination of the fair value of assets and liabilities acquired in a business combination, (iii) the evaluation of the recoverability of the carrying value of long-lived assets and goodwill, (iv) assumptions utilized to test recoverability of capitalized implementation costs, (v) judgments in capitalization of software developed for internal use, and (vi) 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0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 and Multiple Performance Obligation Arrangements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agreements with customers of our Airline Solutions business may have multiple performance obligations which generally include software solutions through SaaS and hosted delivery, professional service fees and implementation services. In addition, from time to time, we enter into agreements with customers to provide access to Travel Network’s GDS and, at or near the same time, enter into a separate agreement to provide software solutions through SaaS and hosted delivery. These multiple performance obligation arrangements involve judgments, including estimates of the selling prices of goods and services, attribution of variable consideration, assessments of the likelihood of nonpayment and estimates of total costs and costs to complete a project.</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Revenue recognition from our Airline Solutions business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subset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professional and implementation services are generally performed in the early stages of the agreements. Access to our GDS is provided over the full term of the contract. Software solutions through SaaS and hosted delivery are often not provided until implementation services are completed. We evaluate revenue recognition for agreements with customers which generally are represented by individual contracts but could include groups of contracts if the contracts are executed at or near the same time. Typically, access to our GDS and our professional service fees are separated from the implementation and software hosting services.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7" w:name="page48"/>
    <w:bookmarkEnd w:id="47"/>
    <w:p>
      <w:pPr>
        <w:jc w:val="both"/>
        <w:ind w:firstLine="486"/>
        <w:spacing w:after="0" w:line="248"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 direct costs of the contract when a significant event occurs that could impact the recoverability of the assets, such as a significant contract modification or early renewal of contract terms. For the year ended December 31, 2019, we did not impair any of these assets as a result of the related contracts becoming uncollectable, modified or canceled. See Note 4. Impairment and Related Charges regarding 2017 impairments. Contracts are priced to generate total revenues over the life of the contract that exceed any discounts or advances provided and any upfront costs incurred to implement the customer contract.</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Air Booking Cancellation Reserve</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natural disasters, general economic conditions, the financial condition of travel suppliers, and travel related accidents.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Authoritative guidance for business combinations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contingent consideration, where applicable, and previously-held investment interests.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future expected cash flows,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28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0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9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48" w:name="page49"/>
    <w:bookmarkEnd w:id="48"/>
    <w:p>
      <w:pPr>
        <w:ind w:left="500"/>
        <w:spacing w:after="0"/>
        <w:rPr>
          <w:sz w:val="20"/>
          <w:szCs w:val="20"/>
          <w:color w:val="auto"/>
        </w:rPr>
      </w:pPr>
      <w:r>
        <w:rPr>
          <w:rFonts w:ascii="Arial" w:cs="Arial" w:eastAsia="Arial" w:hAnsi="Arial"/>
          <w:sz w:val="16"/>
          <w:szCs w:val="16"/>
          <w:b w:val="1"/>
          <w:bCs w:val="1"/>
          <w:i w:val="1"/>
          <w:iCs w:val="1"/>
          <w:color w:val="auto"/>
        </w:rPr>
        <w:t>Goodwill and Long-Lived Assets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Goodwill was assigned to each reporting unit based on that reporting unit’s percentage of enterprise value as of the date of the acquisition of Sabre Corporation by TPG and Silver Lake plus goodwill associated with acquisitions since that time. We have three reporting units associated with our continuing operations: Travel Network, Airline Solutions and Hospitality Solutions. Goodwill related to our reporting units totaled $2.6 billion as of December 31, 2019.</w:t>
      </w:r>
    </w:p>
    <w:p>
      <w:pPr>
        <w:spacing w:after="0" w:line="9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a quantitative assessment. If it is determined through the evaluation of events or circumstances that the carrying value may not be recoverable,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w:t>
      </w:r>
    </w:p>
    <w:p>
      <w:pPr>
        <w:spacing w:after="0" w:line="97"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did not record any goodwill impairment charges for the years ended December 31, 2019, 2018 and 2017. The determination of fair value requires us to make significant judgments and estimates including cash flow projections and assumptions related to market participants, the principal markets, and the highest and best use of the reporting units. Changes in the assumptions used in our impairment testing may result in future impairment losses which could have a material impact on our results of operations. As of December 31, 2019, the fair value exceeded the carrying value for each of our three reporting units by more than 10%.</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Definite-lived intangible assets are assigned depreciable lives of two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also evaluate the need for additional impairment disclosures based on our Level 3 inputs. For fair value measurements categorized within Level 3 of the fair value hierarchy, we disclose the valuation processes used by the reporting entity. We did not record material intangible asset impairment charges for the years ended December 31, 2019, 2018 and 2017.</w:t>
      </w:r>
    </w:p>
    <w:p>
      <w:pPr>
        <w:spacing w:after="0" w:line="9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10. Fair Value Measurements, to our consolidated financial statements.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Capitalized Implementation Costs</w:t>
      </w:r>
    </w:p>
    <w:p>
      <w:pPr>
        <w:spacing w:after="0" w:line="133"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Capitalized implementation costs represents upfront costs to implement new customer contracts under our SaaS and hosted revenue model.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We record an impairment charge for the portion of the asset considered unrecoverable in the period identified, while considering the uncertainties associated with these types of contracts and judgments made in estimating revenue and direct costs. For the year ended December 31, 2019, we recorded $2 million in impairments associated with unrecoverable amounts in capitalized implementation costs. During the year ended December 31, 2018, we recorded $4 million in impairments associated with unrecoverable amounts in capitalized implementation costs. During the year ended December 31, 2017, given the substantial amount of uncertainty of reaching an agreement regarding the implementation of services pursuant to the contract with a customer in our Airline Solutions business, we assessed recoverability of all balances with the customer which resulted in an impairment charge totaling $81 million, which included related capitalized implementation costs. See Note 4. Impairment and Related Charges, to our consolidated financial statements for additional information.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Capitalized Software Developed for Internal Use</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under authoritative guidance on software developed for internal use during the application development stage. Costs related to preliminary and post project development activities are expensed as incurred. When determining whether applicable costs qualify for capitalization, we use judgment in distinguishing between the preliminary project and application development stages of the project and in determining whether these costs result in additional functionality for existing internal use software. In 2019, our development teams substantially completed the transition to utilizing the agile development methodology, which is characterized by a more dynamic development process with iterative activities that involve planning, design, coding and testing. This methodology requires additional review of the stages to ensure the applicable criteria are met for capitalization and may be less likely to meet the criteria for capitalization. As we expected, this transition towards implementing this methodology reduced our capitalization of certain costs with a corresponding increase in our product and technology operating expenses. Costs that cannot be separated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between maintenance of, and relatively minor upgrades and enhancements to, internal use software are also expensed as incurred.</w:t>
      </w:r>
    </w:p>
    <w:p>
      <w:pPr>
        <w:spacing w:after="0" w:line="11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During the years ended December 31, 2019, 2018 and 2017, we capitalized $89 million, $252 million, and $251 million, respectively, related to software developed for internal use.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and Non-Income Taxes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00"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believe that it is more likely than not that the benefit from certain non-U.S. deferred tax assets will not be realized. As a result, we established and maintain a valuation allowance on the non-U.S. deferred tax assets of our lastminute.com and other non-US subsidiaries of $33 million and $55 million as of December 31, 2019 and 2018, respectively. Also it is more likely than not that the benefit from certain U.S. state deferred tax assets will not be realized. As a result, we established and maintain a valuation allowance on these U.S. state deferred tax assets of $5 million and $4 million as of December 31, 2019 and 2018, respectively. We reassess these assumptions regularly, which could cause an increase or decrease to the valuation allowance resulting in an increase or decrease in the effective tax rate, and could materially impact our results of operations.</w:t>
      </w:r>
    </w:p>
    <w:p>
      <w:pPr>
        <w:spacing w:after="0" w:line="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2019 and 2018, we had a liability, including interest and penalty, of $81 million and $93 million, respectively, for unrecognized tax benefits, of which $63 million and $74 million, respectively, would affect our effective tax rate if recognized. Such a change in recognition or measurement would result in the recognition of a tax benefit or an additional charge to the provision for income taxes from continuing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Contingencies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While certain legal proceedings and related indemnification obligations and certain tax matters to which we are a party specify the amounts claimed, these claims may not represent reasonably possible losses. Given the inherent uncertainties of litigation and tax claims, the ultimate outcome of these matters cannot be predicted,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Changes in these factors could materially impact our results of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 Risk Management</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Revolver,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50" w:name="page51"/>
    <w:bookmarkEnd w:id="50"/>
    <w:p>
      <w:pPr>
        <w:ind w:left="5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As of December 31, 2019, our exposure to interest rates relates primarily to our interest rate swaps, our senior secured debt and our borrowings on our Revolver.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2019, the impact to our interest income from money market funds would not be material. This amount was determined by applying the hypothetical interest rate change to our average money market funds invested.</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the fourth quarter of 2014, we entered into interest rate swaps that effectively converted $750 million of floating interest rate senior secured debt into a fixed rate obligation for 2016, 2017 and 2018. As a result of the 2017 Term Facility Amendment in the first quarter of 2017, we discontinued hedge accounting for our existing swap agreements as of February 22, 2017 and entered into offsetting interest rate swaps that are not designated as hedging instruments. Additionally, in connection with the 2017 Term Facility Amendment, we entered into new forward starting interest rate swaps effective March 31, 2017 through December 31, 2019 to hedge the interest payments associated with $750 million of the floating-rate Term Loan B. In September 2017, we entered into new forward starting interest rate swaps to hedge the interest payments associated with $750 million of the floating-rate Term Loan B for the full year 2020. In April 2018, we entered into new forward starting interest rate swaps to hedge the interest payments associated with $600 million, $300 million and $450 million of the floating-rate Term Loan B related to full year 2019, 2020 and 2021, respectively. In December 2018, we entered into new forward starting interest rate swaps to hedge the interest payments associated with $150 million of the floating-rate Term Loan B for the full years 2020 and 2021.</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rate swaps outstanding at December 31, 2019 and matured during the years ended December 31, 2019, 2018 and 2017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8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Notional Amount</w:t>
            </w:r>
          </w:p>
        </w:tc>
        <w:tc>
          <w:tcPr>
            <w:tcW w:w="2160" w:type="dxa"/>
            <w:vAlign w:val="bottom"/>
          </w:tcPr>
          <w:p>
            <w:pPr>
              <w:jc w:val="center"/>
              <w:ind w:left="42"/>
              <w:spacing w:after="0"/>
              <w:rPr>
                <w:sz w:val="20"/>
                <w:szCs w:val="20"/>
                <w:color w:val="auto"/>
              </w:rPr>
            </w:pPr>
            <w:r>
              <w:rPr>
                <w:rFonts w:ascii="Arial" w:cs="Arial" w:eastAsia="Arial" w:hAnsi="Arial"/>
                <w:sz w:val="13"/>
                <w:szCs w:val="13"/>
                <w:b w:val="1"/>
                <w:bCs w:val="1"/>
                <w:color w:val="auto"/>
                <w:w w:val="96"/>
              </w:rPr>
              <w:t>Interest Rate</w:t>
            </w:r>
          </w:p>
        </w:tc>
        <w:tc>
          <w:tcPr>
            <w:tcW w:w="120" w:type="dxa"/>
            <w:vAlign w:val="bottom"/>
          </w:tcPr>
          <w:p>
            <w:pPr>
              <w:spacing w:after="0"/>
              <w:rPr>
                <w:sz w:val="13"/>
                <w:szCs w:val="13"/>
                <w:color w:val="auto"/>
              </w:rPr>
            </w:pPr>
          </w:p>
        </w:tc>
        <w:tc>
          <w:tcPr>
            <w:tcW w:w="21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Interest Rate Paid</w:t>
            </w:r>
          </w:p>
        </w:tc>
        <w:tc>
          <w:tcPr>
            <w:tcW w:w="24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Effective Date</w:t>
            </w:r>
          </w:p>
        </w:tc>
        <w:tc>
          <w:tcPr>
            <w:tcW w:w="2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72"/>
        </w:trPr>
        <w:tc>
          <w:tcPr>
            <w:tcW w:w="2080" w:type="dxa"/>
            <w:vAlign w:val="bottom"/>
            <w:vMerge w:val="continue"/>
          </w:tcPr>
          <w:p>
            <w:pPr>
              <w:spacing w:after="0"/>
              <w:rPr>
                <w:sz w:val="14"/>
                <w:szCs w:val="14"/>
                <w:color w:val="auto"/>
              </w:rPr>
            </w:pPr>
          </w:p>
        </w:tc>
        <w:tc>
          <w:tcPr>
            <w:tcW w:w="2160" w:type="dxa"/>
            <w:vAlign w:val="bottom"/>
          </w:tcPr>
          <w:p>
            <w:pPr>
              <w:jc w:val="center"/>
              <w:ind w:left="42"/>
              <w:spacing w:after="0"/>
              <w:rPr>
                <w:sz w:val="20"/>
                <w:szCs w:val="20"/>
                <w:color w:val="auto"/>
              </w:rPr>
            </w:pPr>
            <w:r>
              <w:rPr>
                <w:rFonts w:ascii="Arial" w:cs="Arial" w:eastAsia="Arial" w:hAnsi="Arial"/>
                <w:sz w:val="13"/>
                <w:szCs w:val="13"/>
                <w:b w:val="1"/>
                <w:bCs w:val="1"/>
                <w:color w:val="auto"/>
                <w:w w:val="98"/>
              </w:rPr>
              <w:t>Received</w:t>
            </w:r>
          </w:p>
        </w:tc>
        <w:tc>
          <w:tcPr>
            <w:tcW w:w="1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tcBorders>
              <w:top w:val="single" w:sz="8" w:color="auto"/>
              <w:bottom w:val="single" w:sz="8" w:color="auto"/>
            </w:tcBorders>
            <w:gridSpan w:val="2"/>
            <w:shd w:val="clear" w:color="auto" w:fill="CCEEFF"/>
          </w:tcPr>
          <w:p>
            <w:pPr>
              <w:jc w:val="right"/>
              <w:ind w:right="1062"/>
              <w:spacing w:after="0"/>
              <w:rPr>
                <w:sz w:val="20"/>
                <w:szCs w:val="20"/>
                <w:color w:val="auto"/>
              </w:rPr>
            </w:pPr>
            <w:r>
              <w:rPr>
                <w:rFonts w:ascii="Arial" w:cs="Arial" w:eastAsia="Arial" w:hAnsi="Arial"/>
                <w:sz w:val="13"/>
                <w:szCs w:val="13"/>
                <w:b w:val="1"/>
                <w:bCs w:val="1"/>
                <w:color w:val="auto"/>
              </w:rPr>
              <w:t>Designated as Hedging Instrument</w:t>
            </w:r>
          </w:p>
        </w:tc>
        <w:tc>
          <w:tcPr>
            <w:tcW w:w="12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jc w:val="center"/>
              <w:ind w:right="63"/>
              <w:spacing w:after="0"/>
              <w:rPr>
                <w:sz w:val="20"/>
                <w:szCs w:val="20"/>
                <w:color w:val="auto"/>
              </w:rPr>
            </w:pPr>
            <w:r>
              <w:rPr>
                <w:rFonts w:ascii="Arial" w:cs="Arial" w:eastAsia="Arial" w:hAnsi="Arial"/>
                <w:sz w:val="16"/>
                <w:szCs w:val="16"/>
                <w:color w:val="auto"/>
              </w:rPr>
              <w:t>$750 million</w:t>
            </w:r>
          </w:p>
        </w:tc>
        <w:tc>
          <w:tcPr>
            <w:tcW w:w="2160" w:type="dxa"/>
            <w:vAlign w:val="bottom"/>
          </w:tcPr>
          <w:p>
            <w:pPr>
              <w:jc w:val="center"/>
              <w:ind w:left="42"/>
              <w:spacing w:after="0"/>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tcPr>
          <w:p>
            <w:pPr>
              <w:jc w:val="right"/>
              <w:ind w:right="805"/>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6"/>
                <w:szCs w:val="16"/>
                <w:color w:val="auto"/>
              </w:rPr>
              <w:t>March 31, 2017</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2017</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jc w:val="center"/>
              <w:ind w:right="63"/>
              <w:spacing w:after="0"/>
              <w:rPr>
                <w:sz w:val="20"/>
                <w:szCs w:val="20"/>
                <w:color w:val="auto"/>
              </w:rPr>
            </w:pPr>
            <w:r>
              <w:rPr>
                <w:rFonts w:ascii="Arial" w:cs="Arial" w:eastAsia="Arial" w:hAnsi="Arial"/>
                <w:sz w:val="16"/>
                <w:szCs w:val="16"/>
                <w:color w:val="auto"/>
              </w:rPr>
              <w:t>$750 million</w:t>
            </w:r>
          </w:p>
        </w:tc>
        <w:tc>
          <w:tcPr>
            <w:tcW w:w="216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shd w:val="clear" w:color="auto" w:fill="CCEEFF"/>
          </w:tcPr>
          <w:p>
            <w:pPr>
              <w:jc w:val="right"/>
              <w:ind w:right="805"/>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29, 2017</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243"/>
        </w:trPr>
        <w:tc>
          <w:tcPr>
            <w:tcW w:w="2080" w:type="dxa"/>
            <w:vAlign w:val="bottom"/>
          </w:tcPr>
          <w:p>
            <w:pPr>
              <w:jc w:val="center"/>
              <w:ind w:right="43"/>
              <w:spacing w:after="0"/>
              <w:rPr>
                <w:sz w:val="20"/>
                <w:szCs w:val="20"/>
                <w:color w:val="auto"/>
              </w:rPr>
            </w:pPr>
            <w:r>
              <w:rPr>
                <w:rFonts w:ascii="Arial" w:cs="Arial" w:eastAsia="Arial" w:hAnsi="Arial"/>
                <w:sz w:val="16"/>
                <w:szCs w:val="16"/>
                <w:color w:val="auto"/>
              </w:rPr>
              <w:t>$1,350 million</w:t>
            </w:r>
          </w:p>
        </w:tc>
        <w:tc>
          <w:tcPr>
            <w:tcW w:w="2160" w:type="dxa"/>
            <w:vAlign w:val="bottom"/>
          </w:tcPr>
          <w:p>
            <w:pPr>
              <w:jc w:val="center"/>
              <w:ind w:left="42"/>
              <w:spacing w:after="0"/>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tcPr>
          <w:p>
            <w:pPr>
              <w:jc w:val="right"/>
              <w:ind w:right="805"/>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1"/>
                <w:szCs w:val="21"/>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2018</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jc w:val="center"/>
              <w:ind w:right="43"/>
              <w:spacing w:after="0"/>
              <w:rPr>
                <w:sz w:val="20"/>
                <w:szCs w:val="20"/>
                <w:color w:val="auto"/>
              </w:rPr>
            </w:pPr>
            <w:r>
              <w:rPr>
                <w:rFonts w:ascii="Arial" w:cs="Arial" w:eastAsia="Arial" w:hAnsi="Arial"/>
                <w:sz w:val="16"/>
                <w:szCs w:val="16"/>
                <w:color w:val="auto"/>
              </w:rPr>
              <w:t>$1,200 million</w:t>
            </w:r>
          </w:p>
        </w:tc>
        <w:tc>
          <w:tcPr>
            <w:tcW w:w="216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shd w:val="clear" w:color="auto" w:fill="CCEEFF"/>
          </w:tcPr>
          <w:p>
            <w:pPr>
              <w:jc w:val="right"/>
              <w:ind w:right="805"/>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2019</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43"/>
        </w:trPr>
        <w:tc>
          <w:tcPr>
            <w:tcW w:w="2080" w:type="dxa"/>
            <w:vAlign w:val="bottom"/>
          </w:tcPr>
          <w:p>
            <w:pPr>
              <w:jc w:val="center"/>
              <w:ind w:right="63"/>
              <w:spacing w:after="0"/>
              <w:rPr>
                <w:sz w:val="20"/>
                <w:szCs w:val="20"/>
                <w:color w:val="auto"/>
              </w:rPr>
            </w:pPr>
            <w:r>
              <w:rPr>
                <w:rFonts w:ascii="Arial" w:cs="Arial" w:eastAsia="Arial" w:hAnsi="Arial"/>
                <w:sz w:val="16"/>
                <w:szCs w:val="16"/>
                <w:color w:val="auto"/>
              </w:rPr>
              <w:t>$600 million</w:t>
            </w:r>
          </w:p>
        </w:tc>
        <w:tc>
          <w:tcPr>
            <w:tcW w:w="2160" w:type="dxa"/>
            <w:vAlign w:val="bottom"/>
          </w:tcPr>
          <w:p>
            <w:pPr>
              <w:jc w:val="center"/>
              <w:ind w:left="42"/>
              <w:spacing w:after="0"/>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(2)</w:t>
            </w:r>
          </w:p>
        </w:tc>
        <w:tc>
          <w:tcPr>
            <w:tcW w:w="2180" w:type="dxa"/>
            <w:vAlign w:val="bottom"/>
            <w:gridSpan w:val="2"/>
          </w:tcPr>
          <w:p>
            <w:pPr>
              <w:jc w:val="right"/>
              <w:ind w:right="805"/>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1"/>
                <w:szCs w:val="21"/>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2020</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3"/>
                <w:szCs w:val="13"/>
                <w:b w:val="1"/>
                <w:bCs w:val="1"/>
                <w:color w:val="auto"/>
              </w:rPr>
              <w:t>Not Designated as Hedging Instrument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80" w:type="dxa"/>
            <w:vAlign w:val="bottom"/>
            <w:shd w:val="clear" w:color="auto" w:fill="CCEEFF"/>
          </w:tcPr>
          <w:p>
            <w:pPr>
              <w:jc w:val="center"/>
              <w:ind w:right="63"/>
              <w:spacing w:after="0"/>
              <w:rPr>
                <w:sz w:val="20"/>
                <w:szCs w:val="20"/>
                <w:color w:val="auto"/>
              </w:rPr>
            </w:pPr>
            <w:r>
              <w:rPr>
                <w:rFonts w:ascii="Arial" w:cs="Arial" w:eastAsia="Arial" w:hAnsi="Arial"/>
                <w:sz w:val="16"/>
                <w:szCs w:val="16"/>
                <w:color w:val="auto"/>
              </w:rPr>
              <w:t>$750 million</w:t>
            </w:r>
          </w:p>
        </w:tc>
        <w:tc>
          <w:tcPr>
            <w:tcW w:w="2160" w:type="dxa"/>
            <w:vAlign w:val="bottom"/>
            <w:shd w:val="clear" w:color="auto" w:fill="CCEEFF"/>
          </w:tcPr>
          <w:p>
            <w:pPr>
              <w:jc w:val="center"/>
              <w:ind w:left="42"/>
              <w:spacing w:after="0" w:line="240"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(3)</w:t>
            </w:r>
          </w:p>
        </w:tc>
        <w:tc>
          <w:tcPr>
            <w:tcW w:w="2180" w:type="dxa"/>
            <w:vAlign w:val="bottom"/>
            <w:gridSpan w:val="2"/>
            <w:shd w:val="clear" w:color="auto" w:fill="CCEEFF"/>
          </w:tcPr>
          <w:p>
            <w:pPr>
              <w:jc w:val="right"/>
              <w:ind w:right="805"/>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30, 2016</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29, 2017</w:t>
            </w:r>
          </w:p>
        </w:tc>
        <w:tc>
          <w:tcPr>
            <w:tcW w:w="0" w:type="dxa"/>
            <w:vAlign w:val="bottom"/>
          </w:tcPr>
          <w:p>
            <w:pPr>
              <w:spacing w:after="0"/>
              <w:rPr>
                <w:sz w:val="1"/>
                <w:szCs w:val="1"/>
                <w:color w:val="auto"/>
              </w:rPr>
            </w:pPr>
          </w:p>
        </w:tc>
      </w:tr>
      <w:tr>
        <w:trPr>
          <w:trHeight w:val="233"/>
        </w:trPr>
        <w:tc>
          <w:tcPr>
            <w:tcW w:w="2080" w:type="dxa"/>
            <w:vAlign w:val="bottom"/>
          </w:tcPr>
          <w:p>
            <w:pPr>
              <w:jc w:val="center"/>
              <w:ind w:right="63"/>
              <w:spacing w:after="0"/>
              <w:rPr>
                <w:sz w:val="20"/>
                <w:szCs w:val="20"/>
                <w:color w:val="auto"/>
              </w:rPr>
            </w:pPr>
            <w:r>
              <w:rPr>
                <w:rFonts w:ascii="Arial" w:cs="Arial" w:eastAsia="Arial" w:hAnsi="Arial"/>
                <w:sz w:val="16"/>
                <w:szCs w:val="16"/>
                <w:color w:val="auto"/>
              </w:rPr>
              <w:t>$750 million</w:t>
            </w:r>
          </w:p>
        </w:tc>
        <w:tc>
          <w:tcPr>
            <w:tcW w:w="2160" w:type="dxa"/>
            <w:vAlign w:val="bottom"/>
          </w:tcPr>
          <w:p>
            <w:pPr>
              <w:jc w:val="right"/>
              <w:ind w:right="782"/>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1 month LIBOR</w:t>
            </w:r>
          </w:p>
        </w:tc>
        <w:tc>
          <w:tcPr>
            <w:tcW w:w="2440" w:type="dxa"/>
            <w:vAlign w:val="bottom"/>
            <w:gridSpan w:val="2"/>
          </w:tcPr>
          <w:p>
            <w:pPr>
              <w:jc w:val="center"/>
              <w:ind w:right="120"/>
              <w:spacing w:after="0"/>
              <w:rPr>
                <w:sz w:val="20"/>
                <w:szCs w:val="20"/>
                <w:color w:val="auto"/>
              </w:rPr>
            </w:pPr>
            <w:r>
              <w:rPr>
                <w:rFonts w:ascii="Arial" w:cs="Arial" w:eastAsia="Arial" w:hAnsi="Arial"/>
                <w:sz w:val="16"/>
                <w:szCs w:val="16"/>
                <w:color w:val="auto"/>
              </w:rPr>
              <w:t>March 31, 2017</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2017</w:t>
            </w:r>
          </w:p>
        </w:tc>
        <w:tc>
          <w:tcPr>
            <w:tcW w:w="0" w:type="dxa"/>
            <w:vAlign w:val="bottom"/>
          </w:tcPr>
          <w:p>
            <w:pPr>
              <w:spacing w:after="0"/>
              <w:rPr>
                <w:sz w:val="1"/>
                <w:szCs w:val="1"/>
                <w:color w:val="auto"/>
              </w:rPr>
            </w:pPr>
          </w:p>
        </w:tc>
      </w:tr>
      <w:tr>
        <w:trPr>
          <w:trHeight w:val="253"/>
        </w:trPr>
        <w:tc>
          <w:tcPr>
            <w:tcW w:w="2080" w:type="dxa"/>
            <w:vAlign w:val="bottom"/>
            <w:shd w:val="clear" w:color="auto" w:fill="CCEEFF"/>
          </w:tcPr>
          <w:p>
            <w:pPr>
              <w:jc w:val="center"/>
              <w:ind w:right="63"/>
              <w:spacing w:after="0"/>
              <w:rPr>
                <w:sz w:val="20"/>
                <w:szCs w:val="20"/>
                <w:color w:val="auto"/>
              </w:rPr>
            </w:pPr>
            <w:r>
              <w:rPr>
                <w:rFonts w:ascii="Arial" w:cs="Arial" w:eastAsia="Arial" w:hAnsi="Arial"/>
                <w:sz w:val="16"/>
                <w:szCs w:val="16"/>
                <w:color w:val="auto"/>
              </w:rPr>
              <w:t>$750 million</w:t>
            </w:r>
          </w:p>
        </w:tc>
        <w:tc>
          <w:tcPr>
            <w:tcW w:w="216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(3)</w:t>
            </w:r>
          </w:p>
        </w:tc>
        <w:tc>
          <w:tcPr>
            <w:tcW w:w="2180" w:type="dxa"/>
            <w:vAlign w:val="bottom"/>
            <w:gridSpan w:val="2"/>
            <w:shd w:val="clear" w:color="auto" w:fill="CCEEFF"/>
          </w:tcPr>
          <w:p>
            <w:pPr>
              <w:jc w:val="right"/>
              <w:ind w:right="805"/>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29, 2017</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224"/>
        </w:trPr>
        <w:tc>
          <w:tcPr>
            <w:tcW w:w="2080" w:type="dxa"/>
            <w:vAlign w:val="bottom"/>
          </w:tcPr>
          <w:p>
            <w:pPr>
              <w:jc w:val="center"/>
              <w:ind w:right="63"/>
              <w:spacing w:after="0"/>
              <w:rPr>
                <w:sz w:val="20"/>
                <w:szCs w:val="20"/>
                <w:color w:val="auto"/>
              </w:rPr>
            </w:pPr>
            <w:r>
              <w:rPr>
                <w:rFonts w:ascii="Arial" w:cs="Arial" w:eastAsia="Arial" w:hAnsi="Arial"/>
                <w:sz w:val="16"/>
                <w:szCs w:val="16"/>
                <w:color w:val="auto"/>
              </w:rPr>
              <w:t>$750 million</w:t>
            </w:r>
          </w:p>
        </w:tc>
        <w:tc>
          <w:tcPr>
            <w:tcW w:w="2160" w:type="dxa"/>
            <w:vAlign w:val="bottom"/>
          </w:tcPr>
          <w:p>
            <w:pPr>
              <w:jc w:val="right"/>
              <w:ind w:right="782"/>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1 month LIBOR</w:t>
            </w:r>
          </w:p>
        </w:tc>
        <w:tc>
          <w:tcPr>
            <w:tcW w:w="244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29, 2017</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Subject to a 1% floor.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Subject to a 0% floor.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February 22, 2017.</w:t>
      </w:r>
    </w:p>
    <w:p>
      <w:pPr>
        <w:spacing w:after="0" w:line="21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Since outstanding balances under our senior secured credit facilities incur interest at rates based on LIBOR, subject to a 0% floor, increases in short-term interest rates would impact our interest expense. If our mix of interest rate-sensitive assets and liabilities changes significantly, we may enter into additional derivative transactions to manage our net interest rate exposure. The fair value of these interest rate swaps was a liability of $15 million and an asset of $4 million at December 31, 2019 and 2018, respectively.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conduct various operations outside the United States, primarily in Asia Pacific, Europe and Latin America. Our foreign currency risk is primarily associated with operating expenses. During the year ended December 31, 2019, foreign currency operations included $246 million of revenue and $572 million of operating expenses, representing approximately 6% and 16% of our total revenue and operating expenses, respectively. During the year ended December 31, 2018, foreign currency operations included $264 million of revenue and $583 million of operating expenses, representing approximately 7% and 18% of our total revenue and operating expenses,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51" w:name="page52"/>
    <w:bookmarkEnd w:id="51"/>
    <w:p>
      <w:pPr>
        <w:jc w:val="both"/>
        <w:ind w:firstLine="486"/>
        <w:spacing w:after="0" w:line="248" w:lineRule="auto"/>
        <w:rPr>
          <w:sz w:val="20"/>
          <w:szCs w:val="20"/>
          <w:color w:val="auto"/>
        </w:rPr>
      </w:pPr>
      <w:r>
        <w:rPr>
          <w:rFonts w:ascii="Arial" w:cs="Arial" w:eastAsia="Arial" w:hAnsi="Arial"/>
          <w:sz w:val="16"/>
          <w:szCs w:val="16"/>
          <w:color w:val="auto"/>
        </w:rPr>
        <w:t>The principal foreign currencies involved include the Euro, the Indian Rupee, the British Pound Sterling, the Australian Dollar, the Polish Zloty, and the Russia Ruble. Our most significant foreign currency denominated operating expenses is in the Euro, which comprised approximately 7% of our operating expenses for each of the years ended December 31, 2019 and 2018, respectively. In recent years, exchange rates between foreign currencies and the U.S. dollar have fluctuated significantly and may continue to do so in the future. During times of volatile currency movements, this risk can impact our earnings. To reduce the impact of this earnings volatility, we hedge a portion of our foreign currency exposure in our operating expenses by entering into foreign currency forward contracts on several of our largest exposures, including the Indian Rupee, the British Pound Sterling, the Australian Dollar, the Polish Zloty, the Singaporean Dollar, and the Swedish Krona. Additionally, approximately 42% of our exposure in foreign currency operating expenses is naturally hedged by foreign currency cash receipts associated with foreign currency revenue.</w:t>
      </w:r>
    </w:p>
    <w:p>
      <w:pPr>
        <w:spacing w:after="0" w:line="100" w:lineRule="exact"/>
        <w:rPr>
          <w:sz w:val="20"/>
          <w:szCs w:val="20"/>
          <w:color w:val="auto"/>
        </w:rPr>
      </w:pPr>
    </w:p>
    <w:p>
      <w:pPr>
        <w:jc w:val="both"/>
        <w:ind w:right="20" w:firstLine="486"/>
        <w:spacing w:after="0" w:line="251" w:lineRule="auto"/>
        <w:rPr>
          <w:sz w:val="20"/>
          <w:szCs w:val="20"/>
          <w:color w:val="auto"/>
        </w:rPr>
      </w:pPr>
      <w:r>
        <w:rPr>
          <w:rFonts w:ascii="Arial" w:cs="Arial" w:eastAsia="Arial" w:hAnsi="Arial"/>
          <w:sz w:val="16"/>
          <w:szCs w:val="16"/>
          <w:color w:val="auto"/>
        </w:rPr>
        <w:t>The notional amounts of our forward contracts totaled $217 million at December 31, 2019. The forward contracts represent obligations to purchase foreign currencies at a predetermined exchange rate to fund a portion of our expenses that are denominated in foreign currencies. The fair value of these forward contracts is $2 million in prepaid expenses and other current assets and $4 million in other accrued liabilities included in as of December 31, 2019 and December 31, 2018, respectively, in our consolidated balance sheets.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income (loss) and is included in stockholders’ equity. Net translation losses recognized in other comprehensive income were $2 million and $4 million for the years ended December 31, 2019 and 2018, respectively, and net translation gains recognized in other comprehensive income totaled $13 million for the year ended December 31, 2017.</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Credit Risk</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customers are primarily located in the United States, Canada, Europe, Latin America and Asia, and are concentrated in the travel industry.</w:t>
      </w:r>
    </w:p>
    <w:p>
      <w:pPr>
        <w:spacing w:after="0" w:line="113" w:lineRule="exact"/>
        <w:rPr>
          <w:sz w:val="20"/>
          <w:szCs w:val="20"/>
          <w:color w:val="auto"/>
        </w:rPr>
      </w:pPr>
    </w:p>
    <w:p>
      <w:pPr>
        <w:jc w:val="both"/>
        <w:ind w:firstLine="486"/>
        <w:spacing w:after="0" w:line="249" w:lineRule="auto"/>
        <w:rPr>
          <w:rFonts w:ascii="Arial" w:cs="Arial" w:eastAsia="Arial" w:hAnsi="Arial"/>
          <w:sz w:val="16"/>
          <w:szCs w:val="16"/>
          <w:color w:val="auto"/>
        </w:rPr>
      </w:pPr>
      <w:r>
        <w:rPr>
          <w:rFonts w:ascii="Arial" w:cs="Arial" w:eastAsia="Arial" w:hAnsi="Arial"/>
          <w:sz w:val="16"/>
          <w:szCs w:val="16"/>
          <w:color w:val="auto"/>
        </w:rPr>
        <w:t>We generate a significant portion of our revenues and corresponding accounts receivable from services provided to the commercial air travel industry. Our other accounts receivable are generally due from other participants in the travel and transportation industry. As of December 31, 2019 and 2018, approximately $375 million, or 82%, and $334 million, or 81%, respectively, of our trade accounts receivable were attributable to services provided to the commercial air travel industry and travel agency customers. Substantially all of our accounts receivable represents trade balances. We generally do not require security or collateral from our customers as a condition of sale. See “</w:t>
      </w:r>
      <w:hyperlink w:anchor="page6">
        <w:r>
          <w:rPr>
            <w:rFonts w:ascii="Arial" w:cs="Arial" w:eastAsia="Arial" w:hAnsi="Arial"/>
            <w:sz w:val="16"/>
            <w:szCs w:val="16"/>
            <w:u w:val="single" w:color="auto"/>
            <w:color w:val="0000FF"/>
          </w:rPr>
          <w:t>Risk Factors</w:t>
        </w:r>
      </w:hyperlink>
      <w:r>
        <w:rPr>
          <w:rFonts w:ascii="Arial" w:cs="Arial" w:eastAsia="Arial" w:hAnsi="Arial"/>
          <w:sz w:val="16"/>
          <w:szCs w:val="16"/>
          <w:color w:val="auto"/>
        </w:rPr>
        <w:t>—Our travel supplier customers may experience financial instability or consolidation, pursue cost reductions, change their distribution model or undergo other changes.”</w:t>
      </w:r>
    </w:p>
    <w:p>
      <w:pPr>
        <w:spacing w:after="0" w:line="9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and other similar clearing houses (“ACH”).</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As of December 31, 2019, 2018 and 2017, approximately 59%, 61%, and 81%, respectively, of our air customers make payments through the ACH which accounts for approximately 89%, 94% and 95%, respectively, of our air billings.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Inflation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however, that our operating results will not be affected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5"/>
        </w:trPr>
        <w:tc>
          <w:tcPr>
            <w:tcW w:w="8660" w:type="dxa"/>
            <w:vAlign w:val="bottom"/>
            <w:gridSpan w:val="9"/>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5"/>
        </w:trPr>
        <w:tc>
          <w:tcPr>
            <w:tcW w:w="8660" w:type="dxa"/>
            <w:vAlign w:val="bottom"/>
            <w:gridSpan w:val="9"/>
          </w:tcPr>
          <w:p>
            <w:pPr>
              <w:spacing w:after="0"/>
              <w:rPr>
                <w:sz w:val="20"/>
                <w:szCs w:val="20"/>
                <w:color w:val="auto"/>
              </w:rPr>
            </w:pPr>
            <w:r>
              <w:rPr>
                <w:rFonts w:ascii="Arial" w:cs="Arial" w:eastAsia="Arial" w:hAnsi="Arial"/>
                <w:sz w:val="16"/>
                <w:szCs w:val="16"/>
                <w:b w:val="1"/>
                <w:bCs w:val="1"/>
                <w:color w:val="auto"/>
              </w:rPr>
              <w:t>Index to Financial Statements and Supplementary Data</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86"/>
        </w:trPr>
        <w:tc>
          <w:tcPr>
            <w:tcW w:w="8660" w:type="dxa"/>
            <w:vAlign w:val="bottom"/>
            <w:gridSpan w:val="9"/>
          </w:tcPr>
          <w:p>
            <w:pPr>
              <w:ind w:left="20"/>
              <w:spacing w:after="0"/>
              <w:rPr>
                <w:sz w:val="20"/>
                <w:szCs w:val="20"/>
                <w:color w:val="auto"/>
              </w:rPr>
            </w:pPr>
            <w:r>
              <w:rPr>
                <w:rFonts w:ascii="Arial" w:cs="Arial" w:eastAsia="Arial" w:hAnsi="Arial"/>
                <w:sz w:val="16"/>
                <w:szCs w:val="16"/>
                <w:color w:val="auto"/>
              </w:rPr>
              <w:t>Consolidated Financial Statements:</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360" w:type="dxa"/>
            <w:vAlign w:val="bottom"/>
          </w:tcPr>
          <w:p>
            <w:pPr>
              <w:spacing w:after="0"/>
              <w:rPr>
                <w:sz w:val="16"/>
                <w:szCs w:val="16"/>
                <w:color w:val="auto"/>
              </w:rPr>
            </w:pPr>
          </w:p>
        </w:tc>
        <w:tc>
          <w:tcPr>
            <w:tcW w:w="4220" w:type="dxa"/>
            <w:vAlign w:val="bottom"/>
            <w:tcBorders>
              <w:bottom w:val="single" w:sz="8" w:color="0000FF"/>
            </w:tcBorders>
            <w:gridSpan w:val="2"/>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Reports of Independent Registered Public Accounting Firm</w:t>
              </w:r>
            </w:hyperlink>
          </w:p>
        </w:tc>
        <w:tc>
          <w:tcPr>
            <w:tcW w:w="4080" w:type="dxa"/>
            <w:vAlign w:val="bottom"/>
            <w:gridSpan w:val="6"/>
          </w:tcPr>
          <w:p>
            <w:pPr>
              <w:spacing w:after="0"/>
              <w:rPr>
                <w:sz w:val="16"/>
                <w:szCs w:val="16"/>
                <w:color w:val="auto"/>
              </w:rPr>
            </w:pPr>
          </w:p>
        </w:tc>
        <w:tc>
          <w:tcPr>
            <w:tcW w:w="252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52</w:t>
              </w:r>
            </w:hyperlink>
          </w:p>
        </w:tc>
      </w:tr>
      <w:tr>
        <w:trPr>
          <w:trHeight w:val="196"/>
        </w:trPr>
        <w:tc>
          <w:tcPr>
            <w:tcW w:w="360" w:type="dxa"/>
            <w:vAlign w:val="bottom"/>
          </w:tcPr>
          <w:p>
            <w:pPr>
              <w:spacing w:after="0"/>
              <w:rPr>
                <w:sz w:val="17"/>
                <w:szCs w:val="17"/>
                <w:color w:val="auto"/>
              </w:rPr>
            </w:pPr>
          </w:p>
        </w:tc>
        <w:tc>
          <w:tcPr>
            <w:tcW w:w="6940" w:type="dxa"/>
            <w:vAlign w:val="bottom"/>
            <w:tcBorders>
              <w:bottom w:val="single" w:sz="8" w:color="0000FF"/>
            </w:tcBorders>
            <w:gridSpan w:val="5"/>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Consolidated Statements of Operations for the Years Ended December 31, 2019, 2018 and 2017</w:t>
              </w:r>
            </w:hyperlink>
          </w:p>
        </w:tc>
        <w:tc>
          <w:tcPr>
            <w:tcW w:w="1360" w:type="dxa"/>
            <w:vAlign w:val="bottom"/>
            <w:gridSpan w:val="3"/>
          </w:tcPr>
          <w:p>
            <w:pPr>
              <w:spacing w:after="0"/>
              <w:rPr>
                <w:sz w:val="17"/>
                <w:szCs w:val="17"/>
                <w:color w:val="auto"/>
              </w:rPr>
            </w:pPr>
          </w:p>
        </w:tc>
        <w:tc>
          <w:tcPr>
            <w:tcW w:w="252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56</w:t>
              </w:r>
            </w:hyperlink>
          </w:p>
        </w:tc>
      </w:tr>
      <w:tr>
        <w:trPr>
          <w:trHeight w:val="196"/>
        </w:trPr>
        <w:tc>
          <w:tcPr>
            <w:tcW w:w="360" w:type="dxa"/>
            <w:vAlign w:val="bottom"/>
          </w:tcPr>
          <w:p>
            <w:pPr>
              <w:spacing w:after="0"/>
              <w:rPr>
                <w:sz w:val="17"/>
                <w:szCs w:val="17"/>
                <w:color w:val="auto"/>
              </w:rPr>
            </w:pPr>
          </w:p>
        </w:tc>
        <w:tc>
          <w:tcPr>
            <w:tcW w:w="8300" w:type="dxa"/>
            <w:vAlign w:val="bottom"/>
            <w:tcBorders>
              <w:bottom w:val="single" w:sz="8" w:color="0000FF"/>
            </w:tcBorders>
            <w:gridSpan w:val="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Consolidated Statements of Other Comprehensive Income for the Years Ended December 31, 2019, 2018 and 2017</w:t>
              </w:r>
            </w:hyperlink>
          </w:p>
        </w:tc>
        <w:tc>
          <w:tcPr>
            <w:tcW w:w="252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57</w:t>
              </w:r>
            </w:hyperlink>
          </w:p>
        </w:tc>
      </w:tr>
      <w:tr>
        <w:trPr>
          <w:trHeight w:val="196"/>
        </w:trPr>
        <w:tc>
          <w:tcPr>
            <w:tcW w:w="360" w:type="dxa"/>
            <w:vAlign w:val="bottom"/>
          </w:tcPr>
          <w:p>
            <w:pPr>
              <w:spacing w:after="0"/>
              <w:rPr>
                <w:sz w:val="17"/>
                <w:szCs w:val="17"/>
                <w:color w:val="auto"/>
              </w:rPr>
            </w:pPr>
          </w:p>
        </w:tc>
        <w:tc>
          <w:tcPr>
            <w:tcW w:w="8300" w:type="dxa"/>
            <w:vAlign w:val="bottom"/>
            <w:gridSpan w:val="8"/>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Consolidated Balance Sheets as of December 31, 2019 and 2018</w:t>
              </w:r>
            </w:hyperlink>
          </w:p>
        </w:tc>
        <w:tc>
          <w:tcPr>
            <w:tcW w:w="2700" w:type="dxa"/>
            <w:vAlign w:val="bottom"/>
            <w:gridSpan w:val="3"/>
          </w:tcPr>
          <w:p>
            <w:pPr>
              <w:jc w:val="right"/>
              <w:spacing w:after="0"/>
              <w:rPr>
                <w:rFonts w:ascii="Arial" w:cs="Arial" w:eastAsia="Arial" w:hAnsi="Arial"/>
                <w:sz w:val="16"/>
                <w:szCs w:val="16"/>
                <w:color w:val="0000FF"/>
              </w:rPr>
            </w:pPr>
            <w:hyperlink w:anchor="page59">
              <w:r>
                <w:rPr>
                  <w:rFonts w:ascii="Arial" w:cs="Arial" w:eastAsia="Arial" w:hAnsi="Arial"/>
                  <w:sz w:val="16"/>
                  <w:szCs w:val="16"/>
                  <w:color w:val="0000FF"/>
                </w:rPr>
                <w:t>58</w:t>
              </w:r>
            </w:hyperlink>
          </w:p>
        </w:tc>
      </w:tr>
      <w:tr>
        <w:trPr>
          <w:trHeight w:val="20"/>
        </w:trPr>
        <w:tc>
          <w:tcPr>
            <w:tcW w:w="36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300" w:type="dxa"/>
            <w:vAlign w:val="bottom"/>
            <w:gridSpan w:val="8"/>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Consolidated Statements of Cash Flows for the Years Ended December 31, 2019, 2018 and 2017</w:t>
              </w:r>
            </w:hyperlink>
          </w:p>
        </w:tc>
        <w:tc>
          <w:tcPr>
            <w:tcW w:w="2700" w:type="dxa"/>
            <w:vAlign w:val="bottom"/>
            <w:gridSpan w:val="3"/>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r>
      <w:tr>
        <w:trPr>
          <w:trHeight w:val="20"/>
        </w:trPr>
        <w:tc>
          <w:tcPr>
            <w:tcW w:w="36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300" w:type="dxa"/>
            <w:vAlign w:val="bottom"/>
            <w:gridSpan w:val="8"/>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Consolidated Statements of Stockholders’ Equity for the Years Ended December 31, 2019, 2018 and 2017</w:t>
              </w:r>
            </w:hyperlink>
          </w:p>
        </w:tc>
        <w:tc>
          <w:tcPr>
            <w:tcW w:w="2700" w:type="dxa"/>
            <w:vAlign w:val="bottom"/>
            <w:gridSpan w:val="3"/>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60</w:t>
              </w:r>
            </w:hyperlink>
          </w:p>
        </w:tc>
      </w:tr>
      <w:tr>
        <w:trPr>
          <w:trHeight w:val="196"/>
        </w:trPr>
        <w:tc>
          <w:tcPr>
            <w:tcW w:w="360" w:type="dxa"/>
            <w:vAlign w:val="bottom"/>
          </w:tcPr>
          <w:p>
            <w:pPr>
              <w:spacing w:after="0"/>
              <w:rPr>
                <w:sz w:val="17"/>
                <w:szCs w:val="17"/>
                <w:color w:val="auto"/>
              </w:rPr>
            </w:pPr>
          </w:p>
        </w:tc>
        <w:tc>
          <w:tcPr>
            <w:tcW w:w="7600" w:type="dxa"/>
            <w:vAlign w:val="bottom"/>
            <w:tcBorders>
              <w:top w:val="single" w:sz="8" w:color="0000FF"/>
            </w:tcBorders>
            <w:gridSpan w:val="7"/>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Notes to Consolidated Financial Statements</w:t>
              </w:r>
            </w:hyperlink>
          </w:p>
        </w:tc>
        <w:tc>
          <w:tcPr>
            <w:tcW w:w="700" w:type="dxa"/>
            <w:vAlign w:val="bottom"/>
          </w:tcPr>
          <w:p>
            <w:pPr>
              <w:spacing w:after="0"/>
              <w:rPr>
                <w:sz w:val="17"/>
                <w:szCs w:val="17"/>
                <w:color w:val="auto"/>
              </w:rPr>
            </w:pPr>
          </w:p>
        </w:tc>
        <w:tc>
          <w:tcPr>
            <w:tcW w:w="2520" w:type="dxa"/>
            <w:vAlign w:val="bottom"/>
            <w:gridSpan w:val="2"/>
          </w:tcPr>
          <w:p>
            <w:pPr>
              <w:spacing w:after="0"/>
              <w:rPr>
                <w:sz w:val="17"/>
                <w:szCs w:val="17"/>
                <w:color w:val="auto"/>
              </w:rPr>
            </w:pPr>
          </w:p>
        </w:tc>
        <w:tc>
          <w:tcPr>
            <w:tcW w:w="180" w:type="dxa"/>
            <w:vAlign w:val="bottom"/>
            <w:tcBorders>
              <w:top w:val="single" w:sz="8" w:color="0000FF"/>
            </w:tcBorders>
          </w:tcPr>
          <w:p>
            <w:pPr>
              <w:jc w:val="right"/>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61</w:t>
              </w:r>
            </w:hyperlink>
          </w:p>
        </w:tc>
      </w:tr>
      <w:tr>
        <w:trPr>
          <w:trHeight w:val="20"/>
        </w:trPr>
        <w:tc>
          <w:tcPr>
            <w:tcW w:w="36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87"/>
        </w:trPr>
        <w:tc>
          <w:tcPr>
            <w:tcW w:w="8660" w:type="dxa"/>
            <w:vAlign w:val="bottom"/>
            <w:gridSpan w:val="9"/>
          </w:tcPr>
          <w:p>
            <w:pPr>
              <w:ind w:left="20"/>
              <w:spacing w:after="0"/>
              <w:rPr>
                <w:sz w:val="20"/>
                <w:szCs w:val="20"/>
                <w:color w:val="auto"/>
              </w:rPr>
            </w:pPr>
            <w:r>
              <w:rPr>
                <w:rFonts w:ascii="Arial" w:cs="Arial" w:eastAsia="Arial" w:hAnsi="Arial"/>
                <w:sz w:val="16"/>
                <w:szCs w:val="16"/>
                <w:color w:val="auto"/>
              </w:rPr>
              <w:t>Financial Statement Schedules:</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360" w:type="dxa"/>
            <w:vAlign w:val="bottom"/>
          </w:tcPr>
          <w:p>
            <w:pPr>
              <w:spacing w:after="0"/>
              <w:rPr>
                <w:sz w:val="16"/>
                <w:szCs w:val="16"/>
                <w:color w:val="auto"/>
              </w:rPr>
            </w:pPr>
          </w:p>
        </w:tc>
        <w:tc>
          <w:tcPr>
            <w:tcW w:w="8300" w:type="dxa"/>
            <w:vAlign w:val="bottom"/>
            <w:gridSpan w:val="8"/>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Schedule II — Valuation and Qualifying Accounts as of December 31, 2019, 2018 and 2017</w:t>
              </w:r>
            </w:hyperlink>
          </w:p>
        </w:tc>
        <w:tc>
          <w:tcPr>
            <w:tcW w:w="2700" w:type="dxa"/>
            <w:vAlign w:val="bottom"/>
            <w:gridSpan w:val="3"/>
          </w:tcPr>
          <w:p>
            <w:pPr>
              <w:jc w:val="right"/>
              <w:spacing w:after="0"/>
              <w:rPr>
                <w:rFonts w:ascii="Arial" w:cs="Arial" w:eastAsia="Arial" w:hAnsi="Arial"/>
                <w:sz w:val="16"/>
                <w:szCs w:val="16"/>
                <w:color w:val="0000FF"/>
              </w:rPr>
            </w:pPr>
            <w:hyperlink w:anchor="page111">
              <w:r>
                <w:rPr>
                  <w:rFonts w:ascii="Arial" w:cs="Arial" w:eastAsia="Arial" w:hAnsi="Arial"/>
                  <w:sz w:val="16"/>
                  <w:szCs w:val="16"/>
                  <w:color w:val="0000FF"/>
                </w:rPr>
                <w:t>109</w:t>
              </w:r>
            </w:hyperlink>
          </w:p>
        </w:tc>
      </w:tr>
      <w:tr>
        <w:trPr>
          <w:trHeight w:val="20"/>
        </w:trPr>
        <w:tc>
          <w:tcPr>
            <w:tcW w:w="36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5" w:right="299" w:bottom="1440" w:gutter="0" w:footer="0" w:header="0"/>
        </w:sectPr>
      </w:pPr>
    </w:p>
    <w:bookmarkStart w:id="53" w:name="page54"/>
    <w:bookmarkEnd w:id="53"/>
    <w:p>
      <w:pPr>
        <w:ind w:right="3460" w:firstLine="3469"/>
        <w:spacing w:after="0" w:line="46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Sabre Corporation </w:t>
      </w:r>
      <w:r>
        <w:rPr>
          <w:rFonts w:ascii="Arial" w:cs="Arial" w:eastAsia="Arial" w:hAnsi="Arial"/>
          <w:sz w:val="16"/>
          <w:szCs w:val="16"/>
          <w:b w:val="1"/>
          <w:bCs w:val="1"/>
          <w:color w:val="auto"/>
        </w:rPr>
        <w:t>Opinion on the Financial Statements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 have audited the accompanying consolidated balance sheets of Sabre Corporation (the Company) as of December 31, 2019 and 2018, the related consolidated statements of operations, comprehensive income, stockholders' equity and cash flows for each of the three years in the period ended December 31, 2019, and the related notes and financial statement schedule listed in the Index at Item 15 (collectively referred to as the </w:t>
      </w:r>
      <w:r>
        <w:rPr>
          <w:rFonts w:ascii="Arial" w:cs="Arial" w:eastAsia="Arial" w:hAnsi="Arial"/>
          <w:sz w:val="18"/>
          <w:szCs w:val="18"/>
          <w:color w:val="auto"/>
        </w:rPr>
        <w:t>“</w:t>
      </w:r>
      <w:r>
        <w:rPr>
          <w:rFonts w:ascii="Arial" w:cs="Arial" w:eastAsia="Arial" w:hAnsi="Arial"/>
          <w:sz w:val="16"/>
          <w:szCs w:val="16"/>
          <w:color w:val="auto"/>
        </w:rPr>
        <w:t>consolidated financial statements</w:t>
      </w:r>
      <w:r>
        <w:rPr>
          <w:rFonts w:ascii="Arial" w:cs="Arial" w:eastAsia="Arial" w:hAnsi="Arial"/>
          <w:sz w:val="18"/>
          <w:szCs w:val="18"/>
          <w:color w:val="auto"/>
        </w:rPr>
        <w:t>”</w:t>
      </w:r>
      <w:r>
        <w:rPr>
          <w:rFonts w:ascii="Arial" w:cs="Arial" w:eastAsia="Arial" w:hAnsi="Arial"/>
          <w:sz w:val="16"/>
          <w:szCs w:val="16"/>
          <w:color w:val="auto"/>
        </w:rPr>
        <w:t>).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w:t>
      </w:r>
      <w:r>
        <w:rPr>
          <w:rFonts w:ascii="Arial" w:cs="Arial" w:eastAsia="Arial" w:hAnsi="Arial"/>
          <w:sz w:val="18"/>
          <w:szCs w:val="18"/>
          <w:color w:val="auto"/>
        </w:rPr>
        <w:t>’</w:t>
      </w:r>
      <w:r>
        <w:rPr>
          <w:rFonts w:ascii="Arial" w:cs="Arial" w:eastAsia="Arial" w:hAnsi="Arial"/>
          <w:sz w:val="16"/>
          <w:szCs w:val="16"/>
          <w:color w:val="auto"/>
        </w:rPr>
        <w:t>s internal control over financial reporting as of December 31, 2019, based on criteria established in Internal Control-Integrated Framework issued by the Committee of Sponsoring Organizations of the Treadway Commission (2013 framework), and our report dated February 26, 2020 expressed an unqualified opinion thereon.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ASU No. 2014-09</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 xml:space="preserve">As discussed in Note 1 to the consolidated financial statements, the Company changed its method of accounting for revenue from sales to customers in 2018 due to the adoption of ASU No. 2014-09, </w:t>
      </w:r>
      <w:r>
        <w:rPr>
          <w:rFonts w:ascii="Arial" w:cs="Arial" w:eastAsia="Arial" w:hAnsi="Arial"/>
          <w:sz w:val="16"/>
          <w:szCs w:val="16"/>
          <w:i w:val="1"/>
          <w:iCs w:val="1"/>
          <w:color w:val="auto"/>
        </w:rPr>
        <w:t>Revenue from Contracts with Customers (Topic 606).</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4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72"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Capitalization of Software Development Costs</w:t>
      </w:r>
    </w:p>
    <w:p>
      <w:pPr>
        <w:sectPr>
          <w:pgSz w:w="11900" w:h="16838" w:orient="portrait"/>
          <w:cols w:equalWidth="0" w:num="1">
            <w:col w:w="11420"/>
          </w:cols>
          <w:pgMar w:left="240" w:top="891" w:right="2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right="420"/>
        <w:spacing w:after="0" w:line="225" w:lineRule="auto"/>
        <w:rPr>
          <w:sz w:val="20"/>
          <w:szCs w:val="20"/>
          <w:color w:val="auto"/>
        </w:rPr>
      </w:pPr>
      <w:r>
        <w:rPr>
          <w:rFonts w:ascii="Arial" w:cs="Arial" w:eastAsia="Arial" w:hAnsi="Arial"/>
          <w:sz w:val="16"/>
          <w:szCs w:val="16"/>
          <w:color w:val="auto"/>
        </w:rPr>
        <w:t>For the year ended December 31, 2019, the Company capitalized $89 million of software development costs for internal use. As discussed in Note 1 of the financial statements, the Company capitalizes certain internal and external costs associated with developing its infrastructure, software applications and reservation systems.</w:t>
      </w:r>
    </w:p>
    <w:p>
      <w:pPr>
        <w:spacing w:after="0" w:line="200" w:lineRule="exact"/>
        <w:rPr>
          <w:sz w:val="20"/>
          <w:szCs w:val="20"/>
          <w:color w:val="auto"/>
        </w:rPr>
      </w:pPr>
    </w:p>
    <w:p>
      <w:pPr>
        <w:sectPr>
          <w:pgSz w:w="11900" w:h="16838" w:orient="portrait"/>
          <w:cols w:equalWidth="0" w:num="2">
            <w:col w:w="1900" w:space="720"/>
            <w:col w:w="8800"/>
          </w:cols>
          <w:pgMar w:left="240" w:top="891" w:right="239" w:bottom="1440" w:gutter="0" w:footer="0" w:header="0"/>
          <w:type w:val="continuous"/>
        </w:sectPr>
      </w:pPr>
    </w:p>
    <w:p>
      <w:pPr>
        <w:spacing w:after="0" w:line="12" w:lineRule="exact"/>
        <w:rPr>
          <w:sz w:val="20"/>
          <w:szCs w:val="20"/>
          <w:color w:val="auto"/>
        </w:rPr>
      </w:pPr>
    </w:p>
    <w:p>
      <w:pPr>
        <w:jc w:val="both"/>
        <w:ind w:left="2620" w:right="420"/>
        <w:spacing w:after="0" w:line="219" w:lineRule="auto"/>
        <w:rPr>
          <w:sz w:val="20"/>
          <w:szCs w:val="20"/>
          <w:color w:val="auto"/>
        </w:rPr>
      </w:pPr>
      <w:r>
        <w:rPr>
          <w:rFonts w:ascii="Arial" w:cs="Arial" w:eastAsia="Arial" w:hAnsi="Arial"/>
          <w:sz w:val="16"/>
          <w:szCs w:val="16"/>
          <w:color w:val="auto"/>
        </w:rPr>
        <w:t>Auditing management’s capitalization of software development costs for internal use was complex and challenging due to the judgment involved in assessing qualification for cost capitalization in accordance with applicable accounting standards. This is specifically judgmental as it relates to determining the development stage of the project and whether the development costs incurred result in significant additional functionality, which is capitalized, or are ongoing maintenance activities, which are expensed.</w:t>
      </w:r>
    </w:p>
    <w:p>
      <w:pPr>
        <w:sectPr>
          <w:pgSz w:w="11900" w:h="16838" w:orient="portrait"/>
          <w:cols w:equalWidth="0" w:num="1">
            <w:col w:w="11420"/>
          </w:cols>
          <w:pgMar w:left="240" w:top="89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54" w:name="page55"/>
    <w:bookmarkEnd w:id="54"/>
    <w:p>
      <w:pPr>
        <w:spacing w:after="0" w:line="28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6"/>
          <w:szCs w:val="16"/>
          <w:color w:val="auto"/>
        </w:rPr>
        <w:t>We obtained an understanding, evaluated the design, and tested the operating effectiveness of internal controls related to the Company’s process for determining whether software development costs incurred qualify for capitalization. For example, we tested controls over management’s evaluation of the project stages and its assessment whether the associated costs resulted in significant additional functionality for existing internal use software.</w:t>
      </w:r>
    </w:p>
    <w:p>
      <w:pPr>
        <w:spacing w:after="0" w:line="224"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Our audit procedures also included, among others, testing a sample of development costs through inspection of project plan documentation and making inquiries of the project management team to assess the nature of the development costs and the respective stage of the project. We also reconciled amounts capitalized to payroll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Measurement of Airline Solutions Revenue</w:t>
      </w:r>
    </w:p>
    <w:p>
      <w:pPr>
        <w:spacing w:after="0" w:line="66"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As discussed in Note 2 of the financial statements, the Company recognized $840 million of revenue in the Airline Solutions (“AS”) segment. AS customer agreements are long-term contracts that frequently contain multiple performance obligations. Judgment exists in determining which performance obligations are distinct and accounted for separately. These contracts also contain variable consideration in the form of tiered pricing, contractual minimums or discounts. Judgment exists in estimating the total contract consideration and allocating amounts to each distinct performance obligation. Contracts with variable consideration may require forecasts over the term of the contract to determine the appropriate rate used to recognize revenue.</w:t>
      </w:r>
    </w:p>
    <w:p>
      <w:pPr>
        <w:spacing w:after="0" w:line="213"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Auditing management’s recognition of AS revenue was complex and involved a high degree of judgment because of the significant management judgments and estimates required to identify the distinct performance obligations, estimate and allocate contract consideration and determine the rate used to recognize revenue.</w:t>
      </w:r>
    </w:p>
    <w:p>
      <w:pPr>
        <w:spacing w:after="0" w:line="293"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We obtained an understanding, evaluated the design and tested the operating effectiveness of internal controls related to the Company’s process for recognizing AS revenue, including management’s review of the significant judgments and estimates used in the identification of distinct performance obligations, the estimation and allocation of amounts to each performance obligation, and the determination of the rate used to recognize revenue.</w:t>
      </w:r>
    </w:p>
    <w:p>
      <w:pPr>
        <w:spacing w:after="0" w:line="21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Our audit procedures also included, among others, testing management’s identification of the distinct performance obligations based on terms in the contracts and the Company’s policies. Our procedures also included testing the judgments and estimates used to determine the rate to recognize revenue based on the contractual minimums, tiered pricing and other discounts. To test the calculation of the amount of consideration allocated to each distinct performance obligation, we performed procedures to test management’s judgments and assumptions related to the allocation of consideration to each distinct performance obligation and performed sensitivity analyses to evaluate how these assumptions affect the amount of revenue recognized. Our procedures included an evaluation of the significant assumptions and the accuracy and completeness of the underlying data used in management’s calculation of revenue recognized. We have also evaluated the adequacy of the Company’s AS revenue disclosures included in Note 2 in relation to these revenue recognition matters.</w:t>
      </w:r>
    </w:p>
    <w:p>
      <w:pPr>
        <w:spacing w:after="0" w:line="200" w:lineRule="exact"/>
        <w:rPr>
          <w:sz w:val="20"/>
          <w:szCs w:val="20"/>
          <w:color w:val="auto"/>
        </w:rPr>
      </w:pPr>
    </w:p>
    <w:p>
      <w:pPr>
        <w:sectPr>
          <w:pgSz w:w="11900" w:h="16838" w:orient="portrait"/>
          <w:cols w:equalWidth="0" w:num="2">
            <w:col w:w="2380" w:space="220"/>
            <w:col w:w="8380"/>
          </w:cols>
          <w:pgMar w:left="260" w:top="949" w:right="659" w:bottom="1440" w:gutter="0" w:footer="0" w:header="0"/>
        </w:sectPr>
      </w:pPr>
    </w:p>
    <w:p>
      <w:pPr>
        <w:spacing w:after="0" w:line="77"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Uncertain Tax Positions</w:t>
      </w:r>
    </w:p>
    <w:p>
      <w:pPr>
        <w:spacing w:after="0" w:line="63" w:lineRule="exact"/>
        <w:rPr>
          <w:sz w:val="20"/>
          <w:szCs w:val="20"/>
          <w:color w:val="auto"/>
        </w:rPr>
      </w:pPr>
    </w:p>
    <w:p>
      <w:pPr>
        <w:jc w:val="both"/>
        <w:ind w:left="2600" w:hanging="2592"/>
        <w:spacing w:after="0" w:line="248" w:lineRule="auto"/>
        <w:tabs>
          <w:tab w:leader="none" w:pos="258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 7 of the financial statements, the Company operates in the United States and multiple international jurisdictions in which the taxing authorities may challenge income tax positions. Because the matters challenged by the taxing authorities are typically complex and open to subjective interpretation, their ultimate outcome may differ from the amounts recognized. The Company uses significant judgment in (1) determining whether a tax position’s technical merits are more likely than not to be sustained and (2) measuring the amount of tax benefit that qualifies for recognition. As of December 31, 2019, the Company accrued liabilities of $81 million for uncertain tax positions, including penalties and interest.</w:t>
      </w:r>
    </w:p>
    <w:p>
      <w:pPr>
        <w:spacing w:after="0" w:line="198" w:lineRule="exact"/>
        <w:rPr>
          <w:sz w:val="20"/>
          <w:szCs w:val="20"/>
          <w:color w:val="auto"/>
        </w:rPr>
      </w:pPr>
    </w:p>
    <w:p>
      <w:pPr>
        <w:jc w:val="both"/>
        <w:ind w:left="2600"/>
        <w:spacing w:after="0" w:line="248" w:lineRule="auto"/>
        <w:rPr>
          <w:sz w:val="20"/>
          <w:szCs w:val="20"/>
          <w:color w:val="auto"/>
        </w:rPr>
      </w:pPr>
      <w:r>
        <w:rPr>
          <w:rFonts w:ascii="Arial" w:cs="Arial" w:eastAsia="Arial" w:hAnsi="Arial"/>
          <w:sz w:val="16"/>
          <w:szCs w:val="16"/>
          <w:color w:val="auto"/>
        </w:rPr>
        <w:t>Auditing Management’s analysis of the Company’s uncertain tax positions involved significant auditor judgment and use of tax professionals with specialized skills and knowledge to evaluate the Company’s interpretation of, and compliance with, tax laws across its multiple subsidiaries located in multiple taxing jurisdictions. Each tax position involves unique facts and circumstances that must be evaluated, and there may be many uncertainties around initial recognition and de-recognition of tax positions, including regulatory changes, litigation and examination activity. In addition, a higher degree of auditor judgment was required to evaluate the Company’s measurement of the largest amount of benefit, considered on a cumulative probability basis, which is more likely than not to be realized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260" w:top="949" w:right="659" w:bottom="1440" w:gutter="0" w:footer="0" w:header="0"/>
          <w:type w:val="continuous"/>
        </w:sectPr>
      </w:pPr>
    </w:p>
    <w:bookmarkStart w:id="55" w:name="page56"/>
    <w:bookmarkEnd w:id="55"/>
    <w:p>
      <w:pPr>
        <w:ind w:left="20"/>
        <w:spacing w:after="0" w:line="28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22"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identification, recognition and measurement of uncertain tax positions. For example, we tested controls over management’s identification of uncertain tax positions and its application of the recognition and measurement principles, including management’s review of the inputs and calculations for uncertain tax positions.</w:t>
      </w:r>
    </w:p>
    <w:p>
      <w:pPr>
        <w:spacing w:after="0" w:line="211"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We involved our tax professionals to assess the technical merits and the amount of the benefit recognized related to the Company’s tax positions. Our procedures included, among others, evaluating changes in tax law that occurred during the year and assessing the Company’s interpretation of those changes under the relevant jurisdiction’s tax law. We also inspected correspondence, assessments and settlements with the relevant tax authorities. In addition, we evaluated income tax opinions or other third-party advice obtained by the Company in relation to specific income tax law. We also tested the completeness and accuracy of the underlying data used by the Company to calculate its uncertain tax positions. We have also evaluated the adequacy of the Company’s income tax disclosures included in Note 7 in relation to these tax matters.</w:t>
      </w:r>
    </w:p>
    <w:p>
      <w:pPr>
        <w:spacing w:after="0" w:line="200" w:lineRule="exact"/>
        <w:rPr>
          <w:sz w:val="20"/>
          <w:szCs w:val="20"/>
          <w:color w:val="auto"/>
        </w:rPr>
      </w:pPr>
    </w:p>
    <w:p>
      <w:pPr>
        <w:sectPr>
          <w:pgSz w:w="11900" w:h="16838" w:orient="portrait"/>
          <w:cols w:equalWidth="0" w:num="2">
            <w:col w:w="2400" w:space="220"/>
            <w:col w:w="8380"/>
          </w:cols>
          <w:pgMar w:left="240" w:top="949" w:right="6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w:t>
      </w:r>
      <w:r>
        <w:rPr>
          <w:rFonts w:ascii="Arial" w:cs="Arial" w:eastAsia="Arial" w:hAnsi="Arial"/>
          <w:sz w:val="18"/>
          <w:szCs w:val="18"/>
          <w:color w:val="auto"/>
        </w:rPr>
        <w:t>’</w:t>
      </w:r>
      <w:r>
        <w:rPr>
          <w:rFonts w:ascii="Arial" w:cs="Arial" w:eastAsia="Arial" w:hAnsi="Arial"/>
          <w:sz w:val="16"/>
          <w:szCs w:val="16"/>
          <w:color w:val="auto"/>
        </w:rPr>
        <w:t>s auditor since 1993.</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00"/>
          </w:cols>
          <w:pgMar w:left="240" w:top="949" w:right="659" w:bottom="1440" w:gutter="0" w:footer="0" w:header="0"/>
          <w:type w:val="continuous"/>
        </w:sectPr>
      </w:pPr>
    </w:p>
    <w:bookmarkStart w:id="56" w:name="page57"/>
    <w:bookmarkEnd w:id="56"/>
    <w:p>
      <w:pPr>
        <w:ind w:right="3460" w:firstLine="3469"/>
        <w:spacing w:after="0" w:line="41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Sabre Corporation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audited Sabre Corporation</w:t>
      </w:r>
      <w:r>
        <w:rPr>
          <w:rFonts w:ascii="Arial" w:cs="Arial" w:eastAsia="Arial" w:hAnsi="Arial"/>
          <w:sz w:val="18"/>
          <w:szCs w:val="18"/>
          <w:color w:val="auto"/>
        </w:rPr>
        <w:t>’</w:t>
      </w:r>
      <w:r>
        <w:rPr>
          <w:rFonts w:ascii="Arial" w:cs="Arial" w:eastAsia="Arial" w:hAnsi="Arial"/>
          <w:sz w:val="16"/>
          <w:szCs w:val="16"/>
          <w:color w:val="auto"/>
        </w:rPr>
        <w:t>s internal control over financial reporting as of December 31, 2019, based on criteria established in Internal Control— Integrated Framework issued by the Committee of Sponsoring Organizations of the Treadway Commission (2013 framework) (the COSO criteria). In our opinion, Sabre Corporation (the Company) maintained, in all material respects, effective internal control over financial reporting as of December 31, 2019, based on the COSO criteria.</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stockholders' equity and cash flows for each of the three years in the period ended December 31, 2019, and the related notes and financial statement schedule listed in the Index at Item 15, and our report dated February 26, 2020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3,974,988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3,866,956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3,598,484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3,035,003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2,791,414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2,513,857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576,568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513,526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510,075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Impairment and related charges</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81,112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19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363,417</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562,016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493,440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20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(156,391)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(157,017)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(153,925)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2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Joint venture equity income</w:t>
            </w:r>
          </w:p>
        </w:tc>
        <w:tc>
          <w:tcPr>
            <w:tcW w:w="1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1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(9,432)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(8,509)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36,530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9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(163,779)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(163,603)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(115,827)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199,638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398,413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377,613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9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35,326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57,492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128,037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164,312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340,921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249,576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discontinued operations, net of tax</w:t>
            </w:r>
          </w:p>
        </w:tc>
        <w:tc>
          <w:tcPr>
            <w:tcW w:w="19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162,546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342,660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247,644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9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5,129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158,592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337,531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242,531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tcPr>
          <w:p>
            <w:pPr>
              <w:ind w:left="20"/>
              <w:spacing w:after="0"/>
              <w:rPr>
                <w:sz w:val="20"/>
                <w:szCs w:val="20"/>
                <w:color w:val="auto"/>
              </w:rPr>
            </w:pPr>
            <w:r>
              <w:rPr>
                <w:rFonts w:ascii="Arial" w:cs="Arial" w:eastAsia="Arial" w:hAnsi="Arial"/>
                <w:sz w:val="16"/>
                <w:szCs w:val="16"/>
                <w:color w:val="auto"/>
              </w:rPr>
              <w:t>Basic net income per share attributable to common stockholders:</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w:t>
            </w: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Income from discontinued operations</w:t>
            </w:r>
          </w:p>
        </w:tc>
        <w:tc>
          <w:tcPr>
            <w:tcW w:w="1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common share</w:t>
            </w: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 attributable to common stockholders:</w:t>
            </w:r>
          </w:p>
        </w:tc>
        <w:tc>
          <w:tcPr>
            <w:tcW w:w="1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w:t>
            </w: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Income from discontinued operations</w:t>
            </w:r>
          </w:p>
        </w:tc>
        <w:tc>
          <w:tcPr>
            <w:tcW w:w="1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common share</w:t>
            </w: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274,168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275,235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276,893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200" w:type="dxa"/>
            <w:vAlign w:val="bottom"/>
          </w:tcPr>
          <w:p>
            <w:pPr>
              <w:ind w:left="220"/>
              <w:spacing w:after="0"/>
              <w:rPr>
                <w:sz w:val="20"/>
                <w:szCs w:val="20"/>
                <w:color w:val="auto"/>
              </w:rPr>
            </w:pPr>
            <w:r>
              <w:rPr>
                <w:rFonts w:ascii="Arial" w:cs="Arial" w:eastAsia="Arial" w:hAnsi="Arial"/>
                <w:sz w:val="16"/>
                <w:szCs w:val="16"/>
                <w:color w:val="auto"/>
              </w:rPr>
              <w:t>Diluted</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276,217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277,518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278,320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color w:val="auto"/>
              </w:rPr>
              <w:t>Dividend per common share</w:t>
            </w:r>
          </w:p>
        </w:tc>
        <w:tc>
          <w:tcPr>
            <w:tcW w:w="2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0.56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6"/>
                <w:szCs w:val="16"/>
                <w:color w:val="auto"/>
              </w:rPr>
              <w:t>See Notes to Consolidated Financial Statements.</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5200" w:type="dxa"/>
            <w:vAlign w:val="bottom"/>
          </w:tcPr>
          <w:p>
            <w:pPr>
              <w:spacing w:after="0"/>
              <w:rPr>
                <w:sz w:val="24"/>
                <w:szCs w:val="24"/>
                <w:color w:val="auto"/>
              </w:rPr>
            </w:pPr>
          </w:p>
        </w:tc>
        <w:tc>
          <w:tcPr>
            <w:tcW w:w="1960" w:type="dxa"/>
            <w:vAlign w:val="bottom"/>
          </w:tcPr>
          <w:p>
            <w:pPr>
              <w:jc w:val="right"/>
              <w:ind w:right="1279"/>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3"/>
                <w:szCs w:val="13"/>
                <w:b w:val="1"/>
                <w:bCs w:val="1"/>
                <w:color w:val="auto"/>
                <w:w w:val="96"/>
              </w:rPr>
              <w:t>Year Ended December 31,</w:t>
            </w:r>
          </w:p>
        </w:tc>
        <w:tc>
          <w:tcPr>
            <w:tcW w:w="920" w:type="dxa"/>
            <w:vAlign w:val="bottom"/>
            <w:tcBorders>
              <w:bottom w:val="single" w:sz="8" w:color="auto"/>
            </w:tcBorders>
          </w:tcPr>
          <w:p>
            <w:pPr>
              <w:spacing w:after="0"/>
              <w:rPr>
                <w:sz w:val="15"/>
                <w:szCs w:val="15"/>
                <w:color w:val="auto"/>
              </w:rPr>
            </w:pPr>
          </w:p>
        </w:tc>
      </w:tr>
      <w:tr>
        <w:trPr>
          <w:trHeight w:val="187"/>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2017</w:t>
            </w:r>
          </w:p>
        </w:tc>
      </w:tr>
      <w:tr>
        <w:trPr>
          <w:trHeight w:val="43"/>
        </w:trPr>
        <w:tc>
          <w:tcPr>
            <w:tcW w:w="75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162,546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342,660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247,644</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 (“CTA”)</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13,136</w:t>
            </w:r>
          </w:p>
        </w:tc>
      </w:tr>
      <w:tr>
        <w:trPr>
          <w:trHeight w:val="233"/>
        </w:trPr>
        <w:tc>
          <w:tcPr>
            <w:tcW w:w="7520" w:type="dxa"/>
            <w:vAlign w:val="bottom"/>
          </w:tcPr>
          <w:p>
            <w:pPr>
              <w:ind w:left="220"/>
              <w:spacing w:after="0"/>
              <w:rPr>
                <w:sz w:val="20"/>
                <w:szCs w:val="20"/>
                <w:color w:val="auto"/>
              </w:rPr>
            </w:pPr>
            <w:r>
              <w:rPr>
                <w:rFonts w:ascii="Arial" w:cs="Arial" w:eastAsia="Arial" w:hAnsi="Arial"/>
                <w:sz w:val="16"/>
                <w:szCs w:val="16"/>
                <w:color w:val="auto"/>
              </w:rPr>
              <w:t>Retirement-related benefit plans: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actuarial loss, net of taxes of $2,379, $6,223 and $386</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(19,143)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(852)</w:t>
            </w:r>
          </w:p>
        </w:tc>
      </w:tr>
      <w:tr>
        <w:trPr>
          <w:trHeight w:val="233"/>
        </w:trPr>
        <w:tc>
          <w:tcPr>
            <w:tcW w:w="7520" w:type="dxa"/>
            <w:vAlign w:val="bottom"/>
          </w:tcPr>
          <w:p>
            <w:pPr>
              <w:ind w:left="480"/>
              <w:spacing w:after="0"/>
              <w:rPr>
                <w:sz w:val="20"/>
                <w:szCs w:val="20"/>
                <w:color w:val="auto"/>
              </w:rPr>
            </w:pPr>
            <w:r>
              <w:rPr>
                <w:rFonts w:ascii="Arial" w:cs="Arial" w:eastAsia="Arial" w:hAnsi="Arial"/>
                <w:sz w:val="16"/>
                <w:szCs w:val="16"/>
                <w:color w:val="auto"/>
              </w:rPr>
              <w:t>Amortization of prior service credits, net of taxes of $321, $321 and $517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(915)</w:t>
            </w:r>
          </w:p>
        </w:tc>
      </w:tr>
      <w:tr>
        <w:trPr>
          <w:trHeight w:val="253"/>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actuarial losses, net of taxes of $(1,400), $(1,624) and $(2,336)</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4,181</w:t>
            </w:r>
          </w:p>
        </w:tc>
      </w:tr>
      <w:tr>
        <w:trPr>
          <w:trHeight w:val="230"/>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retirement-related benefit plans, net of tax</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2,414</w:t>
            </w:r>
          </w:p>
        </w:tc>
      </w:tr>
      <w:tr>
        <w:trPr>
          <w:trHeight w:val="230"/>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Derivatives and available-for-sale securities: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3"/>
        </w:trPr>
        <w:tc>
          <w:tcPr>
            <w:tcW w:w="7520" w:type="dxa"/>
            <w:vAlign w:val="bottom"/>
          </w:tcPr>
          <w:p>
            <w:pPr>
              <w:ind w:left="480"/>
              <w:spacing w:after="0"/>
              <w:rPr>
                <w:sz w:val="20"/>
                <w:szCs w:val="20"/>
                <w:color w:val="auto"/>
              </w:rPr>
            </w:pPr>
            <w:r>
              <w:rPr>
                <w:rFonts w:ascii="Arial" w:cs="Arial" w:eastAsia="Arial" w:hAnsi="Arial"/>
                <w:sz w:val="16"/>
                <w:szCs w:val="16"/>
                <w:color w:val="auto"/>
              </w:rPr>
              <w:t>Unrealized (losses) gains, net of taxes of $4,497, $1,474 and $(5,989)</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(6,842)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16,068</w:t>
            </w:r>
          </w:p>
        </w:tc>
      </w:tr>
      <w:tr>
        <w:trPr>
          <w:trHeight w:val="253"/>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Reclassification adjustment for realized gains, net of taxes of $(1,469), $(1,248) and $(1,005)</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3,677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2,082</w:t>
            </w:r>
          </w:p>
        </w:tc>
      </w:tr>
      <w:tr>
        <w:trPr>
          <w:trHeight w:val="230"/>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derivatives and available for sale securities, net of tax</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(3,165)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18,150</w:t>
            </w:r>
          </w:p>
        </w:tc>
      </w:tr>
      <w:tr>
        <w:trPr>
          <w:trHeight w:val="24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 of other comprehensive (loss) income of joint venture</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615</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(21,967)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34,315</w:t>
            </w:r>
          </w:p>
        </w:tc>
      </w:tr>
      <w:tr>
        <w:trPr>
          <w:trHeight w:val="24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320,693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281,959</w:t>
            </w:r>
          </w:p>
        </w:tc>
      </w:tr>
      <w:tr>
        <w:trPr>
          <w:trHeight w:val="237"/>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(5,129)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(5,113)</w:t>
            </w:r>
          </w:p>
        </w:tc>
      </w:tr>
      <w:tr>
        <w:trPr>
          <w:trHeight w:val="25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Sabre Corporation</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315,564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276,846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4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0"/>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436,176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509,265</w:t>
            </w:r>
          </w:p>
        </w:tc>
        <w:tc>
          <w:tcPr>
            <w:tcW w:w="0" w:type="dxa"/>
            <w:vAlign w:val="bottom"/>
          </w:tcPr>
          <w:p>
            <w:pPr>
              <w:spacing w:after="0"/>
              <w:rPr>
                <w:sz w:val="1"/>
                <w:szCs w:val="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546,533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508,122</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139,211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170,243</w:t>
            </w:r>
          </w:p>
        </w:tc>
        <w:tc>
          <w:tcPr>
            <w:tcW w:w="0" w:type="dxa"/>
            <w:vAlign w:val="bottom"/>
          </w:tcPr>
          <w:p>
            <w:pPr>
              <w:spacing w:after="0"/>
              <w:rPr>
                <w:sz w:val="1"/>
                <w:szCs w:val="1"/>
                <w:color w:val="auto"/>
              </w:rPr>
            </w:pPr>
          </w:p>
        </w:tc>
      </w:tr>
      <w:tr>
        <w:trPr>
          <w:trHeight w:val="227"/>
        </w:trPr>
        <w:tc>
          <w:tcPr>
            <w:tcW w:w="86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1,121,920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1,187,630</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641,722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790,372</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Investments in joint ventures</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27,494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27,769</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2,633,251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2,552,369</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Acquired customer relationships, net</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311,015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323,731</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262,638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289,517</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21,812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24,322</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670,105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610,671</w:t>
            </w:r>
          </w:p>
        </w:tc>
        <w:tc>
          <w:tcPr>
            <w:tcW w:w="0" w:type="dxa"/>
            <w:vAlign w:val="bottom"/>
          </w:tcPr>
          <w:p>
            <w:pPr>
              <w:spacing w:after="0"/>
              <w:rPr>
                <w:sz w:val="1"/>
                <w:szCs w:val="1"/>
                <w:color w:val="auto"/>
              </w:rPr>
            </w:pPr>
          </w:p>
        </w:tc>
      </w:tr>
      <w:tr>
        <w:trPr>
          <w:trHeight w:val="230"/>
        </w:trPr>
        <w:tc>
          <w:tcPr>
            <w:tcW w:w="860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5,689,957</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5,806,381</w:t>
            </w:r>
          </w:p>
        </w:tc>
        <w:tc>
          <w:tcPr>
            <w:tcW w:w="0" w:type="dxa"/>
            <w:vAlign w:val="bottom"/>
          </w:tcPr>
          <w:p>
            <w:pPr>
              <w:spacing w:after="0"/>
              <w:rPr>
                <w:sz w:val="1"/>
                <w:szCs w:val="1"/>
                <w:color w:val="auto"/>
              </w:rPr>
            </w:pPr>
          </w:p>
        </w:tc>
      </w:tr>
      <w:tr>
        <w:trPr>
          <w:trHeight w:val="21"/>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187,187</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165,227</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related benefits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94,368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112,866</w:t>
            </w:r>
          </w:p>
        </w:tc>
        <w:tc>
          <w:tcPr>
            <w:tcW w:w="0" w:type="dxa"/>
            <w:vAlign w:val="bottom"/>
          </w:tcPr>
          <w:p>
            <w:pPr>
              <w:spacing w:after="0"/>
              <w:rPr>
                <w:sz w:val="1"/>
                <w:szCs w:val="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Accrued subscriber incentives</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316,254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301,530</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84,661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80,902</w:t>
            </w:r>
          </w:p>
        </w:tc>
        <w:tc>
          <w:tcPr>
            <w:tcW w:w="0" w:type="dxa"/>
            <w:vAlign w:val="bottom"/>
          </w:tcPr>
          <w:p>
            <w:pPr>
              <w:spacing w:after="0"/>
              <w:rPr>
                <w:sz w:val="1"/>
                <w:szCs w:val="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189,548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185,178</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debt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81,614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68,435</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Receivable Agreement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71,911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104,257</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1,025,543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1,018,395</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107,402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135,753</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347,522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340,495</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3,261,821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3,337,467</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par value; 450,000 authorized shares; 294,319 and 291,664 shares issued, 273,733 and</w:t>
            </w:r>
          </w:p>
        </w:tc>
        <w:tc>
          <w:tcPr>
            <w:tcW w:w="2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2,917</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275,352 shares outstanding at December 31, 2019 and 2018, respectively</w:t>
            </w: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2,317,544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2,243,419</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20,587 and 16,312 shares at December 31, 2019 and 2018, respectively</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(468,618)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(377,980)</w:t>
            </w:r>
          </w:p>
        </w:tc>
        <w:tc>
          <w:tcPr>
            <w:tcW w:w="0" w:type="dxa"/>
            <w:vAlign w:val="bottom"/>
          </w:tcPr>
          <w:p>
            <w:pPr>
              <w:spacing w:after="0"/>
              <w:rPr>
                <w:sz w:val="1"/>
                <w:szCs w:val="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Retained deficit</w:t>
            </w:r>
          </w:p>
        </w:tc>
        <w:tc>
          <w:tcPr>
            <w:tcW w:w="2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(763,482)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(768,566)</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(149,306)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(132,724)</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8,588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7,205</w:t>
            </w:r>
          </w:p>
        </w:tc>
        <w:tc>
          <w:tcPr>
            <w:tcW w:w="0" w:type="dxa"/>
            <w:vAlign w:val="bottom"/>
          </w:tcPr>
          <w:p>
            <w:pPr>
              <w:spacing w:after="0"/>
              <w:rPr>
                <w:sz w:val="1"/>
                <w:szCs w:val="1"/>
                <w:color w:val="auto"/>
              </w:rPr>
            </w:pPr>
          </w:p>
        </w:tc>
      </w:tr>
      <w:tr>
        <w:trPr>
          <w:trHeight w:val="237"/>
        </w:trPr>
        <w:tc>
          <w:tcPr>
            <w:tcW w:w="8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947,669</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974,271</w:t>
            </w:r>
          </w:p>
        </w:tc>
        <w:tc>
          <w:tcPr>
            <w:tcW w:w="0" w:type="dxa"/>
            <w:vAlign w:val="bottom"/>
          </w:tcPr>
          <w:p>
            <w:pPr>
              <w:spacing w:after="0"/>
              <w:rPr>
                <w:sz w:val="1"/>
                <w:szCs w:val="1"/>
                <w:color w:val="auto"/>
              </w:rPr>
            </w:pPr>
          </w:p>
        </w:tc>
      </w:tr>
      <w:tr>
        <w:trPr>
          <w:trHeight w:val="243"/>
        </w:trPr>
        <w:tc>
          <w:tcPr>
            <w:tcW w:w="860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5,689,957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5,806,381</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162,546</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342,660</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247,644</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Depreciation and amortization</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414,621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413,344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400,871</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Amortization of upfront incentive consideration</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82,935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67,411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Stock-based compensation expense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66,885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57,263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44,689</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Deferred income taxes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48,760</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Allowance for doubtful accounts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7,749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9,459</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Amortization of debt issuance costs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5,923</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Joint venture equity income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(2,580)</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Loss (income) from discontinued operations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1,932</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Dividends received from joint venture investments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1,088</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Tax Receivable Agreement</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(59,603)</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Debt modification costs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14,758</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Loss on extinguishment of debt</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4"/>
                <w:szCs w:val="14"/>
                <w:color w:val="auto"/>
              </w:rPr>
              <w:t>Impairment and related charges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81,112</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13,284</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and other receivables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(108,596)</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14,362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Capitalized implementation costs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(60,766)</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4"/>
                <w:szCs w:val="14"/>
                <w:color w:val="auto"/>
              </w:rPr>
              <w:t>Upfront incentive consideration</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(71,447)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(88,735)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(94,296)</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assets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38,795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(21,111)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4"/>
                <w:szCs w:val="14"/>
                <w:color w:val="auto"/>
              </w:rPr>
              <w:t>Accounts payable and other accrued liabilities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(27,080)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67,034</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compensation and related benefits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6,038</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Deferred revenue including upfront solution fees</w:t>
            </w:r>
          </w:p>
        </w:tc>
        <w:tc>
          <w:tcPr>
            <w:tcW w:w="1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13,861</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provided by operating activities</w:t>
            </w: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581,260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724,797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678,033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Additions to property and equipment</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(316,436)</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Acquisitions, net of cash acquired</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(107,462)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investing activities</w:t>
            </w:r>
          </w:p>
        </w:tc>
        <w:tc>
          <w:tcPr>
            <w:tcW w:w="18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(1,089)</w:t>
            </w:r>
          </w:p>
        </w:tc>
        <w:tc>
          <w:tcPr>
            <w:tcW w:w="20" w:type="dxa"/>
            <w:vAlign w:val="bottom"/>
          </w:tcPr>
          <w:p>
            <w:pPr>
              <w:spacing w:after="0"/>
              <w:rPr>
                <w:sz w:val="19"/>
                <w:szCs w:val="19"/>
                <w:color w:val="auto"/>
              </w:rPr>
            </w:pPr>
          </w:p>
        </w:tc>
      </w:tr>
      <w:tr>
        <w:trPr>
          <w:trHeight w:val="204"/>
        </w:trPr>
        <w:tc>
          <w:tcPr>
            <w:tcW w:w="40" w:type="dxa"/>
            <w:vAlign w:val="bottom"/>
          </w:tcPr>
          <w:p>
            <w:pPr>
              <w:spacing w:after="0"/>
              <w:rPr>
                <w:sz w:val="17"/>
                <w:szCs w:val="17"/>
                <w:color w:val="auto"/>
              </w:rPr>
            </w:pPr>
          </w:p>
        </w:tc>
        <w:tc>
          <w:tcPr>
            <w:tcW w:w="5340" w:type="dxa"/>
            <w:vAlign w:val="bottom"/>
          </w:tcPr>
          <w:p>
            <w:pPr>
              <w:ind w:left="660"/>
              <w:spacing w:after="0"/>
              <w:rPr>
                <w:sz w:val="20"/>
                <w:szCs w:val="20"/>
                <w:color w:val="auto"/>
              </w:rPr>
            </w:pPr>
            <w:r>
              <w:rPr>
                <w:rFonts w:ascii="Arial" w:cs="Arial" w:eastAsia="Arial" w:hAnsi="Arial"/>
                <w:sz w:val="14"/>
                <w:szCs w:val="14"/>
                <w:color w:val="auto"/>
              </w:rPr>
              <w:t>Cash used in investing activities</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(243,026)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(275,259)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(317,525)</w:t>
            </w:r>
          </w:p>
        </w:tc>
        <w:tc>
          <w:tcPr>
            <w:tcW w:w="2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Cash dividends paid to common stockholders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(153,508)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(154,080)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(154,861)</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Payments on borrowings from lenders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(106,560)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(1,880,506)</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Payments on Tax Receivable Agreement</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(101,482)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(99,241)</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common stock</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(77,636)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(109,100)</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Proceeds of borrowings from lenders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1,897,625</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(payments) receipts on the settlement of equity-based awards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12,647</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4"/>
                <w:szCs w:val="14"/>
                <w:color w:val="auto"/>
              </w:rPr>
              <w:t>Debt issuance and modification costs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(19,052)</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financing activities</w:t>
            </w:r>
          </w:p>
        </w:tc>
        <w:tc>
          <w:tcPr>
            <w:tcW w:w="18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(4,292)</w:t>
            </w:r>
          </w:p>
        </w:tc>
        <w:tc>
          <w:tcPr>
            <w:tcW w:w="20" w:type="dxa"/>
            <w:vAlign w:val="bottom"/>
          </w:tcPr>
          <w:p>
            <w:pPr>
              <w:spacing w:after="0"/>
              <w:rPr>
                <w:sz w:val="19"/>
                <w:szCs w:val="19"/>
                <w:color w:val="auto"/>
              </w:rPr>
            </w:pPr>
          </w:p>
        </w:tc>
      </w:tr>
      <w:tr>
        <w:trPr>
          <w:trHeight w:val="204"/>
        </w:trPr>
        <w:tc>
          <w:tcPr>
            <w:tcW w:w="40" w:type="dxa"/>
            <w:vAlign w:val="bottom"/>
          </w:tcPr>
          <w:p>
            <w:pPr>
              <w:spacing w:after="0"/>
              <w:rPr>
                <w:sz w:val="17"/>
                <w:szCs w:val="17"/>
                <w:color w:val="auto"/>
              </w:rPr>
            </w:pPr>
          </w:p>
        </w:tc>
        <w:tc>
          <w:tcPr>
            <w:tcW w:w="5340" w:type="dxa"/>
            <w:vAlign w:val="bottom"/>
          </w:tcPr>
          <w:p>
            <w:pPr>
              <w:ind w:left="660"/>
              <w:spacing w:after="0"/>
              <w:rPr>
                <w:sz w:val="20"/>
                <w:szCs w:val="20"/>
                <w:color w:val="auto"/>
              </w:rPr>
            </w:pPr>
            <w:r>
              <w:rPr>
                <w:rFonts w:ascii="Arial" w:cs="Arial" w:eastAsia="Arial" w:hAnsi="Arial"/>
                <w:sz w:val="14"/>
                <w:szCs w:val="14"/>
                <w:color w:val="auto"/>
              </w:rPr>
              <w:t>Cash used in financing activities</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(409,721)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(306,506)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(356,780)</w:t>
            </w:r>
          </w:p>
        </w:tc>
        <w:tc>
          <w:tcPr>
            <w:tcW w:w="2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Cash used in operating activities</w:t>
            </w:r>
          </w:p>
        </w:tc>
        <w:tc>
          <w:tcPr>
            <w:tcW w:w="1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(4,848)</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used in discontinued operations</w:t>
            </w: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6,747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(Decrease) increase in cash and cash equivalents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(2,733)</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509,265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361,381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364,114</w:t>
            </w:r>
          </w:p>
        </w:tc>
        <w:tc>
          <w:tcPr>
            <w:tcW w:w="2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436,176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509,265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361,381</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Cash payments for income taxes</w:t>
            </w:r>
          </w:p>
        </w:tc>
        <w:tc>
          <w:tcPr>
            <w:tcW w:w="2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55,137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57,629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40,211</w:t>
            </w:r>
          </w:p>
        </w:tc>
        <w:tc>
          <w:tcPr>
            <w:tcW w:w="2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Cash payments for interest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149,572</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Capitalized interest</w:t>
            </w:r>
          </w:p>
        </w:tc>
        <w:tc>
          <w:tcPr>
            <w:tcW w:w="2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5,085</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8,823</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11,142</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Non-cash additions to property and equipment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372"/>
        </w:trPr>
        <w:tc>
          <w:tcPr>
            <w:tcW w:w="5380" w:type="dxa"/>
            <w:vAlign w:val="bottom"/>
            <w:gridSpan w:val="2"/>
          </w:tcPr>
          <w:p>
            <w:pPr>
              <w:spacing w:after="0"/>
              <w:rPr>
                <w:sz w:val="20"/>
                <w:szCs w:val="20"/>
                <w:color w:val="auto"/>
              </w:rPr>
            </w:pPr>
            <w:r>
              <w:rPr>
                <w:rFonts w:ascii="Arial" w:cs="Arial" w:eastAsia="Arial" w:hAnsi="Arial"/>
                <w:sz w:val="13"/>
                <w:szCs w:val="13"/>
                <w:color w:val="auto"/>
              </w:rPr>
              <w:t>See Notes to Consolidated Financial Statements.</w:t>
            </w:r>
          </w:p>
        </w:tc>
        <w:tc>
          <w:tcPr>
            <w:tcW w:w="1840" w:type="dxa"/>
            <w:vAlign w:val="bottom"/>
          </w:tcPr>
          <w:p>
            <w:pPr>
              <w:jc w:val="right"/>
              <w:ind w:right="1347"/>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1" w:name="page62"/>
    <w:bookmarkEnd w:id="61"/>
    <w:p>
      <w:pPr>
        <w:jc w:val="center"/>
        <w:ind w:right="-9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(In thousands, except share data)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7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8"/>
          </w:tcPr>
          <w:p>
            <w:pPr>
              <w:ind w:left="80"/>
              <w:spacing w:after="0"/>
              <w:rPr>
                <w:sz w:val="20"/>
                <w:szCs w:val="20"/>
                <w:color w:val="auto"/>
              </w:rPr>
            </w:pPr>
            <w:r>
              <w:rPr>
                <w:rFonts w:ascii="Arial" w:cs="Arial" w:eastAsia="Arial" w:hAnsi="Arial"/>
                <w:sz w:val="9"/>
                <w:szCs w:val="9"/>
                <w:b w:val="1"/>
                <w:bCs w:val="1"/>
                <w:color w:val="auto"/>
              </w:rPr>
              <w:t>Stockholders’ Equity (Deficit)</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00" w:type="dxa"/>
            <w:vAlign w:val="bottom"/>
          </w:tcPr>
          <w:p>
            <w:pPr>
              <w:spacing w:after="0"/>
              <w:rPr>
                <w:sz w:val="8"/>
                <w:szCs w:val="8"/>
                <w:color w:val="auto"/>
              </w:rPr>
            </w:pPr>
          </w:p>
        </w:tc>
        <w:tc>
          <w:tcPr>
            <w:tcW w:w="1760" w:type="dxa"/>
            <w:vAlign w:val="bottom"/>
            <w:gridSpan w:val="4"/>
            <w:vMerge w:val="restart"/>
          </w:tcPr>
          <w:p>
            <w:pPr>
              <w:jc w:val="right"/>
              <w:ind w:right="506"/>
              <w:spacing w:after="0"/>
              <w:rPr>
                <w:sz w:val="20"/>
                <w:szCs w:val="20"/>
                <w:color w:val="auto"/>
              </w:rPr>
            </w:pPr>
            <w:r>
              <w:rPr>
                <w:rFonts w:ascii="Arial" w:cs="Arial" w:eastAsia="Arial" w:hAnsi="Arial"/>
                <w:sz w:val="9"/>
                <w:szCs w:val="9"/>
                <w:b w:val="1"/>
                <w:bCs w:val="1"/>
                <w:color w:val="auto"/>
              </w:rPr>
              <w:t>Common Stock</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Additional</w:t>
            </w:r>
          </w:p>
        </w:tc>
        <w:tc>
          <w:tcPr>
            <w:tcW w:w="1660" w:type="dxa"/>
            <w:vAlign w:val="bottom"/>
            <w:gridSpan w:val="5"/>
            <w:vMerge w:val="restart"/>
          </w:tcPr>
          <w:p>
            <w:pPr>
              <w:jc w:val="right"/>
              <w:ind w:right="446"/>
              <w:spacing w:after="0"/>
              <w:rPr>
                <w:sz w:val="20"/>
                <w:szCs w:val="20"/>
                <w:color w:val="auto"/>
              </w:rPr>
            </w:pPr>
            <w:r>
              <w:rPr>
                <w:rFonts w:ascii="Arial" w:cs="Arial" w:eastAsia="Arial" w:hAnsi="Arial"/>
                <w:sz w:val="9"/>
                <w:szCs w:val="9"/>
                <w:b w:val="1"/>
                <w:bCs w:val="1"/>
                <w:color w:val="auto"/>
              </w:rPr>
              <w:t>Treasury Stock</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Retained</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center"/>
              <w:ind w:right="67"/>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6"/>
        </w:trPr>
        <w:tc>
          <w:tcPr>
            <w:tcW w:w="2700" w:type="dxa"/>
            <w:vAlign w:val="bottom"/>
          </w:tcPr>
          <w:p>
            <w:pPr>
              <w:spacing w:after="0"/>
              <w:rPr>
                <w:sz w:val="7"/>
                <w:szCs w:val="7"/>
                <w:color w:val="auto"/>
              </w:rPr>
            </w:pPr>
          </w:p>
        </w:tc>
        <w:tc>
          <w:tcPr>
            <w:tcW w:w="176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60" w:type="dxa"/>
            <w:vAlign w:val="bottom"/>
            <w:tcBorders>
              <w:bottom w:val="single" w:sz="8" w:color="auto"/>
            </w:tcBorders>
            <w:gridSpan w:val="5"/>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880" w:type="dxa"/>
            <w:vAlign w:val="bottom"/>
            <w:vMerge w:val="restart"/>
          </w:tcPr>
          <w:p>
            <w:pPr>
              <w:jc w:val="right"/>
              <w:ind w:right="227"/>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right"/>
              <w:ind w:right="166"/>
              <w:spacing w:after="0"/>
              <w:rPr>
                <w:sz w:val="20"/>
                <w:szCs w:val="20"/>
                <w:color w:val="auto"/>
              </w:rPr>
            </w:pPr>
            <w:r>
              <w:rPr>
                <w:rFonts w:ascii="Arial" w:cs="Arial" w:eastAsia="Arial" w:hAnsi="Arial"/>
                <w:sz w:val="9"/>
                <w:szCs w:val="9"/>
                <w:b w:val="1"/>
                <w:bCs w:val="1"/>
                <w:color w:val="auto"/>
              </w:rPr>
              <w:t>Amount</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Paid in</w:t>
            </w:r>
          </w:p>
        </w:tc>
        <w:tc>
          <w:tcPr>
            <w:tcW w:w="780" w:type="dxa"/>
            <w:vAlign w:val="bottom"/>
            <w:vMerge w:val="restart"/>
          </w:tcPr>
          <w:p>
            <w:pPr>
              <w:jc w:val="right"/>
              <w:ind w:right="147"/>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right"/>
              <w:ind w:right="126"/>
              <w:spacing w:after="0"/>
              <w:rPr>
                <w:sz w:val="20"/>
                <w:szCs w:val="20"/>
                <w:color w:val="auto"/>
              </w:rPr>
            </w:pPr>
            <w:r>
              <w:rPr>
                <w:rFonts w:ascii="Arial" w:cs="Arial" w:eastAsia="Arial" w:hAnsi="Arial"/>
                <w:sz w:val="9"/>
                <w:szCs w:val="9"/>
                <w:b w:val="1"/>
                <w:bCs w:val="1"/>
                <w:color w:val="auto"/>
              </w:rPr>
              <w:t>Amount</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Earnings</w:t>
            </w:r>
          </w:p>
        </w:tc>
        <w:tc>
          <w:tcPr>
            <w:tcW w:w="120" w:type="dxa"/>
            <w:vAlign w:val="bottom"/>
          </w:tcPr>
          <w:p>
            <w:pPr>
              <w:spacing w:after="0"/>
              <w:rPr>
                <w:sz w:val="5"/>
                <w:szCs w:val="5"/>
                <w:color w:val="auto"/>
              </w:rPr>
            </w:pPr>
          </w:p>
        </w:tc>
        <w:tc>
          <w:tcPr>
            <w:tcW w:w="96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Comprehensive</w:t>
            </w:r>
          </w:p>
        </w:tc>
        <w:tc>
          <w:tcPr>
            <w:tcW w:w="120" w:type="dxa"/>
            <w:vAlign w:val="bottom"/>
          </w:tcPr>
          <w:p>
            <w:pPr>
              <w:spacing w:after="0"/>
              <w:rPr>
                <w:sz w:val="5"/>
                <w:szCs w:val="5"/>
                <w:color w:val="auto"/>
              </w:rPr>
            </w:pPr>
          </w:p>
        </w:tc>
        <w:tc>
          <w:tcPr>
            <w:tcW w:w="920" w:type="dxa"/>
            <w:vAlign w:val="bottom"/>
            <w:gridSpan w:val="2"/>
          </w:tcPr>
          <w:p>
            <w:pPr>
              <w:ind w:left="2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800" w:type="dxa"/>
            <w:vAlign w:val="bottom"/>
          </w:tcPr>
          <w:p>
            <w:pPr>
              <w:jc w:val="center"/>
              <w:ind w:right="67"/>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9"/>
        </w:trPr>
        <w:tc>
          <w:tcPr>
            <w:tcW w:w="27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87"/>
              <w:spacing w:after="0"/>
              <w:rPr>
                <w:sz w:val="20"/>
                <w:szCs w:val="20"/>
                <w:color w:val="auto"/>
              </w:rPr>
            </w:pPr>
            <w:r>
              <w:rPr>
                <w:rFonts w:ascii="Arial" w:cs="Arial" w:eastAsia="Arial" w:hAnsi="Arial"/>
                <w:sz w:val="9"/>
                <w:szCs w:val="9"/>
                <w:b w:val="1"/>
                <w:bCs w:val="1"/>
                <w:color w:val="auto"/>
                <w:w w:val="99"/>
              </w:rPr>
              <w:t>Capital</w:t>
            </w:r>
          </w:p>
        </w:tc>
        <w:tc>
          <w:tcPr>
            <w:tcW w:w="1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87"/>
              <w:spacing w:after="0"/>
              <w:rPr>
                <w:sz w:val="20"/>
                <w:szCs w:val="20"/>
                <w:color w:val="auto"/>
              </w:rPr>
            </w:pPr>
            <w:r>
              <w:rPr>
                <w:rFonts w:ascii="Arial" w:cs="Arial" w:eastAsia="Arial" w:hAnsi="Arial"/>
                <w:sz w:val="9"/>
                <w:szCs w:val="9"/>
                <w:b w:val="1"/>
                <w:bCs w:val="1"/>
                <w:color w:val="auto"/>
              </w:rPr>
              <w:t>(Deficit)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9"/>
                <w:szCs w:val="9"/>
                <w:b w:val="1"/>
                <w:bCs w:val="1"/>
                <w:color w:val="auto"/>
              </w:rPr>
              <w:t>Income (Loss)</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47"/>
              <w:spacing w:after="0"/>
              <w:rPr>
                <w:sz w:val="20"/>
                <w:szCs w:val="20"/>
                <w:color w:val="auto"/>
              </w:rPr>
            </w:pPr>
            <w:r>
              <w:rPr>
                <w:rFonts w:ascii="Arial" w:cs="Arial" w:eastAsia="Arial" w:hAnsi="Arial"/>
                <w:sz w:val="9"/>
                <w:szCs w:val="9"/>
                <w:b w:val="1"/>
                <w:bCs w:val="1"/>
                <w:color w:val="auto"/>
              </w:rPr>
              <w:t>Interest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7"/>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5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2016</w:t>
            </w:r>
          </w:p>
        </w:tc>
        <w:tc>
          <w:tcPr>
            <w:tcW w:w="8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285,461,125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2,854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2,105,843</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8,511,323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(221,746)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(1,141,116)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(122,799)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2,579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625,615</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242,531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88"/>
              <w:spacing w:after="0"/>
              <w:rPr>
                <w:sz w:val="20"/>
                <w:szCs w:val="20"/>
                <w:color w:val="auto"/>
              </w:rPr>
            </w:pPr>
            <w:r>
              <w:rPr>
                <w:rFonts w:ascii="Arial" w:cs="Arial" w:eastAsia="Arial" w:hAnsi="Arial"/>
                <w:sz w:val="11"/>
                <w:szCs w:val="11"/>
                <w:color w:val="auto"/>
              </w:rPr>
              <w:t>34,315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7"/>
              <w:spacing w:after="0"/>
              <w:rPr>
                <w:sz w:val="20"/>
                <w:szCs w:val="20"/>
                <w:color w:val="auto"/>
              </w:rPr>
            </w:pPr>
            <w:r>
              <w:rPr>
                <w:rFonts w:ascii="Arial" w:cs="Arial" w:eastAsia="Arial" w:hAnsi="Arial"/>
                <w:sz w:val="11"/>
                <w:szCs w:val="11"/>
                <w:color w:val="auto"/>
              </w:rPr>
              <w:t>5,113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7"/>
              <w:spacing w:after="0"/>
              <w:rPr>
                <w:sz w:val="20"/>
                <w:szCs w:val="20"/>
                <w:color w:val="auto"/>
              </w:rPr>
            </w:pPr>
            <w:r>
              <w:rPr>
                <w:rFonts w:ascii="Arial" w:cs="Arial" w:eastAsia="Arial" w:hAnsi="Arial"/>
                <w:sz w:val="11"/>
                <w:szCs w:val="11"/>
                <w:color w:val="auto"/>
              </w:rPr>
              <w:t>281,959</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dividends</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(154,861)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(154,861)</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5,779,769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(109,100)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(109,100)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3,676,776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23,655</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504,634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(11,000)</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12,692</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44,689</w:t>
            </w:r>
          </w:p>
        </w:tc>
        <w:tc>
          <w:tcPr>
            <w:tcW w:w="120" w:type="dxa"/>
            <w:vAlign w:val="bottom"/>
          </w:tcPr>
          <w:p>
            <w:pPr>
              <w:spacing w:after="0"/>
              <w:rPr>
                <w:sz w:val="13"/>
                <w:szCs w:val="13"/>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7"/>
              <w:spacing w:after="0"/>
              <w:rPr>
                <w:sz w:val="20"/>
                <w:szCs w:val="20"/>
                <w:color w:val="auto"/>
              </w:rPr>
            </w:pPr>
            <w:r>
              <w:rPr>
                <w:rFonts w:ascii="Arial" w:cs="Arial" w:eastAsia="Arial" w:hAnsi="Arial"/>
                <w:sz w:val="11"/>
                <w:szCs w:val="11"/>
                <w:color w:val="auto"/>
              </w:rPr>
              <w:t>44,689</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paid to non-controlling interest on</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subsidiary common stock</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(2,494)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(2,494)</w:t>
            </w:r>
          </w:p>
        </w:tc>
        <w:tc>
          <w:tcPr>
            <w:tcW w:w="0" w:type="dxa"/>
            <w:vAlign w:val="bottom"/>
          </w:tcPr>
          <w:p>
            <w:pPr>
              <w:spacing w:after="0"/>
              <w:rPr>
                <w:sz w:val="1"/>
                <w:szCs w:val="1"/>
                <w:color w:val="auto"/>
              </w:rPr>
            </w:pPr>
          </w:p>
        </w:tc>
      </w:tr>
      <w:tr>
        <w:trPr>
          <w:trHeight w:val="147"/>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88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289,137,901</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2,891</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2,174,187</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14,795,726</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(341,846)</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(1,053,446)</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(88,484)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5,198</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698,500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income</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337,531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(44,240)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5,129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298,420</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Common stock dividends</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(154,080)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(154,080)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1,075,255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(26,281)</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(26,281)</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Settlement of stock-based awards</w:t>
            </w:r>
          </w:p>
        </w:tc>
        <w:tc>
          <w:tcPr>
            <w:tcW w:w="880" w:type="dxa"/>
            <w:vAlign w:val="bottom"/>
          </w:tcPr>
          <w:p>
            <w:pPr>
              <w:jc w:val="right"/>
              <w:ind w:right="87"/>
              <w:spacing w:after="0"/>
              <w:rPr>
                <w:sz w:val="20"/>
                <w:szCs w:val="20"/>
                <w:color w:val="auto"/>
              </w:rPr>
            </w:pPr>
            <w:r>
              <w:rPr>
                <w:rFonts w:ascii="Arial" w:cs="Arial" w:eastAsia="Arial" w:hAnsi="Arial"/>
                <w:sz w:val="11"/>
                <w:szCs w:val="11"/>
                <w:color w:val="auto"/>
              </w:rPr>
              <w:t>2,526,053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11,969</w:t>
            </w:r>
          </w:p>
        </w:tc>
        <w:tc>
          <w:tcPr>
            <w:tcW w:w="120" w:type="dxa"/>
            <w:vAlign w:val="bottom"/>
          </w:tcPr>
          <w:p>
            <w:pPr>
              <w:spacing w:after="0"/>
              <w:rPr>
                <w:sz w:val="13"/>
                <w:szCs w:val="13"/>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440,557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(9,853)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7"/>
              <w:spacing w:after="0"/>
              <w:rPr>
                <w:sz w:val="20"/>
                <w:szCs w:val="20"/>
                <w:color w:val="auto"/>
              </w:rPr>
            </w:pPr>
            <w:r>
              <w:rPr>
                <w:rFonts w:ascii="Arial" w:cs="Arial" w:eastAsia="Arial" w:hAnsi="Arial"/>
                <w:sz w:val="11"/>
                <w:szCs w:val="11"/>
                <w:color w:val="auto"/>
              </w:rPr>
              <w:t>2,142</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57,263</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57,263</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Adoption of New Accounting Standard</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101,429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7"/>
              <w:spacing w:after="0"/>
              <w:rPr>
                <w:sz w:val="20"/>
                <w:szCs w:val="20"/>
                <w:color w:val="auto"/>
              </w:rPr>
            </w:pPr>
            <w:r>
              <w:rPr>
                <w:rFonts w:ascii="Arial" w:cs="Arial" w:eastAsia="Arial" w:hAnsi="Arial"/>
                <w:sz w:val="11"/>
                <w:szCs w:val="11"/>
                <w:color w:val="auto"/>
              </w:rPr>
              <w:t>101,429</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paid to non-controlling interest on</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subsidiary common stock</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(3,122)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(3,122)</w:t>
            </w:r>
          </w:p>
        </w:tc>
        <w:tc>
          <w:tcPr>
            <w:tcW w:w="0" w:type="dxa"/>
            <w:vAlign w:val="bottom"/>
          </w:tcPr>
          <w:p>
            <w:pPr>
              <w:spacing w:after="0"/>
              <w:rPr>
                <w:sz w:val="1"/>
                <w:szCs w:val="1"/>
                <w:color w:val="auto"/>
              </w:rPr>
            </w:pPr>
          </w:p>
        </w:tc>
      </w:tr>
      <w:tr>
        <w:trPr>
          <w:trHeight w:val="147"/>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88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291,663,954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2,917</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2,243,419</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16,311,538</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(377,980)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(768,566)</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(132,724)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7,205</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974,271</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income</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158,592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(16,582)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3,954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145,964</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Common stock dividends</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(153,508)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(153,508)</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3,673,768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(77,636)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(77,636)</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rPr>
                <w:sz w:val="20"/>
                <w:szCs w:val="20"/>
                <w:color w:val="auto"/>
              </w:rPr>
            </w:pPr>
            <w:r>
              <w:rPr>
                <w:rFonts w:ascii="Arial" w:cs="Arial" w:eastAsia="Arial" w:hAnsi="Arial"/>
                <w:sz w:val="11"/>
                <w:szCs w:val="11"/>
                <w:color w:val="auto"/>
              </w:rPr>
              <w:t>Settlement of stock-based awards</w:t>
            </w:r>
          </w:p>
        </w:tc>
        <w:tc>
          <w:tcPr>
            <w:tcW w:w="880" w:type="dxa"/>
            <w:vAlign w:val="bottom"/>
          </w:tcPr>
          <w:p>
            <w:pPr>
              <w:jc w:val="right"/>
              <w:ind w:right="87"/>
              <w:spacing w:after="0"/>
              <w:rPr>
                <w:sz w:val="20"/>
                <w:szCs w:val="20"/>
                <w:color w:val="auto"/>
              </w:rPr>
            </w:pPr>
            <w:r>
              <w:rPr>
                <w:rFonts w:ascii="Arial" w:cs="Arial" w:eastAsia="Arial" w:hAnsi="Arial"/>
                <w:sz w:val="11"/>
                <w:szCs w:val="11"/>
                <w:color w:val="auto"/>
              </w:rPr>
              <w:t>2,655,463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7,240</w:t>
            </w:r>
          </w:p>
        </w:tc>
        <w:tc>
          <w:tcPr>
            <w:tcW w:w="120" w:type="dxa"/>
            <w:vAlign w:val="bottom"/>
          </w:tcPr>
          <w:p>
            <w:pPr>
              <w:spacing w:after="0"/>
              <w:rPr>
                <w:sz w:val="13"/>
                <w:szCs w:val="13"/>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601,546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(13,002)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(5,736)</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66,885</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66,885</w:t>
            </w:r>
          </w:p>
        </w:tc>
        <w:tc>
          <w:tcPr>
            <w:tcW w:w="0" w:type="dxa"/>
            <w:vAlign w:val="bottom"/>
          </w:tcPr>
          <w:p>
            <w:pPr>
              <w:spacing w:after="0"/>
              <w:rPr>
                <w:sz w:val="1"/>
                <w:szCs w:val="1"/>
                <w:color w:val="auto"/>
              </w:rPr>
            </w:pPr>
          </w:p>
        </w:tc>
      </w:tr>
      <w:tr>
        <w:trPr>
          <w:trHeight w:val="145"/>
        </w:trPr>
        <w:tc>
          <w:tcPr>
            <w:tcW w:w="2700" w:type="dxa"/>
            <w:vAlign w:val="bottom"/>
          </w:tcPr>
          <w:p>
            <w:pPr>
              <w:ind w:left="20"/>
              <w:spacing w:after="0"/>
              <w:rPr>
                <w:sz w:val="20"/>
                <w:szCs w:val="20"/>
                <w:color w:val="auto"/>
              </w:rPr>
            </w:pPr>
            <w:r>
              <w:rPr>
                <w:rFonts w:ascii="Arial" w:cs="Arial" w:eastAsia="Arial" w:hAnsi="Arial"/>
                <w:sz w:val="11"/>
                <w:szCs w:val="11"/>
                <w:color w:val="auto"/>
              </w:rPr>
              <w:t>Dividends paid to non-controlling interest 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tcPr>
          <w:p>
            <w:pPr>
              <w:ind w:left="20"/>
              <w:spacing w:after="0"/>
              <w:rPr>
                <w:sz w:val="20"/>
                <w:szCs w:val="20"/>
                <w:color w:val="auto"/>
              </w:rPr>
            </w:pPr>
            <w:r>
              <w:rPr>
                <w:rFonts w:ascii="Arial" w:cs="Arial" w:eastAsia="Arial" w:hAnsi="Arial"/>
                <w:sz w:val="11"/>
                <w:szCs w:val="11"/>
                <w:color w:val="auto"/>
              </w:rPr>
              <w:t>subsidiary common stock</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(2,571)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(2,571)</w:t>
            </w:r>
          </w:p>
        </w:tc>
        <w:tc>
          <w:tcPr>
            <w:tcW w:w="0" w:type="dxa"/>
            <w:vAlign w:val="bottom"/>
          </w:tcPr>
          <w:p>
            <w:pPr>
              <w:spacing w:after="0"/>
              <w:rPr>
                <w:sz w:val="1"/>
                <w:szCs w:val="1"/>
                <w:color w:val="auto"/>
              </w:rPr>
            </w:pP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8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294,319,417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2,943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2,317,544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20,586,852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(468,618)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(763,482)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(149,306)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8,588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947,669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891"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Summary of Business and Significant Accounting Policies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connect people and places with technology that reimagines the business of travel. We operate through three business segments: (i) Travel Network, our global travel marketplace for travel suppliers and travel buyers, (ii) Airline Solutions, a broad portfolio of software technology products and solutions for airlines and other travel suppliers, and (iii) Hospitality Solutions, an extensive suite of leading software solutions for hoteliers.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We consolidate all majority-owned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which include significant estimates and assumptions, include, among other things, estimation of the collectability of accounts receivable, estimation of future cancellations of bookings processed through the Sabre global distribution system ("GDS"), revenue recognition for Software-as-a-Service ("SaaS") arrangements,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the evaluation of the recoverability of capitalized implementation costs, assumptions utilized to evaluate the recoverability of deferred customer advance and discounts, estimation of loss contingencies, and evaluation of uncertainties surrounding the calculation of our tax assets and liabilities.</w:t>
      </w:r>
    </w:p>
    <w:p>
      <w:pPr>
        <w:spacing w:after="0" w:line="10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the first quarter of 2018, we adopted the comprehensive update to revenue recognition guidance Revenue from Contracts with Customers ("ASC 606"), which replaced the previous standard ("ASC 605"), using the modified retrospective approach, applied to contracts that were not completed as of the adoption date. Our 2018 results are reported under ASC 606, while results prior to 2018 are reported under ASC 605. Under ASC 606, revenue is recognized when a company transfers the promised goods or services to customers in an amount that reflects the consideration that is expected to be received for those goods and services. See Note 2. Revenue from Contracts with Customers.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Travel Network and Hospitality Solutions’ revenue recognition is primarily driven by GDS and central reservation system transactions, respectively. Airline Solutions’ revenue recognition is primarily driven by passengers boarded or other variable metrics relevant to the software service provided. Timing of revenue recognition is primarily based on the consistent provision of services in a stand-ready series SaaS environment and the amount of revenue recognized varies with the volume of transactions processed.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Performance Obligations</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ASC 606. The transaction price is allocated to each performance obligation and recognized as revenue when, or as, the performance obligation is satisfied. Most of our contracts in the Travel Network and Hospitality Solutions businesses have a single performance obligation. In the Airline Solutions business, many of our contracts may have multiple performance obligations, which generally include software and product solutions through SaaS and hosted delivery, and other service fees. In addition, at times we enter into agreements with customers to provide access to Travel Network’s GDS and, at or near the same time, enter into a separate agreement to provide Airline Solutions' software solutions through SaaS and hosted delivery, resulting in multiple performance obligations within a combined agreement.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Our significant product and services and methods of recognition are as follows: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Stand-ready series revenue recognition</w:t>
      </w:r>
    </w:p>
    <w:p>
      <w:pPr>
        <w:spacing w:after="0" w:line="11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i w:val="1"/>
          <w:iCs w:val="1"/>
          <w:color w:val="auto"/>
        </w:rPr>
        <w:t>Travel Network</w:t>
      </w:r>
      <w:r>
        <w:rPr>
          <w:rFonts w:ascii="Arial" w:cs="Arial" w:eastAsia="Arial" w:hAnsi="Arial"/>
          <w:sz w:val="16"/>
          <w:szCs w:val="16"/>
          <w:color w:val="auto"/>
        </w:rPr>
        <w:t>—Travel Network's service offering is a GDS or GDS services linking and engaging transactions between travel agents (those that seek</w:t>
      </w:r>
      <w:r>
        <w:rPr>
          <w:rFonts w:ascii="Arial" w:cs="Arial" w:eastAsia="Arial" w:hAnsi="Arial"/>
          <w:sz w:val="16"/>
          <w:szCs w:val="16"/>
          <w:i w:val="1"/>
          <w:iCs w:val="1"/>
          <w:color w:val="auto"/>
        </w:rPr>
        <w:t xml:space="preserve"> </w:t>
      </w:r>
      <w:r>
        <w:rPr>
          <w:rFonts w:ascii="Arial" w:cs="Arial" w:eastAsia="Arial" w:hAnsi="Arial"/>
          <w:sz w:val="16"/>
          <w:szCs w:val="16"/>
          <w:color w:val="auto"/>
        </w:rPr>
        <w:t>travel on behalf of travelers) and travel suppliers (such as airlines, hotels, car rental companies and cruise lines). Revenue is generated from contracts with the travel suppliers as each booking is made or transaction occurs and represents a stand-ready performance obligation where our systems perform the same service each day for the customer, based on the customer’s level of usage. Variability in the amounts billed to the customer and revenue recognized coincides with the customer’s level of usage or value received by the customer. Travel Network's revenue for air transactions is recognized at the time of booking of the reservation, net of estimated future cancellations. Travel Network's revenue for car rental, hotel transactions and other travel providers is recognized at the time the reservation is used by the customer.</w:t>
      </w:r>
    </w:p>
    <w:p>
      <w:pPr>
        <w:spacing w:after="0" w:line="7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i w:val="1"/>
          <w:iCs w:val="1"/>
          <w:color w:val="auto"/>
        </w:rPr>
        <w:t>Airline Solutions and Hospitality Solutions</w:t>
      </w:r>
      <w:r>
        <w:rPr>
          <w:rFonts w:ascii="Arial" w:cs="Arial" w:eastAsia="Arial" w:hAnsi="Arial"/>
          <w:sz w:val="16"/>
          <w:szCs w:val="16"/>
          <w:color w:val="auto"/>
        </w:rPr>
        <w:t>—Airline Solutions and Hospitality Solutions provide technology solutions and other professional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airlines, hotels and other business consumers in the travel industry. The technology solutions are primarily provided in a SaaS or hosted environment. Customers are normally charged an upfront solutions fee and a recurring usage-based fee for the use of the software, which represents a stand-ready performance obligation where our systems perform the same service each day for the customer, based on the customer’s level of usage. Upfront solutions fees are recognized primarily on a straight-line basis over the relevant contract term, upon cut-over of the primary SaaS solution. Variability in the usage-based fee that does not align with the value provided to the customer can result in a difference between billings to the customer and the timing of contract performance and revenue recognition, which may result in the recognition of a contract asset. This can result in a requirement to forecast expected usage-based fees and volumes over the contract term in order to determine the rate for revenue recognition. This variable consideration is constrained if there is an inability to reliably forecast this revenue.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Contract Assets and Deferred Customer Advances and Discounts</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 direct costs of the contract when a significant event occurs that could impact the recoverability of the assets, such as a significant contract modification or early renewal of contract terms. For the year ended December 31, 2019, we did not impair any of these assets as a result of the related contract becoming uncollectable, modified or canceled. See Note 4. Impairment and Related Charges regarding 2017 impairments. Contracts are priced to generate total revenues over the life of the contract that exceed any discounts or advances provided and any upfront costs incurred to implement the customer contract.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revenue recognition patterns</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Airline Solutions also provides other services including development labor or professional consulting. These services can be sold separately or with other products and services, and Airline Solutions may bundle multiple technology solutions in one arrangement with these other services. Revenue from other services consisting of development services that represent minor configuration or professional consulting is generally recognized over the period the services are performed or upon completed delivery.</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Airline Solutions also directly licenses certain software to its customers where the customer obtains control of the license. Revenue from software license fees is recognized when the customer gains control of the software enabling them to directly use the software and obtain substantially all of the remaining benefits. Fees for ongoing software maintenance are recognized ratably over the life of the contract. Under these arrangements, often we are entitled to minimum fees which are collected over the term of the agreement, while the revenue from the license is recognized at the point when the customer gains control, which results in current and long-term unbilled receivables for these arrangements.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Variability in the amounts billed to the customer and revenue recognized coincides with the customer’s level of usage with the exception of upfront solution fees, non-usage based variable consideration, license and maintenance agreements and other services including development labor and professional consulting. Contracts with the same customer which are entered into at or around the same period are analyzed for revenue recognition purposes on a combined basis across our businesses which can impact timing of revenue recognition.</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For contracts with multiple performance obligations,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64" w:name="page65"/>
    <w:bookmarkEnd w:id="64"/>
    <w:p>
      <w:pPr>
        <w:jc w:val="both"/>
        <w:ind w:firstLine="486"/>
        <w:spacing w:after="0" w:line="250" w:lineRule="auto"/>
        <w:rPr>
          <w:sz w:val="20"/>
          <w:szCs w:val="20"/>
          <w:color w:val="auto"/>
        </w:rPr>
      </w:pPr>
      <w:r>
        <w:rPr>
          <w:rFonts w:ascii="Arial" w:cs="Arial" w:eastAsia="Arial" w:hAnsi="Arial"/>
          <w:sz w:val="16"/>
          <w:szCs w:val="16"/>
          <w:color w:val="auto"/>
        </w:rPr>
        <w:t>Revenue recognition from our Airline Solutions business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subset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evaluate whether it is appropriate to record the gross amount of our revenues and related costs by considering whether the entity is a principal (gross presentation) or an agent (net presentation) by evaluating the nature of our promise to the customer. We report revenue net of any revenue based taxes assessed by governmental authorities that are imposed on and concurrent with specific revenue producing transactions.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Incentive Consideration</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Advertising costs are expensed as incurred. Advertising costs incurred by our continuing operations totaled $19 million, $19 million and $18 million for the years ended December 31, 2019, 2018 and 2017, respectively.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and Cash Equivalents and Restricted Cash</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classify all highly liquid instruments, including money market funds and money market securities with original maturities of three months or less, as cash equivalents.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Doubtful Accounts and Concentration of Credit Risk</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evaluate the collectability of our accounts receivable based on a combination of factors. In circumstances where we are aware of a specific customer’s inability to meet its financial obligations to us, such as bankruptcy filings or failure to pay amounts due to us or others, we record a specific reserve for bad debts against amounts due to reduce the recorded receivable to the amount we reasonably believe will be collected. For all other customers, we record reserves for bad debts based on historical experience and the length of time the receivables are past due. We maintained an allowance for doubtful accounts of approximately $58 million and $45 million at December 31, 2019 and 2018, respectively. See “—Recent Accounting Pronouncements" below for information on recently issued accounting guidance regarding the allowance for doubtful accounts.</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customers are primarily located in the United States, Canada, Europe, Latin America and Asia, and are concentrated in the travel industry. We generate a significant portion of our revenues and corresponding accounts receivable from services provided to the commercial air travel industry. Our other accounts receivable are generally due from other participants in the travel and transportation industry. As of December 31, 2019 and 2018, approximately $375 million, or 82%, and $334 million, or 81%, respectively, of our trade accounts receivable were attributable to services provided to the commercial air travel industry and travel agency customers. Substantially all of our accounts receivable represents trade balances. We generally do not require security or collateral from our customers as a condition of sale.</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and other similar clearing houses (“ACH”). As of December 31, 2019, approximately 59% of our air customers make payments through the ACH which accounts for approximately 89% of our air revenue.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recognize all derivatives on the consolidated balance sheets at fair value. If the derivative is 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65" w:name="page66"/>
    <w:bookmarkEnd w:id="65"/>
    <w:p>
      <w:pPr>
        <w:ind w:left="50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Property and equipment are stated at cost less accumulated depreciation and amortization, which is calculated on the straight-line basis. Our depreciation and amortization policies are as follows: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2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Lesser of lease term or 35 years</w:t>
            </w:r>
          </w:p>
        </w:tc>
      </w:tr>
      <w:tr>
        <w:trPr>
          <w:trHeight w:val="233"/>
        </w:trPr>
        <w:tc>
          <w:tcPr>
            <w:tcW w:w="44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200" w:type="dxa"/>
            <w:vAlign w:val="bottom"/>
          </w:tcPr>
          <w:p>
            <w:pPr>
              <w:jc w:val="center"/>
              <w:ind w:left="99"/>
              <w:spacing w:after="0"/>
              <w:rPr>
                <w:sz w:val="20"/>
                <w:szCs w:val="20"/>
                <w:color w:val="auto"/>
              </w:rPr>
            </w:pPr>
            <w:r>
              <w:rPr>
                <w:rFonts w:ascii="Arial" w:cs="Arial" w:eastAsia="Arial" w:hAnsi="Arial"/>
                <w:sz w:val="16"/>
                <w:szCs w:val="16"/>
                <w:color w:val="auto"/>
              </w:rPr>
              <w:t>Lesser of lease term or useful life</w:t>
            </w:r>
          </w:p>
        </w:tc>
      </w:tr>
      <w:tr>
        <w:trPr>
          <w:trHeight w:val="25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52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5 to 15 years</w:t>
            </w:r>
          </w:p>
        </w:tc>
      </w:tr>
      <w:tr>
        <w:trPr>
          <w:trHeight w:val="240"/>
        </w:trPr>
        <w:tc>
          <w:tcPr>
            <w:tcW w:w="4400" w:type="dxa"/>
            <w:vAlign w:val="bottom"/>
          </w:tcPr>
          <w:p>
            <w:pPr>
              <w:ind w:left="20"/>
              <w:spacing w:after="0"/>
              <w:rPr>
                <w:sz w:val="20"/>
                <w:szCs w:val="20"/>
                <w:color w:val="auto"/>
              </w:rPr>
            </w:pPr>
            <w:r>
              <w:rPr>
                <w:rFonts w:ascii="Arial" w:cs="Arial" w:eastAsia="Arial" w:hAnsi="Arial"/>
                <w:sz w:val="16"/>
                <w:szCs w:val="16"/>
                <w:color w:val="auto"/>
              </w:rPr>
              <w:t>Equipment, general office and computer</w:t>
            </w:r>
          </w:p>
        </w:tc>
        <w:tc>
          <w:tcPr>
            <w:tcW w:w="5200" w:type="dxa"/>
            <w:vAlign w:val="bottom"/>
          </w:tcPr>
          <w:p>
            <w:pPr>
              <w:jc w:val="center"/>
              <w:ind w:left="99"/>
              <w:spacing w:after="0"/>
              <w:rPr>
                <w:sz w:val="20"/>
                <w:szCs w:val="20"/>
                <w:color w:val="auto"/>
              </w:rPr>
            </w:pPr>
            <w:r>
              <w:rPr>
                <w:rFonts w:ascii="Arial" w:cs="Arial" w:eastAsia="Arial" w:hAnsi="Arial"/>
                <w:sz w:val="16"/>
                <w:szCs w:val="16"/>
                <w:color w:val="auto"/>
              </w:rPr>
              <w:t>3 to 5 years</w:t>
            </w:r>
          </w:p>
        </w:tc>
      </w:tr>
      <w:tr>
        <w:trPr>
          <w:trHeight w:val="24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developed for internal use</w:t>
            </w:r>
          </w:p>
        </w:tc>
        <w:tc>
          <w:tcPr>
            <w:tcW w:w="52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 to 5 years</w:t>
            </w:r>
          </w:p>
        </w:tc>
      </w:tr>
    </w:tbl>
    <w:p>
      <w:pPr>
        <w:spacing w:after="0" w:line="21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under authoritative guidance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SaaS-related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6. Balance Sheet Components, for amounts capitalized as property and equipment in our consolidated balance sheets. Depreciation and amortization of property and equipment totaled $295 million, $288 million and $256 million for the years ended December 31, 2019, 2018 and 2017, respectively. Amortization of software developed for internal use, included in depreciation and amortization, totaled $241 million, $236 million and $203 million for the years ended December 31, 2019, 2018 and 2017, respectively. During the years ended December 31, 2019, 2018 and 2017, we capitalized $89 million, $252 million, and $251 million, respectively, related to software developed for internal use.</w:t>
      </w:r>
    </w:p>
    <w:p>
      <w:pPr>
        <w:spacing w:after="0" w:line="28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also evaluate the useful lives of these assets on an annual basis and test for impairment whenever events or changes in circumstances indicate that the carrying amount of the assets used in combination to generate cash flows largely independent of other assets may not be recoverable. We did not record any property and equipment impairment charges for the years ended December 31, 2019, 2018 and 2017.</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Leases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lease certain facilities under long term operating leases. We determine if an arrangement is a lease at inception. Operating lease assets are included in operating lease right-of-use (“ROU”) assets within other noncurrent assets and operating lease liabilities are included in other current liabilities and other noncurrent liabilities in our consolidated balance sheets. Finance lease assets are included in property and equipment with associated liabilities included in current portion of debt and long-term debt in our consolidated balance sheets.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internal borrowing rate for leases with a lease term of less than or equal to five years. For leases with a lease term greater than five years, we use our incremental borrowing rate based on the estimated rate of interest for corporate bond borrowings over a similar term of the lease payments.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 line basis over the term of the lease.</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We recognize measurement-period adjustments in the period in which we determine the amounts, including the effect on earnings of any amounts we would have recorded in previous periods if the accounting had been completed at the acquisition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66" w:name="page67"/>
    <w:bookmarkEnd w:id="66"/>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Goodwill is the excess of the purchase price over the fair value of identifiable tangible and intangible assets acquired in business combinations. Goodwill is not amortized but is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95"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We perform our annual assessment of possible impairment of goodwill as of October 1 of each year. We begin with the qualitative assessment of whether it is more likely than not that a reporting unit’s fair value is less than its carrying value before applying the quantitative assessment described below. If it is determined through the evaluation of events or circumstances that the carrying value may not be recoverable,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We have three reporting units associated with our continuing operations: Travel Network, Airline Solutions and Hospitality Solutions. We did not record any goodwill impairment charges for the years ended December 31, 2019</w:t>
      </w:r>
      <w:r>
        <w:rPr>
          <w:rFonts w:ascii="Arial" w:cs="Arial" w:eastAsia="Arial" w:hAnsi="Arial"/>
          <w:sz w:val="18"/>
          <w:szCs w:val="18"/>
          <w:color w:val="auto"/>
        </w:rPr>
        <w:t>,</w:t>
      </w:r>
      <w:r>
        <w:rPr>
          <w:rFonts w:ascii="Arial" w:cs="Arial" w:eastAsia="Arial" w:hAnsi="Arial"/>
          <w:sz w:val="16"/>
          <w:szCs w:val="16"/>
          <w:color w:val="auto"/>
        </w:rPr>
        <w:t xml:space="preserve"> 2018 and 2017. See Note 5. Goodwill and Intangible Assets, for additional information.</w:t>
      </w:r>
    </w:p>
    <w:p>
      <w:pPr>
        <w:spacing w:after="0" w:line="10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2019, 2018 and 2017. See Note 5. Goodwill and Intangible Assets, for additional information.</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utilize the equity method to account for our interests in joint ventures that we do not control but over which we exert significant influence. We periodically evaluate equity and debt investments in entities accounted for under the equity method for impairment by reviewing updated financial information provided by the investee, including valuation information from new financing transactions by the investee and information relating to competitors of investees when available. We own voting interests in various national marketing companies ranging from 20% to 49%, a voting interest of 40% in ESS Elektroniczne Systemy Spzedazy Sp. zo.o, and a voting interest of 20% in Asiana Sabre, Inc. The carrying value of these equity method investments in joint ventures amounts to $24 million as of December 31, 2019 and 2018.</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incur contract acquisition costs related to new contracts with our customers in the form of sales commissions based on estimated contract value for our Airline Solutions and Hospitality Solutions businesses. These costs are capitalized and reviewed for impairment on an annual basis. We generally amortize these costs, and those for renewals, over the average contract term for those businesses, excluding commissions on contracts with a term of one year or less, which are generally expensed in the period earned and recorded within selling, general and administrative expenses.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See Note 6. Balance Sheet Components and Note 2. Revenue from Contracts with Customers, for amounts capitalized within other assets, net in our consolidated balance sheets. Amortization of capitalized implementation costs, included in depreciation and amortization, totaled $39 million, $38 million and $40 million for the years ended December 31, 2019, 2018 and 2017, respectively. See Note 4. Impairment and Related Charges.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Deferred income tax assets and liabilities are determined based on differences between financial reporting and income tax basis of assets and liabilities and are measured using the tax rates and laws enacted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67" w:name="page68"/>
    <w:bookmarkEnd w:id="67"/>
    <w:p>
      <w:pPr>
        <w:jc w:val="both"/>
        <w:ind w:firstLine="486"/>
        <w:spacing w:after="0" w:line="249"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We use significant judgment in determining whether a tax position's technical merits are more likely than not to be sustained and in measuring the amount of tax benefit that qualifies for recognition. For matters that are determined will more likely than not be sustained, we measure the tax benefit as the largest amount which is more than 50% likely of being realized upon ultimate settlement. We recognize penalties and interest accrued related to income taxes as a component of the provision for income taxes. As the matters challenged by the taxing authorities are typically complex and open to subjective interpretation, their ultimate outcome may differ from the amounts recognized.</w:t>
      </w:r>
    </w:p>
    <w:p>
      <w:pPr>
        <w:spacing w:after="0" w:line="9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Tax Cuts and Jobs Act (the “TCJA”), which was enacted on December 22, 2017, imposes a tax on global low-taxed intangible income (“GILTI”) in tax years beginning after December 31, 2017. GILTI provisions are applicable to certain profits of a controlled foreign corporation that exceed the U.S. stockholder's deemed “routine” investment return under the TCJA and results in income includable in the return of U.S. shareholders. We recognize liabilities, if any, related to this provision of the TCJA in the year in which the liability arises and not as a deferred tax liability.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We recognize equity-based compensation expense net of any actual forfeitures.</w:t>
      </w:r>
    </w:p>
    <w:p>
      <w:pPr>
        <w:spacing w:after="0" w:line="9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based on the historical volatility of our stock price. The expected risk-free interest rates are based on the yields of U.S. Treasury securities with maturities appropriate for the expected term of the stock options. The expected dividend yield was based on the calculated yield on our common stock at the time of grant assuming annual dividends totaling $0.56 per share for awards granted in 2019.</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New Accounting Standards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July 2019, the Financial Accounting Standards Board ("FASB") issued updated guidance that clarifies or improves the disclosure and presentation requirements of a variety of codification topics by aligning them with the SEC’s regulations, thereby eliminating certain redundancies and allowing for easier application of the codification. This standard is effective upon issuance and did not have a material impact on our consolidated financial statements.</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October 2018, the FASB issued updated guidance that permits use of the Overnight Index Swap ("OIS") rate based on the Secured Overnight Financing Rate ("SOFR") as a U.S. benchmark interest rate for hedge accounting purposes in addition to the Direct Treasury obligations of the U.S. government, the London Interbank Offered Rate ("LIBOR") swap rate, the OIS rate based on the Federal Funds Effective Rate, and the Securities Industry and Financial Markets Association Municipal Swap Rate. We adopted this standard in the first quarter of 2019, which did not have a material impact on our consolidated financial statements.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February 2016, the FASB issued updated guidance requiring organizations that lease assets—referred to as "lessees"—to recognize on the balance sheet the assets and liabilities for the rights and obligations created by those leases, when the lease has a term of more than 12 months. The updated standard is effective for public companies for fiscal years, and interim periods within those fiscal years, beginning after December 15, 2018. In the first quarter of 2019, we adopted the new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standard using the modified retrospective approach and elected the package of practical expedients and the hindsight practical expedient. See Note 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Leases for more information on the impacts from adoption and ongoing considerations.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December 2019, the FASB issued updated guidance which simplifies the accounting for income taxes, eliminates certain exceptions within existing income tax guidance</w:t>
      </w:r>
      <w:r>
        <w:rPr>
          <w:rFonts w:ascii="Arial" w:cs="Arial" w:eastAsia="Arial" w:hAnsi="Arial"/>
          <w:sz w:val="16"/>
          <w:szCs w:val="16"/>
          <w:i w:val="1"/>
          <w:iCs w:val="1"/>
          <w:color w:val="auto"/>
        </w:rPr>
        <w:t>,</w:t>
      </w:r>
      <w:r>
        <w:rPr>
          <w:rFonts w:ascii="Arial" w:cs="Arial" w:eastAsia="Arial" w:hAnsi="Arial"/>
          <w:sz w:val="16"/>
          <w:szCs w:val="16"/>
          <w:color w:val="auto"/>
        </w:rPr>
        <w:t xml:space="preserve"> and clarifies certain aspects of the current guidance to promote consistency among reporting entities. The updated standard is effective for public companies for fiscal years, and interim periods within those fiscal years, beginning after December 15, 2020, with early adoption permitted. We do not expect the adoption of this standard will have a material impact to our consolidated financial statements.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October 2018, the FASB issued updated guidance that eliminates the requirement that entities consider indirect interests held through related parties under common control in their entirety when assessing whether a decision-making fee is a variable interest and instead requires entities to consider these indirect interests on a proportional basis. The updated standard is effective for public companies for fiscal years, and interim periods within those fiscal years, beginning after December 15, 2019, with early adoption permitted. We do not expect the adoption of this standard will have a material impact to our consolidated financial statements.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August 2018, the FASB issued updated guidance on customer's accounting for implementation costs incurred in a cloud computing arrangement that is a service contract. Under this updated standard, a customer in a cloud-computing arrangement that is a service contract is required to follow guidance on software developed for internal use to determine which implementation costs to capitalize as assets or expense as incurred. This standard aligns the accounting for implementation costs for hosting arrangements, regardless of whether they convey a license to the hosted software. The standard requires that capitalized implementation costs related to a hosting arrangement that is a service contract be amortized over the term of the hosting arrangement, beginning when the component of the hosting arrangement is ready for its intended use, similar to requirements in guidance on software developed for internal use. In addition, costs incurred during the preliminary project and post-implementation phases are expensed as they are incurred. The updated standard is effective for public companies for fiscal years, and interim periods within those fiscal years, beginning after December 15, 2019, with early adoption permitted. We do not expect the adoption of this standard will have a material impact to our consolidated financial statements.</w:t>
      </w:r>
    </w:p>
    <w:p>
      <w:pPr>
        <w:spacing w:after="0" w:line="9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June 2016, the FASB issued updated guidance for the measurement of credit losses for most financial assets and certain other instruments that are not measured at fair value through net income. Under this updated standard, the current "incurred loss" approach is replaced with an "expected loss" model for instruments measured at amortized cost. For available-for-sale debt securities, allowances for losses will now be required rather than reducing the instruments carrying value. The updated standard is effective for public companies for fiscal years, and interim periods within those fiscal years, beginning after December 15, 2019, with early adoption permitted. We anticipate that the impacts described above will result in a net increase of approximately $13 million to $23 million in our opening retained deficit as of January 1, 2020 with a corresponding decrease in accounts receivable, net and other in-scope assets. Implications to tax-related accounts are not included in these estimated amounts. Our assessment of the impact of this standard is ongoing and subject to finalization. We are continuing to evaluate the impacts of the new guidance to our results of operations, current accounting policies, processes, controls, systems and financial statement disclosures.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the first quarter of 2018, we adopted the comprehensive update to revenue recognition guidance Accounting Standards Codification ("ASC") 606, Revenue from Contracts with Customers ("ASC 606"), which replaced the previous standard ("ASC 605"), using the modified retrospective approach, applied to contracts that were not completed as of the adoption date. Under ASC 606, revenue is recognized when a company transfers the promised goods or services to customers in an amount that reflects the consideration that is expected to be received for those goods and services. The key areas of impact on our consolidated financial statements include:</w:t>
      </w:r>
    </w:p>
    <w:p>
      <w:pPr>
        <w:spacing w:after="0" w:line="95" w:lineRule="exact"/>
        <w:rPr>
          <w:sz w:val="20"/>
          <w:szCs w:val="20"/>
          <w:color w:val="auto"/>
        </w:rPr>
      </w:pPr>
    </w:p>
    <w:p>
      <w:pPr>
        <w:jc w:val="both"/>
        <w:ind w:left="820" w:hanging="326"/>
        <w:spacing w:after="0" w:line="253" w:lineRule="auto"/>
        <w:tabs>
          <w:tab w:leader="none" w:pos="8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 recognition for our Travel Network and Hospitality Solutions businesses did not change significantly. The definition of a performance obligation for Travel Network under the new guidance impacts the calculation for our booking fee cancellation reserve, which resulted in a beginning balance sheet adjustment.</w:t>
      </w:r>
    </w:p>
    <w:p>
      <w:pPr>
        <w:spacing w:after="0" w:line="93" w:lineRule="exact"/>
        <w:rPr>
          <w:rFonts w:ascii="Arial" w:cs="Arial" w:eastAsia="Arial" w:hAnsi="Arial"/>
          <w:sz w:val="16"/>
          <w:szCs w:val="16"/>
          <w:color w:val="auto"/>
        </w:rPr>
      </w:pPr>
    </w:p>
    <w:p>
      <w:pPr>
        <w:ind w:left="800" w:hanging="30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Airline Solutions business is primarily impacted by ASC 606 due to the following:</w:t>
      </w:r>
    </w:p>
    <w:p>
      <w:pPr>
        <w:spacing w:after="0" w:line="113" w:lineRule="exact"/>
        <w:rPr>
          <w:rFonts w:ascii="Arial" w:cs="Arial" w:eastAsia="Arial" w:hAnsi="Arial"/>
          <w:sz w:val="16"/>
          <w:szCs w:val="16"/>
          <w:color w:val="auto"/>
        </w:rPr>
      </w:pPr>
    </w:p>
    <w:p>
      <w:pPr>
        <w:ind w:left="1220" w:hanging="324"/>
        <w:spacing w:after="0" w:line="251" w:lineRule="auto"/>
        <w:rPr>
          <w:rFonts w:ascii="Arial" w:cs="Arial" w:eastAsia="Arial" w:hAnsi="Arial"/>
          <w:sz w:val="16"/>
          <w:szCs w:val="16"/>
          <w:color w:val="auto"/>
        </w:rPr>
      </w:pPr>
      <w:r>
        <w:rPr>
          <w:rFonts w:ascii="Arial" w:cs="Arial" w:eastAsia="Arial" w:hAnsi="Arial"/>
          <w:sz w:val="16"/>
          <w:szCs w:val="16"/>
          <w:color w:val="auto"/>
        </w:rPr>
        <w:t>– Under ASC 605, we recognized revenue related to license fee and maintenance agreements ratably over the life of the contract. Under ASC 606, revenue for license fees is recognized upon delivery of the license and ongoing maintenance services are to be recognized ratably over the life of the contract. For existing open agreements, this change resulted in a beginning balance sheet adjustment and reduced revenue in subsequent years from these agreements.</w:t>
      </w:r>
    </w:p>
    <w:p>
      <w:pPr>
        <w:spacing w:after="0" w:line="94" w:lineRule="exact"/>
        <w:rPr>
          <w:rFonts w:ascii="Arial" w:cs="Arial" w:eastAsia="Arial" w:hAnsi="Arial"/>
          <w:sz w:val="16"/>
          <w:szCs w:val="16"/>
          <w:color w:val="auto"/>
        </w:rPr>
      </w:pPr>
    </w:p>
    <w:p>
      <w:pPr>
        <w:ind w:left="1220" w:hanging="324"/>
        <w:spacing w:after="0" w:line="251" w:lineRule="auto"/>
        <w:rPr>
          <w:rFonts w:ascii="Arial" w:cs="Arial" w:eastAsia="Arial" w:hAnsi="Arial"/>
          <w:sz w:val="16"/>
          <w:szCs w:val="16"/>
          <w:color w:val="auto"/>
        </w:rPr>
      </w:pPr>
      <w:r>
        <w:rPr>
          <w:rFonts w:ascii="Arial" w:cs="Arial" w:eastAsia="Arial" w:hAnsi="Arial"/>
          <w:sz w:val="16"/>
          <w:szCs w:val="16"/>
          <w:color w:val="auto"/>
        </w:rPr>
        <w:t>– Allocation of contract revenues among various products and solutions, and the timing of the recognition of those revenues, are impacted by agreements with tiered pricing or variable rate structures that do not correspond with the goods or services delivered to the customer. For existing open agreements, this change resulted in a beginning balance sheet adjustment and reduced revenue in subsequent years from these agreements.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69" w:name="page70"/>
    <w:bookmarkEnd w:id="69"/>
    <w:p>
      <w:pPr>
        <w:ind w:left="820" w:hanging="326"/>
        <w:spacing w:after="0" w:line="260" w:lineRule="auto"/>
        <w:tabs>
          <w:tab w:leader="none" w:pos="8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Capitalization of incremental contract acquisition costs (such as sales commissions), and recognition of these costs over the customer benefit period resulted in the recognition of an asset on our balance sheet and impacted our Airline Solutions and Hospitality Solutions businesses.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Results for reporting periods beginning after January 1, 2018 are presented under ASC 606, while prior period amounts have not been adjusted and continue to be reported in accordance with ASC 605. The impacts described above resulted in a net reduction to our opening retained deficit as of January 1, 2018 of approximately $102 million (net of tax, $78 million) with a corresponding increase primarily in current and long-term unbilled receivables, contract assets, other assets and other accrued liabilities.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Travel Network's transactional revenues, and Airline Solutions' and Hospitality Solutions' SaaS and hosted revenues. Timing differences among revenue recognition, unconditional rights to bill, and receipt of contract consideration may result in contract assets or contract liabilities.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December 31, 2019 and December 31,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412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04" w:lineRule="exact"/>
        <w:rPr>
          <w:sz w:val="20"/>
          <w:szCs w:val="20"/>
          <w:color w:val="auto"/>
        </w:rPr>
      </w:pPr>
    </w:p>
    <w:p>
      <w:pPr>
        <w:ind w:left="20"/>
        <w:spacing w:after="0" w:line="220" w:lineRule="auto"/>
        <w:rPr>
          <w:sz w:val="20"/>
          <w:szCs w:val="20"/>
          <w:color w:val="auto"/>
        </w:rPr>
      </w:pPr>
      <w:r>
        <w:rPr>
          <w:rFonts w:ascii="Arial" w:cs="Arial" w:eastAsia="Arial" w:hAnsi="Arial"/>
          <w:sz w:val="16"/>
          <w:szCs w:val="16"/>
          <w:color w:val="auto"/>
        </w:rPr>
        <w:t>Contract assets and customer advances and discounts</w:t>
      </w:r>
      <w:r>
        <w:rPr>
          <w:rFonts w:ascii="Arial" w:cs="Arial" w:eastAsia="Arial" w:hAnsi="Arial"/>
          <w:sz w:val="21"/>
          <w:szCs w:val="2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 and unbilled receivables,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trade unbilled receivables,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 liabilities</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 Location</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2018</w:t>
            </w:r>
          </w:p>
        </w:tc>
      </w:tr>
      <w:tr>
        <w:trPr>
          <w:trHeight w:val="217"/>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 assets / other</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5"/>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assets,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105,499</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79,268</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1"/>
                <w:szCs w:val="21"/>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539,806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501,467</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Other assets, net</w:t>
            </w:r>
          </w:p>
        </w:tc>
        <w:tc>
          <w:tcPr>
            <w:tcW w:w="160" w:type="dxa"/>
            <w:vAlign w:val="bottom"/>
          </w:tcPr>
          <w:p>
            <w:pPr>
              <w:spacing w:after="0"/>
              <w:rPr>
                <w:sz w:val="21"/>
                <w:szCs w:val="21"/>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38,250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50,467</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160" w:type="dxa"/>
            <w:vAlign w:val="bottom"/>
          </w:tcPr>
          <w:p>
            <w:pPr>
              <w:spacing w:after="0"/>
              <w:rPr>
                <w:sz w:val="21"/>
                <w:szCs w:val="21"/>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167,832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165,858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-450215</wp:posOffset>
            </wp:positionV>
            <wp:extent cx="72466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-141605</wp:posOffset>
            </wp:positionV>
            <wp:extent cx="72466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3240" w:space="540"/>
            <w:col w:w="7640"/>
          </w:cols>
          <w:pgMar w:left="240" w:top="1019" w:right="239" w:bottom="1440" w:gutter="0" w:footer="0" w:header="0"/>
          <w:type w:val="continuous"/>
        </w:sectPr>
      </w:pPr>
    </w:p>
    <w:p>
      <w:pPr>
        <w:spacing w:after="0"/>
        <w:rPr>
          <w:sz w:val="20"/>
          <w:szCs w:val="20"/>
          <w:color w:val="auto"/>
        </w:rPr>
      </w:pPr>
      <w:r>
        <w:rPr>
          <w:rFonts w:ascii="Arial" w:cs="Arial" w:eastAsia="Arial" w:hAnsi="Arial"/>
          <w:sz w:val="14"/>
          <w:szCs w:val="14"/>
          <w:color w:val="auto"/>
        </w:rPr>
        <w:t>(1) Includes contract assets of $6 million and $4 million for December 31, 2019 and December 31, 2018, respectively.</w:t>
      </w:r>
    </w:p>
    <w:p>
      <w:pPr>
        <w:spacing w:after="0" w:line="16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During the year ended December 31, 2019, we recognized revenue of approximately $61 million from contract liabilities that existed as of January 1, 2019. Our long-term trade unbilled receivables, net relate to license fees billed ratably over the contractual period and recognized when the customer gains control of the software. We evaluate collectability of our accounts receivable based on a combination of factors and record reserves as reflected in Note 1. Summary of Business and Significant Accounting Policies.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revenues disaggregated by business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3"/>
                <w:szCs w:val="13"/>
                <w:b w:val="1"/>
                <w:bCs w:val="1"/>
                <w:color w:val="auto"/>
              </w:rPr>
              <w:t>Year Ended</w:t>
            </w:r>
          </w:p>
        </w:tc>
        <w:tc>
          <w:tcPr>
            <w:tcW w:w="1800" w:type="dxa"/>
            <w:vAlign w:val="bottom"/>
            <w:tcBorders>
              <w:bottom w:val="single" w:sz="8" w:color="auto"/>
            </w:tcBorders>
          </w:tcPr>
          <w:p>
            <w:pPr>
              <w:spacing w:after="0"/>
              <w:rPr>
                <w:sz w:val="15"/>
                <w:szCs w:val="15"/>
                <w:color w:val="auto"/>
              </w:rPr>
            </w:pPr>
          </w:p>
        </w:tc>
      </w:tr>
      <w:tr>
        <w:trPr>
          <w:trHeight w:val="183"/>
        </w:trPr>
        <w:tc>
          <w:tcPr>
            <w:tcW w:w="6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2019</w:t>
            </w:r>
          </w:p>
        </w:tc>
        <w:tc>
          <w:tcPr>
            <w:tcW w:w="420" w:type="dxa"/>
            <w:vAlign w:val="bottom"/>
          </w:tcPr>
          <w:p>
            <w:pPr>
              <w:spacing w:after="0"/>
              <w:rPr>
                <w:sz w:val="15"/>
                <w:szCs w:val="15"/>
                <w:color w:val="auto"/>
              </w:rPr>
            </w:pPr>
          </w:p>
        </w:tc>
        <w:tc>
          <w:tcPr>
            <w:tcW w:w="1800" w:type="dxa"/>
            <w:vAlign w:val="bottom"/>
          </w:tcPr>
          <w:p>
            <w:pPr>
              <w:jc w:val="right"/>
              <w:ind w:right="460"/>
              <w:spacing w:after="0"/>
              <w:rPr>
                <w:sz w:val="20"/>
                <w:szCs w:val="20"/>
                <w:color w:val="auto"/>
              </w:rPr>
            </w:pPr>
            <w:r>
              <w:rPr>
                <w:rFonts w:ascii="Arial" w:cs="Arial" w:eastAsia="Arial" w:hAnsi="Arial"/>
                <w:sz w:val="13"/>
                <w:szCs w:val="13"/>
                <w:b w:val="1"/>
                <w:bCs w:val="1"/>
                <w:color w:val="auto"/>
              </w:rPr>
              <w:t>December 31, 2018</w:t>
            </w:r>
          </w:p>
        </w:tc>
      </w:tr>
      <w:tr>
        <w:trPr>
          <w:trHeight w:val="243"/>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Air</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2,338,602</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2,284,419</w:t>
            </w:r>
          </w:p>
        </w:tc>
      </w:tr>
      <w:tr>
        <w:trPr>
          <w:trHeight w:val="233"/>
        </w:trPr>
        <w:tc>
          <w:tcPr>
            <w:tcW w:w="6880" w:type="dxa"/>
            <w:vAlign w:val="bottom"/>
          </w:tcPr>
          <w:p>
            <w:pPr>
              <w:ind w:left="20"/>
              <w:spacing w:after="0"/>
              <w:rPr>
                <w:sz w:val="20"/>
                <w:szCs w:val="20"/>
                <w:color w:val="auto"/>
              </w:rPr>
            </w:pPr>
            <w:r>
              <w:rPr>
                <w:rFonts w:ascii="Arial" w:cs="Arial" w:eastAsia="Arial" w:hAnsi="Arial"/>
                <w:sz w:val="16"/>
                <w:szCs w:val="16"/>
                <w:color w:val="auto"/>
              </w:rPr>
              <w:t>Lodging, Ground and Sea</w:t>
            </w:r>
          </w:p>
        </w:tc>
        <w:tc>
          <w:tcPr>
            <w:tcW w:w="320" w:type="dxa"/>
            <w:vAlign w:val="bottom"/>
          </w:tcPr>
          <w:p>
            <w:pPr>
              <w:spacing w:after="0"/>
              <w:rPr>
                <w:sz w:val="20"/>
                <w:szCs w:val="20"/>
                <w:color w:val="auto"/>
              </w:rPr>
            </w:pP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370,652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tcPr>
          <w:p>
            <w:pPr>
              <w:jc w:val="right"/>
              <w:ind w:right="80"/>
              <w:spacing w:after="0"/>
              <w:rPr>
                <w:sz w:val="20"/>
                <w:szCs w:val="20"/>
                <w:color w:val="auto"/>
              </w:rPr>
            </w:pPr>
            <w:r>
              <w:rPr>
                <w:rFonts w:ascii="Arial" w:cs="Arial" w:eastAsia="Arial" w:hAnsi="Arial"/>
                <w:sz w:val="16"/>
                <w:szCs w:val="16"/>
                <w:color w:val="auto"/>
              </w:rPr>
              <w:t>350,152</w:t>
            </w:r>
          </w:p>
        </w:tc>
      </w:tr>
      <w:tr>
        <w:trPr>
          <w:trHeight w:val="25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173,408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171,623</w:t>
            </w:r>
          </w:p>
        </w:tc>
      </w:tr>
      <w:tr>
        <w:trPr>
          <w:trHeight w:val="227"/>
        </w:trPr>
        <w:tc>
          <w:tcPr>
            <w:tcW w:w="6880" w:type="dxa"/>
            <w:vAlign w:val="bottom"/>
          </w:tcPr>
          <w:p>
            <w:pPr>
              <w:ind w:left="220"/>
              <w:spacing w:after="0"/>
              <w:rPr>
                <w:sz w:val="20"/>
                <w:szCs w:val="20"/>
                <w:color w:val="auto"/>
              </w:rPr>
            </w:pPr>
            <w:r>
              <w:rPr>
                <w:rFonts w:ascii="Arial" w:cs="Arial" w:eastAsia="Arial" w:hAnsi="Arial"/>
                <w:sz w:val="16"/>
                <w:szCs w:val="16"/>
                <w:b w:val="1"/>
                <w:bCs w:val="1"/>
                <w:color w:val="auto"/>
              </w:rPr>
              <w:t>Total Travel Network</w:t>
            </w:r>
          </w:p>
        </w:tc>
        <w:tc>
          <w:tcPr>
            <w:tcW w:w="320" w:type="dxa"/>
            <w:vAlign w:val="bottom"/>
          </w:tcPr>
          <w:p>
            <w:pPr>
              <w:spacing w:after="0"/>
              <w:rPr>
                <w:sz w:val="19"/>
                <w:szCs w:val="19"/>
                <w:color w:val="auto"/>
              </w:rPr>
            </w:pP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2,882,662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ind w:right="80"/>
              <w:spacing w:after="0"/>
              <w:rPr>
                <w:sz w:val="20"/>
                <w:szCs w:val="20"/>
                <w:color w:val="auto"/>
              </w:rPr>
            </w:pPr>
            <w:r>
              <w:rPr>
                <w:rFonts w:ascii="Arial" w:cs="Arial" w:eastAsia="Arial" w:hAnsi="Arial"/>
                <w:sz w:val="16"/>
                <w:szCs w:val="16"/>
                <w:color w:val="auto"/>
              </w:rPr>
              <w:t>2,806,194</w:t>
            </w:r>
          </w:p>
        </w:tc>
      </w:tr>
      <w:tr>
        <w:trPr>
          <w:trHeight w:val="25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SabreSonic Passenger Reservation System</w:t>
            </w:r>
          </w:p>
        </w:tc>
        <w:tc>
          <w:tcPr>
            <w:tcW w:w="32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506,579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501,085</w:t>
            </w:r>
          </w:p>
        </w:tc>
      </w:tr>
      <w:tr>
        <w:trPr>
          <w:trHeight w:val="243"/>
        </w:trPr>
        <w:tc>
          <w:tcPr>
            <w:tcW w:w="6880" w:type="dxa"/>
            <w:vAlign w:val="bottom"/>
          </w:tcPr>
          <w:p>
            <w:pPr>
              <w:ind w:left="20"/>
              <w:spacing w:after="0"/>
              <w:rPr>
                <w:sz w:val="20"/>
                <w:szCs w:val="20"/>
                <w:color w:val="auto"/>
              </w:rPr>
            </w:pPr>
            <w:r>
              <w:rPr>
                <w:rFonts w:ascii="Arial" w:cs="Arial" w:eastAsia="Arial" w:hAnsi="Arial"/>
                <w:sz w:val="16"/>
                <w:szCs w:val="16"/>
                <w:color w:val="auto"/>
              </w:rPr>
              <w:t>Commercial and Operations Solutions</w:t>
            </w:r>
            <w:r>
              <w:rPr>
                <w:rFonts w:ascii="Arial" w:cs="Arial" w:eastAsia="Arial" w:hAnsi="Arial"/>
                <w:sz w:val="21"/>
                <w:szCs w:val="21"/>
                <w:b w:val="1"/>
                <w:bCs w:val="1"/>
                <w:color w:val="auto"/>
                <w:vertAlign w:val="superscript"/>
              </w:rPr>
              <w:t>(1)</w:t>
            </w:r>
          </w:p>
        </w:tc>
        <w:tc>
          <w:tcPr>
            <w:tcW w:w="320" w:type="dxa"/>
            <w:vAlign w:val="bottom"/>
          </w:tcPr>
          <w:p>
            <w:pPr>
              <w:spacing w:after="0"/>
              <w:rPr>
                <w:sz w:val="21"/>
                <w:szCs w:val="21"/>
                <w:color w:val="auto"/>
              </w:rPr>
            </w:pP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328,485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0" w:type="dxa"/>
            <w:vAlign w:val="bottom"/>
          </w:tcPr>
          <w:p>
            <w:pPr>
              <w:jc w:val="right"/>
              <w:ind w:right="80"/>
              <w:spacing w:after="0"/>
              <w:rPr>
                <w:sz w:val="20"/>
                <w:szCs w:val="20"/>
                <w:color w:val="auto"/>
              </w:rPr>
            </w:pPr>
            <w:r>
              <w:rPr>
                <w:rFonts w:ascii="Arial" w:cs="Arial" w:eastAsia="Arial" w:hAnsi="Arial"/>
                <w:sz w:val="16"/>
                <w:szCs w:val="16"/>
                <w:color w:val="auto"/>
              </w:rPr>
              <w:t>312,751</w:t>
            </w: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5,274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8,911</w:t>
            </w:r>
          </w:p>
        </w:tc>
      </w:tr>
      <w:tr>
        <w:trPr>
          <w:trHeight w:val="227"/>
        </w:trPr>
        <w:tc>
          <w:tcPr>
            <w:tcW w:w="6880" w:type="dxa"/>
            <w:vAlign w:val="bottom"/>
          </w:tcPr>
          <w:p>
            <w:pPr>
              <w:ind w:left="220"/>
              <w:spacing w:after="0"/>
              <w:rPr>
                <w:sz w:val="20"/>
                <w:szCs w:val="20"/>
                <w:color w:val="auto"/>
              </w:rPr>
            </w:pPr>
            <w:r>
              <w:rPr>
                <w:rFonts w:ascii="Arial" w:cs="Arial" w:eastAsia="Arial" w:hAnsi="Arial"/>
                <w:sz w:val="16"/>
                <w:szCs w:val="16"/>
                <w:b w:val="1"/>
                <w:bCs w:val="1"/>
                <w:color w:val="auto"/>
              </w:rPr>
              <w:t>Total Airline Solutions</w:t>
            </w:r>
          </w:p>
        </w:tc>
        <w:tc>
          <w:tcPr>
            <w:tcW w:w="320" w:type="dxa"/>
            <w:vAlign w:val="bottom"/>
          </w:tcPr>
          <w:p>
            <w:pPr>
              <w:spacing w:after="0"/>
              <w:rPr>
                <w:sz w:val="19"/>
                <w:szCs w:val="19"/>
                <w:color w:val="auto"/>
              </w:rPr>
            </w:pP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840,338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ind w:right="80"/>
              <w:spacing w:after="0"/>
              <w:rPr>
                <w:sz w:val="20"/>
                <w:szCs w:val="20"/>
                <w:color w:val="auto"/>
              </w:rPr>
            </w:pPr>
            <w:r>
              <w:rPr>
                <w:rFonts w:ascii="Arial" w:cs="Arial" w:eastAsia="Arial" w:hAnsi="Arial"/>
                <w:sz w:val="16"/>
                <w:szCs w:val="16"/>
                <w:color w:val="auto"/>
              </w:rPr>
              <w:t>822,747</w:t>
            </w:r>
          </w:p>
        </w:tc>
      </w:tr>
      <w:tr>
        <w:trPr>
          <w:trHeight w:val="25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SynXis Software and Services</w:t>
            </w:r>
          </w:p>
        </w:tc>
        <w:tc>
          <w:tcPr>
            <w:tcW w:w="32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257,612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240,583</w:t>
            </w:r>
          </w:p>
        </w:tc>
      </w:tr>
      <w:tr>
        <w:trPr>
          <w:trHeight w:val="23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35,268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32,496</w:t>
            </w:r>
          </w:p>
        </w:tc>
      </w:tr>
      <w:tr>
        <w:trPr>
          <w:trHeight w:val="243"/>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Hospitality Solutions</w:t>
            </w:r>
          </w:p>
        </w:tc>
        <w:tc>
          <w:tcPr>
            <w:tcW w:w="3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292,880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273,079</w:t>
            </w:r>
          </w:p>
        </w:tc>
      </w:tr>
      <w:tr>
        <w:trPr>
          <w:trHeight w:val="230"/>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Eliminations</w:t>
            </w: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(40,892)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(35,064)</w:t>
            </w: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Sabre Revenue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3,974,988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3,866,956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32" w:lineRule="exact"/>
        <w:rPr>
          <w:sz w:val="20"/>
          <w:szCs w:val="20"/>
          <w:color w:val="auto"/>
        </w:rPr>
      </w:pPr>
    </w:p>
    <w:p>
      <w:pPr>
        <w:ind w:left="340" w:hanging="332"/>
        <w:spacing w:after="0" w:line="249" w:lineRule="auto"/>
        <w:tabs>
          <w:tab w:leader="none" w:pos="254"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license fee revenue recognized upon delivery to the customer of $34 million and $27 million for the years ended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type w:val="continuous"/>
        </w:sectPr>
      </w:pPr>
    </w:p>
    <w:bookmarkStart w:id="70" w:name="page71"/>
    <w:bookmarkEnd w:id="70"/>
    <w:p>
      <w:pPr>
        <w:jc w:val="both"/>
        <w:ind w:firstLine="486"/>
        <w:spacing w:after="0" w:line="251"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year ended December 31, 2019, the impact on revenue recognized in the current period, from performance obligations partially or fully satisfied in the previous period, is immaterial.</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recognize revenue under long-term contracts that primarily includes variable consideration based on transactions processed. A majority of our consolidated revenue is recognized as a stand-ready performance obligation with the amount recognized based on the invoiced amounts for services performed, known as right to invoice revenue recognition. Certain of our contracts, primarily in the Airlines Solutions business, contain minimum transaction volumes, which in many instances are not considered substantive as the customer is expected to exceed the minimum in the contract. 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 See Note 1. Summary of Business and Significant Accounting Policies regarding revenue recognition of our various revenue streams for more information.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incur contract costs in the form of acquisition costs and implementation costs. Contract acquisition costs are related to new contracts with our customers in the form of sales commissions based on the estimated contract value. We incur contract implementation costs to implement new customer contracts under our SaaS revenue model</w:t>
      </w:r>
      <w:r>
        <w:rPr>
          <w:rFonts w:ascii="Arial" w:cs="Arial" w:eastAsia="Arial" w:hAnsi="Arial"/>
          <w:sz w:val="18"/>
          <w:szCs w:val="18"/>
          <w:color w:val="auto"/>
        </w:rPr>
        <w:t>.</w:t>
      </w:r>
      <w:r>
        <w:rPr>
          <w:rFonts w:ascii="Arial" w:cs="Arial" w:eastAsia="Arial" w:hAnsi="Arial"/>
          <w:sz w:val="16"/>
          <w:szCs w:val="16"/>
          <w:color w:val="auto"/>
        </w:rPr>
        <w:t xml:space="preserve"> We periodically assess contract costs for recoverability, and our assessment resulted in impairments of approximately $2 million and $4 million for the year ended December 31, 2019 and 2018, respectively. See Note 1. Summary of Business and Significant Accounting Policies for an overview of our policy for capitalization of acquisition and implementation costs.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1660" w:type="dxa"/>
            <w:vAlign w:val="bottom"/>
            <w:tcBorders>
              <w:bottom w:val="single" w:sz="8" w:color="auto"/>
            </w:tcBorders>
          </w:tcPr>
          <w:p>
            <w:pPr>
              <w:spacing w:after="0"/>
              <w:rPr>
                <w:sz w:val="15"/>
                <w:szCs w:val="15"/>
                <w:color w:val="auto"/>
              </w:rPr>
            </w:pPr>
          </w:p>
        </w:tc>
      </w:tr>
      <w:tr>
        <w:trPr>
          <w:trHeight w:val="183"/>
        </w:trPr>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 2019</w:t>
            </w:r>
          </w:p>
        </w:tc>
        <w:tc>
          <w:tcPr>
            <w:tcW w:w="340" w:type="dxa"/>
            <w:vAlign w:val="bottom"/>
          </w:tcPr>
          <w:p>
            <w:pPr>
              <w:spacing w:after="0"/>
              <w:rPr>
                <w:sz w:val="15"/>
                <w:szCs w:val="15"/>
                <w:color w:val="auto"/>
              </w:rPr>
            </w:pPr>
          </w:p>
        </w:tc>
        <w:tc>
          <w:tcPr>
            <w:tcW w:w="1660" w:type="dxa"/>
            <w:vAlign w:val="bottom"/>
          </w:tcPr>
          <w:p>
            <w:pPr>
              <w:jc w:val="right"/>
              <w:ind w:right="360"/>
              <w:spacing w:after="0"/>
              <w:rPr>
                <w:sz w:val="20"/>
                <w:szCs w:val="20"/>
                <w:color w:val="auto"/>
              </w:rPr>
            </w:pPr>
            <w:r>
              <w:rPr>
                <w:rFonts w:ascii="Arial" w:cs="Arial" w:eastAsia="Arial" w:hAnsi="Arial"/>
                <w:sz w:val="13"/>
                <w:szCs w:val="13"/>
                <w:b w:val="1"/>
                <w:bCs w:val="1"/>
                <w:color w:val="auto"/>
              </w:rPr>
              <w:t>December 31, 2018</w:t>
            </w:r>
          </w:p>
        </w:tc>
      </w:tr>
      <w:tr>
        <w:trPr>
          <w:trHeight w:val="23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Contract acquisition costs:</w:t>
            </w:r>
          </w:p>
        </w:tc>
        <w:tc>
          <w:tcPr>
            <w:tcW w:w="2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68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82"/>
              <w:spacing w:after="0"/>
              <w:rPr>
                <w:sz w:val="20"/>
                <w:szCs w:val="20"/>
                <w:color w:val="auto"/>
              </w:rPr>
            </w:pPr>
            <w:r>
              <w:rPr>
                <w:rFonts w:ascii="Arial" w:cs="Arial" w:eastAsia="Arial" w:hAnsi="Arial"/>
                <w:sz w:val="16"/>
                <w:szCs w:val="16"/>
                <w:color w:val="auto"/>
              </w:rPr>
              <w:t>21,298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19,353</w:t>
            </w:r>
          </w:p>
        </w:tc>
      </w:tr>
      <w:tr>
        <w:trPr>
          <w:trHeight w:val="25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9,378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7,924</w:t>
            </w:r>
          </w:p>
        </w:tc>
      </w:tr>
      <w:tr>
        <w:trPr>
          <w:trHeight w:val="233"/>
        </w:trPr>
        <w:tc>
          <w:tcPr>
            <w:tcW w:w="68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0"/>
                <w:szCs w:val="20"/>
                <w:color w:val="auto"/>
              </w:rPr>
            </w:pP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(7,081)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(6,404)</w:t>
            </w:r>
          </w:p>
        </w:tc>
      </w:tr>
      <w:tr>
        <w:trPr>
          <w:trHeight w:val="24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425</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23,595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21,298</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Capitalized implementation costs: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189,448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194,501</w:t>
            </w:r>
          </w:p>
        </w:tc>
      </w:tr>
      <w:tr>
        <w:trPr>
          <w:trHeight w:val="233"/>
        </w:trPr>
        <w:tc>
          <w:tcPr>
            <w:tcW w:w="68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80" w:type="dxa"/>
            <w:vAlign w:val="bottom"/>
          </w:tcPr>
          <w:p>
            <w:pPr>
              <w:spacing w:after="0"/>
              <w:rPr>
                <w:sz w:val="20"/>
                <w:szCs w:val="20"/>
                <w:color w:val="auto"/>
              </w:rPr>
            </w:pPr>
          </w:p>
        </w:tc>
        <w:tc>
          <w:tcPr>
            <w:tcW w:w="1780" w:type="dxa"/>
            <w:vAlign w:val="bottom"/>
          </w:tcPr>
          <w:p>
            <w:pPr>
              <w:jc w:val="right"/>
              <w:ind w:right="82"/>
              <w:spacing w:after="0"/>
              <w:rPr>
                <w:sz w:val="20"/>
                <w:szCs w:val="20"/>
                <w:color w:val="auto"/>
              </w:rPr>
            </w:pPr>
            <w:r>
              <w:rPr>
                <w:rFonts w:ascii="Arial" w:cs="Arial" w:eastAsia="Arial" w:hAnsi="Arial"/>
                <w:sz w:val="16"/>
                <w:szCs w:val="16"/>
                <w:color w:val="auto"/>
              </w:rPr>
              <w:t>28,588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39,168</w:t>
            </w:r>
          </w:p>
        </w:tc>
      </w:tr>
      <w:tr>
        <w:trPr>
          <w:trHeight w:val="25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(39,444)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(37,904)</w:t>
            </w:r>
          </w:p>
        </w:tc>
      </w:tr>
      <w:tr>
        <w:trPr>
          <w:trHeight w:val="233"/>
        </w:trPr>
        <w:tc>
          <w:tcPr>
            <w:tcW w:w="682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280" w:type="dxa"/>
            <w:vAlign w:val="bottom"/>
          </w:tcPr>
          <w:p>
            <w:pPr>
              <w:spacing w:after="0"/>
              <w:rPr>
                <w:sz w:val="20"/>
                <w:szCs w:val="20"/>
                <w:color w:val="auto"/>
              </w:rPr>
            </w:pP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(4,013)</w:t>
            </w:r>
          </w:p>
        </w:tc>
      </w:tr>
      <w:tr>
        <w:trPr>
          <w:trHeight w:val="24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(2,304)</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175,968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189,448</w:t>
            </w:r>
          </w:p>
        </w:tc>
      </w:tr>
      <w:tr>
        <w:trPr>
          <w:trHeight w:val="21"/>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71" w:name="page72"/>
    <w:bookmarkEnd w:id="71"/>
    <w:p>
      <w:pPr>
        <w:jc w:val="right"/>
        <w:ind w:right="10260"/>
        <w:spacing w:after="0"/>
        <w:rPr>
          <w:sz w:val="20"/>
          <w:szCs w:val="20"/>
          <w:color w:val="auto"/>
        </w:rPr>
      </w:pPr>
      <w:r>
        <w:rPr>
          <w:rFonts w:ascii="Arial" w:cs="Arial" w:eastAsia="Arial" w:hAnsi="Arial"/>
          <w:sz w:val="16"/>
          <w:szCs w:val="16"/>
          <w:b w:val="1"/>
          <w:bCs w:val="1"/>
          <w:color w:val="auto"/>
        </w:rPr>
        <w:t>3. Acquisitions</w:t>
      </w:r>
    </w:p>
    <w:p>
      <w:pPr>
        <w:spacing w:after="0" w:line="167" w:lineRule="exact"/>
        <w:rPr>
          <w:sz w:val="20"/>
          <w:szCs w:val="20"/>
          <w:color w:val="auto"/>
        </w:rPr>
      </w:pPr>
    </w:p>
    <w:p>
      <w:pPr>
        <w:jc w:val="right"/>
        <w:ind w:right="10200"/>
        <w:spacing w:after="0"/>
        <w:rPr>
          <w:sz w:val="20"/>
          <w:szCs w:val="20"/>
          <w:color w:val="auto"/>
        </w:rPr>
      </w:pPr>
      <w:r>
        <w:rPr>
          <w:rFonts w:ascii="Arial" w:cs="Arial" w:eastAsia="Arial" w:hAnsi="Arial"/>
          <w:sz w:val="16"/>
          <w:szCs w:val="16"/>
          <w:b w:val="1"/>
          <w:bCs w:val="1"/>
          <w:i w:val="1"/>
          <w:iCs w:val="1"/>
          <w:color w:val="auto"/>
        </w:rPr>
        <w:t>Farelogix</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announced on November 14, 2018 that we have entered into an agreement to acquire Farelogix, Inc. ("Farelogix"), a travel industry innovator in the airline information technology and distribution landscape. At closing, Sabre will purchase Farelogix for $360 million, funded by cash on hand and Revolver borrowing. We have agreed to advance certain attorneys' fees incurred by Farelogix in responding to certain governmental reviews of the acquisition and in defending against certain antitrust proceedings, which have totaled $20 million for the year ended December 31, 2019. These advances will be applied against the purchase price upon closing. On August 20, 2019, the U.S. Department of Justice ("DOJ") filed a complaint seeking a permanent injunction to prevent the acquisition. The trial concluded on February 6, 2020 and the trial court has not yet issued its decision. In addition, the U.K. Competitions and Market Authority ("CMA") has referred its review of the acquisition for a Phase 2 investigation and has published its provisional findings of competition concerns. There can be no assurance that the acquisition will occur on these terms or at all.</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Radixx</w:t>
      </w:r>
    </w:p>
    <w:p>
      <w:pPr>
        <w:spacing w:after="0" w:line="13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October 2019, we completed the acquisition of Radixx, a provider of retailing and customer service solutions to airlines in the low-cost carrier ("LCC") market, for $107 million, net of cash acquired and funded by cash on hand. Radixx is being integrated and is managed as a part of our Airline Solutions segment.</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Purchase Price Allocation</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purchase price allocation presented below is preliminary and based on information available as of the filing date of this Annual Report on Form 10-K. Primarily, we consider the accounting related to intangible assets and the associated deferred taxes to be incomplete due to ongoing analysis. We expect to finalize the purchase price allocation in the first quarter of 2020. A summary of the acquisition price and estimated fair values of assets acquired and liabilities assumed as of the date of acquisition is as follows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3,348</w:t>
            </w:r>
          </w:p>
        </w:tc>
      </w:tr>
      <w:tr>
        <w:trPr>
          <w:trHeight w:val="233"/>
        </w:trPr>
        <w:tc>
          <w:tcPr>
            <w:tcW w:w="90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2,587</w:t>
            </w:r>
          </w:p>
        </w:tc>
      </w:tr>
      <w:tr>
        <w:trPr>
          <w:trHeight w:val="25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r>
      <w:tr>
        <w:trPr>
          <w:trHeight w:val="233"/>
        </w:trPr>
        <w:tc>
          <w:tcPr>
            <w:tcW w:w="9060" w:type="dxa"/>
            <w:vAlign w:val="bottom"/>
          </w:tcPr>
          <w:p>
            <w:pPr>
              <w:ind w:left="2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82,402</w:t>
            </w:r>
          </w:p>
        </w:tc>
      </w:tr>
      <w:tr>
        <w:trPr>
          <w:trHeight w:val="25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3"/>
        </w:trPr>
        <w:tc>
          <w:tcPr>
            <w:tcW w:w="9060" w:type="dxa"/>
            <w:vAlign w:val="bottom"/>
          </w:tcPr>
          <w:p>
            <w:pPr>
              <w:ind w:left="220"/>
              <w:spacing w:after="0"/>
              <w:rPr>
                <w:sz w:val="20"/>
                <w:szCs w:val="20"/>
                <w:color w:val="auto"/>
              </w:rPr>
            </w:pPr>
            <w:r>
              <w:rPr>
                <w:rFonts w:ascii="Arial" w:cs="Arial" w:eastAsia="Arial" w:hAnsi="Arial"/>
                <w:sz w:val="16"/>
                <w:szCs w:val="16"/>
                <w:color w:val="auto"/>
              </w:rPr>
              <w:t>Customer relationships</w:t>
            </w:r>
          </w:p>
        </w:tc>
        <w:tc>
          <w:tcPr>
            <w:tcW w:w="8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13,600</w:t>
            </w:r>
          </w:p>
        </w:tc>
      </w:tr>
      <w:tr>
        <w:trPr>
          <w:trHeight w:val="253"/>
        </w:trPr>
        <w:tc>
          <w:tcPr>
            <w:tcW w:w="9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technology</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10,800</w:t>
            </w:r>
          </w:p>
        </w:tc>
      </w:tr>
      <w:tr>
        <w:trPr>
          <w:trHeight w:val="233"/>
        </w:trPr>
        <w:tc>
          <w:tcPr>
            <w:tcW w:w="9060" w:type="dxa"/>
            <w:vAlign w:val="bottom"/>
          </w:tcPr>
          <w:p>
            <w:pPr>
              <w:ind w:left="220"/>
              <w:spacing w:after="0"/>
              <w:rPr>
                <w:sz w:val="20"/>
                <w:szCs w:val="20"/>
                <w:color w:val="auto"/>
              </w:rPr>
            </w:pPr>
            <w:r>
              <w:rPr>
                <w:rFonts w:ascii="Arial" w:cs="Arial" w:eastAsia="Arial" w:hAnsi="Arial"/>
                <w:sz w:val="16"/>
                <w:szCs w:val="16"/>
                <w:color w:val="auto"/>
              </w:rPr>
              <w:t>Trade name</w:t>
            </w:r>
          </w:p>
        </w:tc>
        <w:tc>
          <w:tcPr>
            <w:tcW w:w="8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1,400</w:t>
            </w:r>
          </w:p>
        </w:tc>
      </w:tr>
      <w:tr>
        <w:trPr>
          <w:trHeight w:val="25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2,142</w:t>
            </w:r>
          </w:p>
        </w:tc>
      </w:tr>
      <w:tr>
        <w:trPr>
          <w:trHeight w:val="233"/>
        </w:trPr>
        <w:tc>
          <w:tcPr>
            <w:tcW w:w="90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8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2,968</w:t>
            </w:r>
          </w:p>
        </w:tc>
      </w:tr>
      <w:tr>
        <w:trPr>
          <w:trHeight w:val="25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assets, net</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2,641</w:t>
            </w:r>
          </w:p>
        </w:tc>
      </w:tr>
      <w:tr>
        <w:trPr>
          <w:trHeight w:val="233"/>
        </w:trPr>
        <w:tc>
          <w:tcPr>
            <w:tcW w:w="9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8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(7,071)</w:t>
            </w:r>
          </w:p>
        </w:tc>
      </w:tr>
      <w:tr>
        <w:trPr>
          <w:trHeight w:val="25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r>
      <w:tr>
        <w:trPr>
          <w:trHeight w:val="237"/>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(2,668)</w:t>
            </w:r>
          </w:p>
        </w:tc>
      </w:tr>
      <w:tr>
        <w:trPr>
          <w:trHeight w:val="268"/>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acquisition price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110,810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Under the purchase accounting method, the total purchase price was allocated to the net assets of Radixx based upon estimated fair values as of the acquisition date. The excess purchase price over the estimated fair value of the net tangible and intangible assets was recorded as goodwill, reflecting the growth potential of the business. The anticipated useful lives of the intangible assets acquired are 10 years for customer relationships, 5 years for developed technology and 18 years for the trade name.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acquisition of Radixx did not have a material impact to our consolidated financial statements, and therefore pro forma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4. Impairment and Related Charges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Capitalized implementation costs and deferred customer advances and discounts are reviewed for impairment if events and circumstances indicate that their carrying amounts may not be recoverable. See Note 1. Summary of Business and Significant Accounting Policies for more information. Given the substantial amount of uncertainty of reaching an agreement regarding the implementation of services pursuant to the contract with an Airline Solutions' customer, we evaluated the recoverability of net capitalized contract costs related to the customer and recorded a charge of $81 million during the year ended December 31, 2017. This charge was estimated based on a review of all balances with the customer including capitalized implementation costs, deferred customer advances and discounts, deferred revenue, contract liabilities, and other deferred charges. We will continue to monitor our position through the insolvency proceedings; however, there is no further exposure to our consolidated balance sheet as of December 31, 2019. Given the uncertainty associated with the ultimate resolution of this dispute, there could be further impacts to our consolidated statement of operations. This impairment charge was primarily non-cash and was recorded to Impairment and related charges in our consolidated statement of operations for the year ended December 31, 2017. See Note 16. Commitments and Contingencies—Other for additional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 and Intangible Assets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carrying amount of goodwill during the years ended December 31, 2019 and 2018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Travel Network</w:t>
            </w:r>
          </w:p>
        </w:tc>
        <w:tc>
          <w:tcPr>
            <w:tcW w:w="14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Airline Solutions</w:t>
            </w: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Hospitality</w:t>
            </w:r>
          </w:p>
        </w:tc>
        <w:tc>
          <w:tcPr>
            <w:tcW w:w="260" w:type="dxa"/>
            <w:vAlign w:val="bottom"/>
          </w:tcPr>
          <w:p>
            <w:pPr>
              <w:spacing w:after="0"/>
              <w:rPr>
                <w:sz w:val="13"/>
                <w:szCs w:val="13"/>
                <w:color w:val="auto"/>
              </w:rPr>
            </w:pPr>
          </w:p>
        </w:tc>
        <w:tc>
          <w:tcPr>
            <w:tcW w:w="1080" w:type="dxa"/>
            <w:vAlign w:val="bottom"/>
          </w:tcPr>
          <w:p>
            <w:pPr>
              <w:jc w:val="right"/>
              <w:ind w:right="44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Solutions</w:t>
            </w:r>
          </w:p>
        </w:tc>
        <w:tc>
          <w:tcPr>
            <w:tcW w:w="260" w:type="dxa"/>
            <w:vAlign w:val="bottom"/>
          </w:tcPr>
          <w:p>
            <w:pPr>
              <w:spacing w:after="0"/>
              <w:rPr>
                <w:sz w:val="14"/>
                <w:szCs w:val="14"/>
                <w:color w:val="auto"/>
              </w:rPr>
            </w:pPr>
          </w:p>
        </w:tc>
        <w:tc>
          <w:tcPr>
            <w:tcW w:w="1080" w:type="dxa"/>
            <w:vAlign w:val="bottom"/>
          </w:tcPr>
          <w:p>
            <w:pPr>
              <w:jc w:val="right"/>
              <w:ind w:right="323"/>
              <w:spacing w:after="0"/>
              <w:rPr>
                <w:sz w:val="20"/>
                <w:szCs w:val="20"/>
                <w:color w:val="auto"/>
              </w:rPr>
            </w:pPr>
            <w:r>
              <w:rPr>
                <w:rFonts w:ascii="Arial" w:cs="Arial" w:eastAsia="Arial" w:hAnsi="Arial"/>
                <w:sz w:val="13"/>
                <w:szCs w:val="13"/>
                <w:b w:val="1"/>
                <w:bCs w:val="1"/>
                <w:color w:val="auto"/>
              </w:rPr>
              <w:t>Goodwill</w:t>
            </w:r>
          </w:p>
        </w:tc>
        <w:tc>
          <w:tcPr>
            <w:tcW w:w="0" w:type="dxa"/>
            <w:vAlign w:val="bottom"/>
          </w:tcPr>
          <w:p>
            <w:pPr>
              <w:spacing w:after="0"/>
              <w:rPr>
                <w:sz w:val="1"/>
                <w:szCs w:val="1"/>
                <w:color w:val="auto"/>
              </w:rPr>
            </w:pPr>
          </w:p>
        </w:tc>
      </w:tr>
      <w:tr>
        <w:trPr>
          <w:trHeight w:val="24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2,104,822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290,985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159,180</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2,554,987</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(2,618)</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2,104,789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291,363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156,217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2,552,369</w:t>
            </w:r>
          </w:p>
        </w:tc>
        <w:tc>
          <w:tcPr>
            <w:tcW w:w="0" w:type="dxa"/>
            <w:vAlign w:val="bottom"/>
          </w:tcPr>
          <w:p>
            <w:pPr>
              <w:spacing w:after="0"/>
              <w:rPr>
                <w:sz w:val="1"/>
                <w:szCs w:val="1"/>
                <w:color w:val="auto"/>
              </w:rPr>
            </w:pPr>
          </w:p>
        </w:tc>
      </w:tr>
      <w:tr>
        <w:trPr>
          <w:trHeight w:val="233"/>
        </w:trPr>
        <w:tc>
          <w:tcPr>
            <w:tcW w:w="5700" w:type="dxa"/>
            <w:vAlign w:val="bottom"/>
          </w:tcPr>
          <w:p>
            <w:pPr>
              <w:ind w:left="18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82,402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83"/>
              <w:spacing w:after="0"/>
              <w:rPr>
                <w:sz w:val="20"/>
                <w:szCs w:val="20"/>
                <w:color w:val="auto"/>
              </w:rPr>
            </w:pPr>
            <w:r>
              <w:rPr>
                <w:rFonts w:ascii="Arial" w:cs="Arial" w:eastAsia="Arial" w:hAnsi="Arial"/>
                <w:sz w:val="16"/>
                <w:szCs w:val="16"/>
                <w:color w:val="auto"/>
              </w:rPr>
              <w:t>82,402</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2,104,782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373,658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154,811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2,633,251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11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net foreign currency effects during the year.</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intangible assets as of December 31,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2019</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7"/>
              </w:rPr>
              <w:t>December 31, 2018</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0"/>
                <w:szCs w:val="10"/>
                <w:color w:val="auto"/>
              </w:rPr>
            </w:pPr>
          </w:p>
        </w:tc>
        <w:tc>
          <w:tcPr>
            <w:tcW w:w="102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0"/>
                <w:szCs w:val="10"/>
                <w:color w:val="auto"/>
              </w:rPr>
            </w:pPr>
          </w:p>
        </w:tc>
        <w:tc>
          <w:tcPr>
            <w:tcW w:w="104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0"/>
                <w:szCs w:val="10"/>
                <w:color w:val="auto"/>
              </w:rPr>
            </w:pPr>
          </w:p>
        </w:tc>
        <w:tc>
          <w:tcPr>
            <w:tcW w:w="11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jc w:val="center"/>
              <w:ind w:right="164"/>
              <w:spacing w:after="0" w:line="122"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4"/>
                <w:szCs w:val="14"/>
                <w:color w:val="auto"/>
              </w:rPr>
            </w:pPr>
          </w:p>
        </w:tc>
        <w:tc>
          <w:tcPr>
            <w:tcW w:w="1040" w:type="dxa"/>
            <w:vAlign w:val="bottom"/>
          </w:tcPr>
          <w:p>
            <w:pPr>
              <w:jc w:val="center"/>
              <w:ind w:right="164"/>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24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customer relationships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1,046,382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(735,367)</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311,015</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1,033,555</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(709,824)</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323,731</w:t>
            </w:r>
          </w:p>
        </w:tc>
        <w:tc>
          <w:tcPr>
            <w:tcW w:w="0" w:type="dxa"/>
            <w:vAlign w:val="bottom"/>
          </w:tcPr>
          <w:p>
            <w:pPr>
              <w:spacing w:after="0"/>
              <w:rPr>
                <w:sz w:val="1"/>
                <w:szCs w:val="1"/>
                <w:color w:val="auto"/>
              </w:rPr>
            </w:pP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333,638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(147,735)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185,903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332,239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(137,009)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195,230</w:t>
            </w:r>
          </w:p>
        </w:tc>
        <w:tc>
          <w:tcPr>
            <w:tcW w:w="0" w:type="dxa"/>
            <w:vAlign w:val="bottom"/>
          </w:tcPr>
          <w:p>
            <w:pPr>
              <w:spacing w:after="0"/>
              <w:rPr>
                <w:sz w:val="1"/>
                <w:szCs w:val="1"/>
                <w:color w:val="auto"/>
              </w:rPr>
            </w:pPr>
          </w:p>
        </w:tc>
      </w:tr>
      <w:tr>
        <w:trPr>
          <w:trHeight w:val="25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Reacquired rights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(73,124)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40,376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113,500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(56,910)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56,590</w:t>
            </w:r>
          </w:p>
        </w:tc>
        <w:tc>
          <w:tcPr>
            <w:tcW w:w="0" w:type="dxa"/>
            <w:vAlign w:val="bottom"/>
          </w:tcPr>
          <w:p>
            <w:pPr>
              <w:spacing w:after="0"/>
              <w:rPr>
                <w:sz w:val="1"/>
                <w:szCs w:val="1"/>
                <w:color w:val="auto"/>
              </w:rPr>
            </w:pP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Purchased technology</w:t>
            </w:r>
          </w:p>
        </w:tc>
        <w:tc>
          <w:tcPr>
            <w:tcW w:w="24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437,288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(409,204)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28,084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426,488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(400,750)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25,738</w:t>
            </w: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contracts, supplier and distributor</w:t>
            </w:r>
          </w:p>
        </w:tc>
        <w:tc>
          <w:tcPr>
            <w:tcW w:w="2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37,599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(29,324)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8,275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37,600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(25,867)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11,733</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agreements</w:t>
            </w:r>
          </w:p>
        </w:tc>
        <w:tc>
          <w:tcPr>
            <w:tcW w:w="2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24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(14,686)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14,686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(14,460)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62"/>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1,983,093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(1,409,440)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573,653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1,958,068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(1,344,820)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613,248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Amortization expense relating to intangible assets subject to amortization totaled $65 million, $68 million and $96 million for the years ended December 31, 2019, 2018 and 2017, respectively. Estimated amortization expense related to intangible assets subject to amortization for each of the five succeeding years and beyond is as follows (in thousands):</w:t>
      </w:r>
    </w:p>
    <w:p>
      <w:pPr>
        <w:spacing w:after="0" w:line="119"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65,915</w:t>
            </w:r>
          </w:p>
        </w:tc>
      </w:tr>
      <w:tr>
        <w:trPr>
          <w:trHeight w:val="233"/>
        </w:trPr>
        <w:tc>
          <w:tcPr>
            <w:tcW w:w="6340" w:type="dxa"/>
            <w:vAlign w:val="bottom"/>
          </w:tcPr>
          <w:p>
            <w:pPr>
              <w:spacing w:after="0"/>
              <w:rPr>
                <w:sz w:val="20"/>
                <w:szCs w:val="20"/>
                <w:color w:val="auto"/>
              </w:rPr>
            </w:pPr>
            <w:r>
              <w:rPr>
                <w:rFonts w:ascii="Arial" w:cs="Arial" w:eastAsia="Arial" w:hAnsi="Arial"/>
                <w:sz w:val="16"/>
                <w:szCs w:val="16"/>
                <w:color w:val="auto"/>
              </w:rPr>
              <w:t>2021</w:t>
            </w:r>
          </w:p>
        </w:tc>
        <w:tc>
          <w:tcPr>
            <w:tcW w:w="5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64,337</w:t>
            </w:r>
          </w:p>
        </w:tc>
      </w:tr>
      <w:tr>
        <w:trPr>
          <w:trHeight w:val="25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50,736</w:t>
            </w:r>
          </w:p>
        </w:tc>
      </w:tr>
      <w:tr>
        <w:trPr>
          <w:trHeight w:val="233"/>
        </w:trPr>
        <w:tc>
          <w:tcPr>
            <w:tcW w:w="6340" w:type="dxa"/>
            <w:vAlign w:val="bottom"/>
          </w:tcPr>
          <w:p>
            <w:pPr>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37,030</w:t>
            </w:r>
          </w:p>
        </w:tc>
      </w:tr>
      <w:tr>
        <w:trPr>
          <w:trHeight w:val="25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58,395</w:t>
            </w:r>
          </w:p>
        </w:tc>
      </w:tr>
      <w:tr>
        <w:trPr>
          <w:trHeight w:val="237"/>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2025 and thereafter</w:t>
            </w: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297,240</w:t>
            </w:r>
          </w:p>
        </w:tc>
      </w:tr>
      <w:tr>
        <w:trPr>
          <w:trHeight w:val="262"/>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573,653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6. Balance Sheet Components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Prepaid Expenses and Other Current Assets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77,326</w:t>
            </w: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center"/>
              <w:ind w:right="4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80,049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Value added tax receivable</w:t>
            </w:r>
          </w:p>
        </w:tc>
        <w:tc>
          <w:tcPr>
            <w:tcW w:w="340" w:type="dxa"/>
            <w:vAlign w:val="bottom"/>
          </w:tcPr>
          <w:p>
            <w:pPr>
              <w:spacing w:after="0"/>
              <w:rPr>
                <w:sz w:val="20"/>
                <w:szCs w:val="20"/>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39,381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57,486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22,504</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32,708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139,211</w:t>
            </w:r>
          </w:p>
        </w:tc>
        <w:tc>
          <w:tcPr>
            <w:tcW w:w="100" w:type="dxa"/>
            <w:vAlign w:val="bottom"/>
          </w:tcPr>
          <w:p>
            <w:pPr>
              <w:spacing w:after="0"/>
              <w:rPr>
                <w:sz w:val="20"/>
                <w:szCs w:val="20"/>
                <w:color w:val="auto"/>
              </w:rPr>
            </w:pPr>
          </w:p>
        </w:tc>
        <w:tc>
          <w:tcPr>
            <w:tcW w:w="5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170,243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60" w:type="dxa"/>
            <w:vAlign w:val="bottom"/>
            <w:vMerge w:val="restart"/>
          </w:tcPr>
          <w:p>
            <w:pPr>
              <w:ind w:left="50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60" w:type="dxa"/>
            <w:vAlign w:val="bottom"/>
          </w:tcPr>
          <w:p>
            <w:pPr>
              <w:ind w:left="50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723"/>
              <w:spacing w:after="0"/>
              <w:rPr>
                <w:sz w:val="20"/>
                <w:szCs w:val="20"/>
                <w:color w:val="auto"/>
              </w:rPr>
            </w:pPr>
            <w:r>
              <w:rPr>
                <w:rFonts w:ascii="Arial" w:cs="Arial" w:eastAsia="Arial" w:hAnsi="Arial"/>
                <w:sz w:val="13"/>
                <w:szCs w:val="13"/>
                <w:b w:val="1"/>
                <w:bCs w:val="1"/>
                <w:color w:val="auto"/>
                <w:w w:val="96"/>
              </w:rPr>
              <w:t>December 31,</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leasehold improvements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163,881</w:t>
            </w: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156,357</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38,878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38,049</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349,454</w:t>
            </w: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developed for internal use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1,857,353</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1,771,306</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2,457,566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2,315,166</w:t>
            </w: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(1,815,844)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(1,524,794)</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641,722</w:t>
            </w: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790,372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6"/>
                <w:szCs w:val="16"/>
                <w:b w:val="1"/>
                <w:bCs w:val="1"/>
                <w:i w:val="1"/>
                <w:iCs w:val="1"/>
                <w:color w:val="auto"/>
              </w:rPr>
              <w:t>Other Assets, Net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60" w:type="dxa"/>
            <w:vAlign w:val="bottom"/>
          </w:tcPr>
          <w:p>
            <w:pPr>
              <w:ind w:left="500"/>
              <w:spacing w:after="0"/>
              <w:rPr>
                <w:sz w:val="20"/>
                <w:szCs w:val="20"/>
                <w:color w:val="auto"/>
              </w:rPr>
            </w:pPr>
            <w:r>
              <w:rPr>
                <w:rFonts w:ascii="Arial" w:cs="Arial" w:eastAsia="Arial" w:hAnsi="Arial"/>
                <w:sz w:val="16"/>
                <w:szCs w:val="16"/>
                <w:color w:val="auto"/>
              </w:rPr>
              <w:t>Other assets, net consist of the following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723"/>
              <w:spacing w:after="0"/>
              <w:rPr>
                <w:sz w:val="20"/>
                <w:szCs w:val="20"/>
                <w:color w:val="auto"/>
              </w:rPr>
            </w:pPr>
            <w:r>
              <w:rPr>
                <w:rFonts w:ascii="Arial" w:cs="Arial" w:eastAsia="Arial" w:hAnsi="Arial"/>
                <w:sz w:val="13"/>
                <w:szCs w:val="13"/>
                <w:b w:val="1"/>
                <w:bCs w:val="1"/>
                <w:color w:val="auto"/>
                <w:w w:val="96"/>
              </w:rPr>
              <w:t>December 31,</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implementation costs,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175,966</w:t>
            </w: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189,447</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Deferred upfront incentive consideration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151,606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162,893</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assets and customer advances and discounts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105,461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60,075</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6"/>
                <w:szCs w:val="16"/>
                <w:color w:val="auto"/>
              </w:rPr>
              <w:t>Right-of-Use asset</w:t>
            </w:r>
            <w:r>
              <w:rPr>
                <w:rFonts w:ascii="Arial" w:cs="Arial" w:eastAsia="Arial" w:hAnsi="Arial"/>
                <w:sz w:val="21"/>
                <w:szCs w:val="21"/>
                <w:color w:val="auto"/>
                <w:vertAlign w:val="superscript"/>
              </w:rPr>
              <w:t>(2)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50,467</w:t>
            </w: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134,631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147,789</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670,105</w:t>
            </w: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610,671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________________________________</w:t>
      </w:r>
    </w:p>
    <w:p>
      <w:pPr>
        <w:spacing w:after="0" w:line="118"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 to Note 2. Revenue from Contracts with Customers for additional information.</w:t>
      </w:r>
    </w:p>
    <w:p>
      <w:pPr>
        <w:spacing w:after="0" w:line="1" w:lineRule="exact"/>
        <w:rPr>
          <w:rFonts w:ascii="Arial" w:cs="Arial" w:eastAsia="Arial" w:hAnsi="Arial"/>
          <w:sz w:val="14"/>
          <w:szCs w:val="14"/>
          <w:color w:val="auto"/>
        </w:rPr>
      </w:pPr>
    </w:p>
    <w:p>
      <w:pPr>
        <w:ind w:left="340" w:hanging="332"/>
        <w:spacing w:after="0" w:line="258" w:lineRule="auto"/>
        <w:tabs>
          <w:tab w:leader="none" w:pos="248"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first quarter of 2019, we adopted new lease accounting guidance on a modified retrospective basis in accordance with ASC 842, Leases. See Note 11. Leases, for additional information.</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Noncurrent Liabilities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noncurrent liabilities consist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223"/>
        </w:trPr>
        <w:tc>
          <w:tcPr>
            <w:tcW w:w="8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2018</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other postretirement benefits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127,837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118,919</w:t>
            </w: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20"/>
                <w:szCs w:val="20"/>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74,646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75,685</w:t>
            </w: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49,970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Tax receivable agreement</w:t>
            </w:r>
          </w:p>
        </w:tc>
        <w:tc>
          <w:tcPr>
            <w:tcW w:w="3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72,939</w:t>
            </w: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95,069</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72,952</w:t>
            </w:r>
          </w:p>
        </w:tc>
      </w:tr>
      <w:tr>
        <w:trPr>
          <w:trHeight w:val="230"/>
        </w:trPr>
        <w:tc>
          <w:tcPr>
            <w:tcW w:w="81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347,522</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340,495</w:t>
            </w:r>
          </w:p>
        </w:tc>
      </w:tr>
      <w:tr>
        <w:trPr>
          <w:trHeight w:val="27"/>
        </w:trPr>
        <w:tc>
          <w:tcPr>
            <w:tcW w:w="8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___________________________</w:t>
      </w:r>
    </w:p>
    <w:p>
      <w:pPr>
        <w:spacing w:after="0" w:line="118" w:lineRule="exact"/>
        <w:rPr>
          <w:sz w:val="20"/>
          <w:szCs w:val="20"/>
          <w:color w:val="auto"/>
        </w:rPr>
      </w:pPr>
    </w:p>
    <w:p>
      <w:pPr>
        <w:ind w:left="340" w:hanging="332"/>
        <w:spacing w:after="0" w:line="258" w:lineRule="auto"/>
        <w:tabs>
          <w:tab w:leader="none" w:pos="2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the first quarter of 2019, we adopted new lease accounting guidance on a modified retrospective basis in accordance with ASC 842, Leases. See Note 11. Leases, for additional information.</w:t>
      </w:r>
    </w:p>
    <w:p>
      <w:pPr>
        <w:sectPr>
          <w:pgSz w:w="11900" w:h="16838" w:orient="portrait"/>
          <w:cols w:equalWidth="0" w:num="1">
            <w:col w:w="11420"/>
          </w:cols>
          <w:pgMar w:left="240" w:top="1215" w:right="239" w:bottom="849"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849" w:gutter="0" w:footer="0" w:header="0"/>
          <w:type w:val="continuous"/>
        </w:sectPr>
      </w:pPr>
    </w:p>
    <w:bookmarkStart w:id="74" w:name="page75"/>
    <w:bookmarkEnd w:id="74"/>
    <w:p>
      <w:pPr>
        <w:ind w:left="50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loss consists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223"/>
        </w:trPr>
        <w:tc>
          <w:tcPr>
            <w:tcW w:w="8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and other postretirement benefit plans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(143,389)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(139,430)</w:t>
            </w: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Unrealized foreign currency translation gain</w:t>
            </w:r>
          </w:p>
        </w:tc>
        <w:tc>
          <w:tcPr>
            <w:tcW w:w="380" w:type="dxa"/>
            <w:vAlign w:val="bottom"/>
          </w:tcPr>
          <w:p>
            <w:pPr>
              <w:spacing w:after="0"/>
              <w:rPr>
                <w:sz w:val="20"/>
                <w:szCs w:val="20"/>
                <w:color w:val="auto"/>
              </w:rPr>
            </w:pPr>
          </w:p>
        </w:tc>
        <w:tc>
          <w:tcPr>
            <w:tcW w:w="1180" w:type="dxa"/>
            <w:vAlign w:val="bottom"/>
          </w:tcPr>
          <w:p>
            <w:pPr>
              <w:jc w:val="right"/>
              <w:ind w:right="85"/>
              <w:spacing w:after="0"/>
              <w:rPr>
                <w:sz w:val="20"/>
                <w:szCs w:val="20"/>
                <w:color w:val="auto"/>
              </w:rPr>
            </w:pPr>
            <w:r>
              <w:rPr>
                <w:rFonts w:ascii="Arial" w:cs="Arial" w:eastAsia="Arial" w:hAnsi="Arial"/>
                <w:sz w:val="16"/>
                <w:szCs w:val="16"/>
                <w:color w:val="auto"/>
              </w:rPr>
              <w:t>4,289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7,201</w:t>
            </w: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foreign currency forward contracts, interest rate swaps and available-for-sale securities</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(10,206)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(495)</w:t>
            </w:r>
          </w:p>
        </w:tc>
      </w:tr>
      <w:tr>
        <w:trPr>
          <w:trHeight w:val="230"/>
        </w:trPr>
        <w:tc>
          <w:tcPr>
            <w:tcW w:w="8160" w:type="dxa"/>
            <w:vAlign w:val="bottom"/>
          </w:tcPr>
          <w:p>
            <w:pPr>
              <w:ind w:left="220"/>
              <w:spacing w:after="0"/>
              <w:rPr>
                <w:sz w:val="20"/>
                <w:szCs w:val="20"/>
                <w:color w:val="auto"/>
              </w:rPr>
            </w:pPr>
            <w:r>
              <w:rPr>
                <w:rFonts w:ascii="Arial" w:cs="Arial" w:eastAsia="Arial" w:hAnsi="Arial"/>
                <w:sz w:val="16"/>
                <w:szCs w:val="16"/>
                <w:color w:val="auto"/>
              </w:rPr>
              <w:t>Total accumulated other comprehensive loss, net of tax</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(149,306)</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(132,724)</w:t>
            </w:r>
          </w:p>
        </w:tc>
      </w:tr>
      <w:tr>
        <w:trPr>
          <w:trHeight w:val="27"/>
        </w:trPr>
        <w:tc>
          <w:tcPr>
            <w:tcW w:w="8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included in Other, net. See Note 9. Derivatives, for information on the income statement line items affected as the result of reclassification adjustments associated with derivatives.</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2018, we adopted an updated accounting standard and elected to reclassify the stranded income tax effects related to the enactment of the TCJA to retained earnings resulting in a decrease in our retained deficit of $22 million with a corresponding increase to accumulated other comprehensive income.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On December 22, 2017, the TCJA was signed into law. The TCJA contains significant changes to the U.S. corporate income tax system, including a reduction of the federal corporate income tax rate from 35% to 21%, a limitation of the tax deduction for interest expense to 30% of adjusted taxable income (as defined in the TCJA), base erosion and anti-avoidance tax (“BEAT”), foreign-derived intangible income (“FDII”) and global intangible low-taxed income (“GILTI”), one-time taxation of offshore earnings at reduced rates in connection with the transition of U.S. international taxation from a worldwide tax system to a territorial tax system (“transition tax”), and elimination of U.S. tax on dividends from foreign subsidiaries (subject to certain important exceptions).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At December 31, 2017, we recorded a provisional net discrete tax cost associated with the TCJA of $47 million. The provisional amounts recorded in 2017 related primarily to the transition tax and were partially offset by the remeasurement of deferred taxes. Upon further analysis of certain aspects of the TCJA and subsequently published administrative guidance, and refinement of our calculations, during the year ended December 31, 2018, we reduced the provisional amount by $27 million.</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Tax Receivable Agreement ("TRA") provides for future payments to Pre-IPO Existing Stockholders (as defined below) for cash savings for U.S. federal income tax realized as a result of the utilization of Pre-IPO Tax Assets (as defined below). These cash savings would be realized at the enacted statutory tax rate effective in the year of utilization. Primarily as a result of the reduction in the U.S. corporate income tax rate, we recorded a $58 million provisional reduction to the liability at December 31, 2017. In 2018, we finalized the 2017 U.S. federal income tax return and utilized additional Pre-IPO Tax Assets in the return, primarily as a result of electing to utilize our NOLs against our one-time transition tax income. As a result of the change in estimated NOL utilization at the higher corporate income tax rate in 2017 we recorded an increase to our liability of $5 million related to the TRA, which is reflected in our 2018 income from continuing operations before taxes. During 2019, we decreased the TRA liability by $3 million as a result of certain audit and transfer pricing adjustments recorded during the period, which is reflected in our 2019 income from continuing operations before taxes.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pretax income from continuing operations, generally based on the jurisdiction of the legal entity,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2017</w:t>
            </w: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Components of pre-tax income:</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Domestic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30,960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190,291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199,685</w:t>
            </w:r>
          </w:p>
        </w:tc>
      </w:tr>
      <w:tr>
        <w:trPr>
          <w:trHeight w:val="246"/>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168,678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208,122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177,928</w:t>
            </w:r>
          </w:p>
        </w:tc>
      </w:tr>
      <w:tr>
        <w:trPr>
          <w:trHeight w:val="237"/>
        </w:trPr>
        <w:tc>
          <w:tcPr>
            <w:tcW w:w="716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199,638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398,413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377,613</w:t>
            </w:r>
          </w:p>
        </w:tc>
      </w:tr>
      <w:tr>
        <w:trPr>
          <w:trHeight w:val="27"/>
        </w:trPr>
        <w:tc>
          <w:tcPr>
            <w:tcW w:w="7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75" w:name="page76"/>
    <w:bookmarkEnd w:id="75"/>
    <w:p>
      <w:pPr>
        <w:ind w:left="500"/>
        <w:spacing w:after="0"/>
        <w:rPr>
          <w:sz w:val="20"/>
          <w:szCs w:val="20"/>
          <w:color w:val="auto"/>
        </w:rPr>
      </w:pPr>
      <w:r>
        <w:rPr>
          <w:rFonts w:ascii="Arial" w:cs="Arial" w:eastAsia="Arial" w:hAnsi="Arial"/>
          <w:sz w:val="16"/>
          <w:szCs w:val="16"/>
          <w:color w:val="auto"/>
        </w:rPr>
        <w:t>The provision for income taxes relating to continuing operations consists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Federal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4,488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(49,518)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50,829</w:t>
            </w: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 and Local</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4,168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2,388</w:t>
            </w:r>
          </w:p>
        </w:tc>
      </w:tr>
      <w:tr>
        <w:trPr>
          <w:trHeight w:val="237"/>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49,982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59,743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26,060</w:t>
            </w:r>
          </w:p>
        </w:tc>
      </w:tr>
      <w:tr>
        <w:trPr>
          <w:trHeight w:val="243"/>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58,251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79,277</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Deferred portion:</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55,502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47,372</w:t>
            </w: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State and Local</w:t>
            </w:r>
          </w:p>
        </w:tc>
        <w:tc>
          <w:tcPr>
            <w:tcW w:w="3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(6,178)</w:t>
            </w: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(7,018)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(7,591)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7,566</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deferred</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(22,925)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43,099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48,760</w:t>
            </w:r>
          </w:p>
        </w:tc>
      </w:tr>
      <w:tr>
        <w:trPr>
          <w:trHeight w:val="257"/>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35,326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57,492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128,037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at statutory federal income tax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41,924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83,667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132,165</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State income taxes, net of federal benefit</w:t>
            </w: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(1,727)</w:t>
            </w:r>
          </w:p>
        </w:tc>
      </w:tr>
      <w:tr>
        <w:trPr>
          <w:trHeight w:val="25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non U.S. taxing jurisdictions, net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14,078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(13,492)</w:t>
            </w:r>
          </w:p>
        </w:tc>
      </w:tr>
      <w:tr>
        <w:trPr>
          <w:trHeight w:val="243"/>
        </w:trPr>
        <w:tc>
          <w:tcPr>
            <w:tcW w:w="7160" w:type="dxa"/>
            <w:vAlign w:val="bottom"/>
          </w:tcPr>
          <w:p>
            <w:pPr>
              <w:ind w:left="20"/>
              <w:spacing w:after="0"/>
              <w:rPr>
                <w:sz w:val="20"/>
                <w:szCs w:val="20"/>
                <w:color w:val="auto"/>
              </w:rPr>
            </w:pPr>
            <w:r>
              <w:rPr>
                <w:rFonts w:ascii="Arial" w:cs="Arial" w:eastAsia="Arial" w:hAnsi="Arial"/>
                <w:sz w:val="16"/>
                <w:szCs w:val="16"/>
                <w:color w:val="auto"/>
              </w:rPr>
              <w:t>Impact of U.S. TCJA</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(26,730)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46,563</w:t>
            </w: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based compensation</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8,380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3,884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(2,849)</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Research tax credit</w:t>
            </w:r>
          </w:p>
        </w:tc>
        <w:tc>
          <w:tcPr>
            <w:tcW w:w="3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(28,593)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(9,818)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(8,777)</w:t>
            </w:r>
          </w:p>
        </w:tc>
      </w:tr>
      <w:tr>
        <w:trPr>
          <w:trHeight w:val="25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receivable agreement (TRA)</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(20,861)</w:t>
            </w:r>
          </w:p>
        </w:tc>
      </w:tr>
      <w:tr>
        <w:trPr>
          <w:trHeight w:val="23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(2,985)</w:t>
            </w:r>
          </w:p>
        </w:tc>
      </w:tr>
      <w:tr>
        <w:trPr>
          <w:trHeight w:val="257"/>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35,326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57,492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128,037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spacing w:after="0"/>
        <w:rPr>
          <w:sz w:val="20"/>
          <w:szCs w:val="20"/>
          <w:color w:val="auto"/>
        </w:rPr>
      </w:pPr>
      <w:r>
        <w:rPr>
          <w:rFonts w:ascii="Arial" w:cs="Arial" w:eastAsia="Arial" w:hAnsi="Arial"/>
          <w:sz w:val="11"/>
          <w:szCs w:val="11"/>
          <w:color w:val="auto"/>
        </w:rPr>
        <w:t>___________________________</w:t>
      </w:r>
    </w:p>
    <w:p>
      <w:pPr>
        <w:spacing w:after="0" w:line="118" w:lineRule="exact"/>
        <w:rPr>
          <w:sz w:val="20"/>
          <w:szCs w:val="20"/>
          <w:color w:val="auto"/>
        </w:rPr>
      </w:pPr>
    </w:p>
    <w:p>
      <w:pPr>
        <w:ind w:left="340" w:hanging="332"/>
        <w:spacing w:after="0" w:line="24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2018, amount includes SAB 118 adjustments for deferred taxes and foreign tax effects. In 2017, amount includes $48 million of transition tax expense, and the remainder is the net benefit on cumulative deferred taxes.</w:t>
      </w: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includes adjustments to the TRA, which are not taxable.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27" w:right="279" w:bottom="1440" w:gutter="0" w:footer="0" w:header="0"/>
        </w:sectPr>
      </w:pPr>
    </w:p>
    <w:bookmarkStart w:id="76" w:name="page77"/>
    <w:bookmarkEnd w:id="76"/>
    <w:p>
      <w:pPr>
        <w:ind w:left="500"/>
        <w:spacing w:after="0"/>
        <w:rPr>
          <w:sz w:val="20"/>
          <w:szCs w:val="20"/>
          <w:color w:val="auto"/>
        </w:rPr>
      </w:pPr>
      <w:r>
        <w:rPr>
          <w:rFonts w:ascii="Arial" w:cs="Arial" w:eastAsia="Arial" w:hAnsi="Arial"/>
          <w:sz w:val="16"/>
          <w:szCs w:val="16"/>
          <w:color w:val="auto"/>
        </w:rPr>
        <w:t>The components of our deferred tax assets and liabilities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r>
      <w:tr>
        <w:trPr>
          <w:trHeight w:val="223"/>
        </w:trPr>
        <w:tc>
          <w:tcPr>
            <w:tcW w:w="8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r>
      <w:tr>
        <w:trPr>
          <w:trHeight w:val="22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7,547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8,638</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benefits other than pension</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23,272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34,147</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9,415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30,715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22,351</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Pension obligations</w:t>
            </w: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27,407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26,821</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loss carryforwards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54,556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70,340</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Incentive consideration</w:t>
            </w: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6,722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9,456</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credit carryforwards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16,136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31,467</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Suspended loss</w:t>
            </w: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14,635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14,474</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5,916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8,008</w:t>
            </w:r>
          </w:p>
        </w:tc>
      </w:tr>
      <w:tr>
        <w:trPr>
          <w:trHeight w:val="227"/>
        </w:trPr>
        <w:tc>
          <w:tcPr>
            <w:tcW w:w="8600" w:type="dxa"/>
            <w:vAlign w:val="bottom"/>
          </w:tcPr>
          <w:p>
            <w:pPr>
              <w:ind w:left="460"/>
              <w:spacing w:after="0"/>
              <w:rPr>
                <w:sz w:val="20"/>
                <w:szCs w:val="20"/>
                <w:color w:val="auto"/>
              </w:rPr>
            </w:pPr>
            <w:r>
              <w:rPr>
                <w:rFonts w:ascii="Arial" w:cs="Arial" w:eastAsia="Arial" w:hAnsi="Arial"/>
                <w:sz w:val="16"/>
                <w:szCs w:val="16"/>
                <w:color w:val="auto"/>
              </w:rPr>
              <w:t>Total deferred tax assets</w:t>
            </w:r>
          </w:p>
        </w:tc>
        <w:tc>
          <w:tcPr>
            <w:tcW w:w="320" w:type="dxa"/>
            <w:vAlign w:val="bottom"/>
          </w:tcPr>
          <w:p>
            <w:pPr>
              <w:spacing w:after="0"/>
              <w:rPr>
                <w:sz w:val="19"/>
                <w:szCs w:val="19"/>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196,321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225,702</w:t>
            </w: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Right of use assets</w:t>
            </w: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(9,261)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(13,298)</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Software developed for internal use</w:t>
            </w: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(66,918)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(103,631)</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(120,528)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(122,921)</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Unrealized gains and losses</w:t>
            </w: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(18,778)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(21,840)</w:t>
            </w:r>
          </w:p>
        </w:tc>
      </w:tr>
      <w:tr>
        <w:trPr>
          <w:trHeight w:val="253"/>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 U.S. operations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(9,355)</w:t>
            </w:r>
          </w:p>
        </w:tc>
      </w:tr>
      <w:tr>
        <w:trPr>
          <w:trHeight w:val="237"/>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Investment in partnership</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(7,306)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(6,794)</w:t>
            </w:r>
          </w:p>
        </w:tc>
      </w:tr>
      <w:tr>
        <w:trPr>
          <w:trHeight w:val="243"/>
        </w:trPr>
        <w:tc>
          <w:tcPr>
            <w:tcW w:w="8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liabilities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(243,639)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(277,839)</w:t>
            </w:r>
          </w:p>
        </w:tc>
      </w:tr>
      <w:tr>
        <w:trPr>
          <w:trHeight w:val="237"/>
        </w:trPr>
        <w:tc>
          <w:tcPr>
            <w:tcW w:w="8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(38,272)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(59,294)</w:t>
            </w:r>
          </w:p>
        </w:tc>
      </w:tr>
      <w:tr>
        <w:trPr>
          <w:trHeight w:val="262"/>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deferred tax (liability)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(85,590)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(111,431)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the first quarter of 2018, we adopted ASC 606, which replaced ASC 605, using the modified retrospective approach. As a result of the adoption of ASC 606, we recorded a cumulative effect adjustment as of January 1, 2018 to decrease our opening retained deficit as of January 1, 2018 by approximately $102 million with a corresponding increase to deferred tax liabilities of $24 million to recognize the increase to income taxes payable in the future related to revenue recognition.</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As a result of the enactment of the TCJA, we recorded a one-time transition tax on the undistributed earnings of our foreign subsidiaries. We do not consider undistributed foreign earnings to be indefinitely reinvested as of December 31, 2019, with certain limited exceptions and have recorded corresponding deferred taxes. We consider the undistributed capital investments in our foreign subsidiaries to be indefinitely reinvested as of December 31, 2019, and have not provided deferred taxes on any outside basis differences. Determination of the amount of unrecognized deferred tax liability, if any, related to indefinitely reinvested capital investments is not practicable.</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of December 31, 2019, we have U.S. federal net operating loss carryforwards ("NOLs") of approximately $32 million, primarily related to the acquisition of Radixx, which will expire between 2022 and 2039. As a result of the acquisition of Radixx and other prior business combinations, all of the U.S. federal NOLs are subject to the annual limit on the ability of a corporation to use certain tax attributes (as defined in Section 382 of the Code). However, we expect that Section 382 will not limit our ability to fully realize the tax benefits. We have state NOLs of $7 million which will expire between 2020 and 2038 and state research tax credit carryforwards of $18 million which will expire between 2023 and 2039. We have $165 million of NOL carryforwards related to certain non-U.S. taxing jurisdictions that are primarily from countries with indefinite carryforward periods.</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regularly review our deferred tax assets for realizability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NOLs to prior periods, the reversal of deferred tax liabilities, tax planning strategies and projected future taxable income. We maintained a state NOL valuation allowance of $5 million and $4 million as of December 31, 2019 and 2018, respectively. For non-U.S. deferred tax assets of lastminute.com and other subsidiaries, we maintained a valuation allowance of $33 million and $55 million as of December 31, 2019 and 2018, respectively. We reassess these assumptions regularly which could cause an increase or decrease to the valuation allowance. This assessment could result in an increase or decrease in the effective tax rate which could materially impact our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7" w:right="239" w:bottom="1440" w:gutter="0" w:footer="0" w:header="0"/>
        </w:sectPr>
      </w:pPr>
    </w:p>
    <w:bookmarkStart w:id="77" w:name="page78"/>
    <w:bookmarkEnd w:id="77"/>
    <w:p>
      <w:pPr>
        <w:jc w:val="both"/>
        <w:ind w:firstLine="486"/>
        <w:spacing w:after="0" w:line="251" w:lineRule="auto"/>
        <w:rPr>
          <w:sz w:val="20"/>
          <w:szCs w:val="20"/>
          <w:color w:val="auto"/>
        </w:rPr>
      </w:pPr>
      <w:r>
        <w:rPr>
          <w:rFonts w:ascii="Arial" w:cs="Arial" w:eastAsia="Arial" w:hAnsi="Arial"/>
          <w:sz w:val="16"/>
          <w:szCs w:val="16"/>
          <w:color w:val="auto"/>
        </w:rPr>
        <w:t>It is our policy to recognize penalties and interest accrued related to income taxes as a component of the provision for income taxes from continuing operations. During the years ended December 31, 2019, 2018 and 2017, we recognized a benefit of $7 million, expense of $1 million and expense of $1 million, respectively. As of December 31, 2019 and 2018, we had a liability, including interest and penalty, of $81 million and $93 million, respectively, for unrecognized tax benefits, including cumulative accrued interest and penalties of approximately $16 million and $23 million, respectively.</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excluding interest and penalties,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70,327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74,388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49,331</w:t>
            </w: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Additions for tax positions taken in the current year</w:t>
            </w: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4,450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5,279</w:t>
            </w: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for tax positions of prior years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12,679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21,669</w:t>
            </w: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Additions for tax positions from acquisitions</w:t>
            </w: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Reductions for tax positions of prior years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(19,611)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Reductions for tax positions of expired statute of limitations</w:t>
            </w:r>
          </w:p>
        </w:tc>
        <w:tc>
          <w:tcPr>
            <w:tcW w:w="3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(3,143)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(1,891)</w:t>
            </w: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(4,001)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(2,149)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230"/>
        </w:trPr>
        <w:tc>
          <w:tcPr>
            <w:tcW w:w="716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64,645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70,327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74,388</w:t>
            </w:r>
          </w:p>
        </w:tc>
      </w:tr>
      <w:tr>
        <w:trPr>
          <w:trHeight w:val="27"/>
        </w:trPr>
        <w:tc>
          <w:tcPr>
            <w:tcW w:w="7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present unrecognized tax benefits as a reduction to deferred tax assets for NOLs,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was $48 million, $55 million and $53 million as of December 31, 2019</w:t>
      </w:r>
      <w:r>
        <w:rPr>
          <w:rFonts w:ascii="Arial" w:cs="Arial" w:eastAsia="Arial" w:hAnsi="Arial"/>
          <w:sz w:val="18"/>
          <w:szCs w:val="18"/>
          <w:color w:val="auto"/>
        </w:rPr>
        <w:t>,</w:t>
      </w:r>
      <w:r>
        <w:rPr>
          <w:rFonts w:ascii="Arial" w:cs="Arial" w:eastAsia="Arial" w:hAnsi="Arial"/>
          <w:sz w:val="16"/>
          <w:szCs w:val="16"/>
          <w:color w:val="auto"/>
        </w:rPr>
        <w:t xml:space="preserve"> 2018, and 2017 respectively.</w:t>
      </w:r>
    </w:p>
    <w:p>
      <w:pPr>
        <w:spacing w:after="0" w:line="29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As of December 31, 2019, 2018, and 2017, the amount of unrecognized tax benefits that, if recognized, would impact the effective tax rate was $48 million, $51 million and $70 million, respectively. We believe that it is reasonably possible that $15 million in unrecognized tax benefits may be resolved in the next twelve months.</w:t>
      </w:r>
    </w:p>
    <w:p>
      <w:pPr>
        <w:spacing w:after="0" w:line="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the normal course of business, we are subject to examination by taxing authorities throughout the world. The following table summarizes, by major tax jurisdiction, our tax years that remain subject to examination by taxing authorities:</w:t>
      </w:r>
    </w:p>
    <w:p>
      <w:pPr>
        <w:spacing w:after="0" w:line="234" w:lineRule="exact"/>
        <w:rPr>
          <w:sz w:val="20"/>
          <w:szCs w:val="20"/>
          <w:color w:val="auto"/>
        </w:rPr>
      </w:pPr>
    </w:p>
    <w:tbl>
      <w:tblPr>
        <w:tblLayout w:type="fixed"/>
        <w:tblInd w:w="2880" w:type="dxa"/>
        <w:tblCellMar>
          <w:top w:w="0" w:type="dxa"/>
          <w:left w:w="0" w:type="dxa"/>
          <w:bottom w:w="0" w:type="dxa"/>
          <w:right w:w="0" w:type="dxa"/>
        </w:tblCellMar>
      </w:tblPr>
      <w:tr>
        <w:trPr>
          <w:trHeight w:val="196"/>
        </w:trPr>
        <w:tc>
          <w:tcPr>
            <w:tcW w:w="23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Tax Jurisdiction</w:t>
            </w: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 Subject to Examination</w:t>
            </w:r>
          </w:p>
        </w:tc>
      </w:tr>
      <w:tr>
        <w:trPr>
          <w:trHeight w:val="24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3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2013 - forward</w:t>
            </w:r>
          </w:p>
        </w:tc>
      </w:tr>
      <w:tr>
        <w:trPr>
          <w:trHeight w:val="233"/>
        </w:trPr>
        <w:tc>
          <w:tcPr>
            <w:tcW w:w="2300" w:type="dxa"/>
            <w:vAlign w:val="bottom"/>
          </w:tcPr>
          <w:p>
            <w:pPr>
              <w:ind w:left="20"/>
              <w:spacing w:after="0"/>
              <w:rPr>
                <w:sz w:val="20"/>
                <w:szCs w:val="20"/>
                <w:color w:val="auto"/>
              </w:rPr>
            </w:pPr>
            <w:r>
              <w:rPr>
                <w:rFonts w:ascii="Arial" w:cs="Arial" w:eastAsia="Arial" w:hAnsi="Arial"/>
                <w:sz w:val="16"/>
                <w:szCs w:val="16"/>
                <w:color w:val="auto"/>
              </w:rPr>
              <w:t>Singapore</w:t>
            </w:r>
          </w:p>
        </w:tc>
        <w:tc>
          <w:tcPr>
            <w:tcW w:w="3380" w:type="dxa"/>
            <w:vAlign w:val="bottom"/>
          </w:tcPr>
          <w:p>
            <w:pPr>
              <w:jc w:val="center"/>
              <w:spacing w:after="0"/>
              <w:rPr>
                <w:sz w:val="20"/>
                <w:szCs w:val="20"/>
                <w:color w:val="auto"/>
              </w:rPr>
            </w:pPr>
            <w:r>
              <w:rPr>
                <w:rFonts w:ascii="Arial" w:cs="Arial" w:eastAsia="Arial" w:hAnsi="Arial"/>
                <w:sz w:val="16"/>
                <w:szCs w:val="16"/>
                <w:color w:val="auto"/>
              </w:rPr>
              <w:t>2015 - forward</w:t>
            </w:r>
          </w:p>
        </w:tc>
      </w:tr>
      <w:tr>
        <w:trPr>
          <w:trHeight w:val="25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3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2015 - forward</w:t>
            </w:r>
          </w:p>
        </w:tc>
      </w:tr>
      <w:tr>
        <w:trPr>
          <w:trHeight w:val="233"/>
        </w:trPr>
        <w:tc>
          <w:tcPr>
            <w:tcW w:w="2300" w:type="dxa"/>
            <w:vAlign w:val="bottom"/>
          </w:tcPr>
          <w:p>
            <w:pPr>
              <w:ind w:left="20"/>
              <w:spacing w:after="0"/>
              <w:rPr>
                <w:sz w:val="20"/>
                <w:szCs w:val="20"/>
                <w:color w:val="auto"/>
              </w:rPr>
            </w:pPr>
            <w:r>
              <w:rPr>
                <w:rFonts w:ascii="Arial" w:cs="Arial" w:eastAsia="Arial" w:hAnsi="Arial"/>
                <w:sz w:val="16"/>
                <w:szCs w:val="16"/>
                <w:color w:val="auto"/>
              </w:rPr>
              <w:t>Uruguay</w:t>
            </w:r>
          </w:p>
        </w:tc>
        <w:tc>
          <w:tcPr>
            <w:tcW w:w="3380" w:type="dxa"/>
            <w:vAlign w:val="bottom"/>
          </w:tcPr>
          <w:p>
            <w:pPr>
              <w:jc w:val="center"/>
              <w:spacing w:after="0"/>
              <w:rPr>
                <w:sz w:val="20"/>
                <w:szCs w:val="20"/>
                <w:color w:val="auto"/>
              </w:rPr>
            </w:pPr>
            <w:r>
              <w:rPr>
                <w:rFonts w:ascii="Arial" w:cs="Arial" w:eastAsia="Arial" w:hAnsi="Arial"/>
                <w:sz w:val="16"/>
                <w:szCs w:val="16"/>
                <w:color w:val="auto"/>
              </w:rPr>
              <w:t>2014 - forward</w:t>
            </w:r>
          </w:p>
        </w:tc>
      </w:tr>
      <w:tr>
        <w:trPr>
          <w:trHeight w:val="25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3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2014 - forward</w:t>
            </w:r>
          </w:p>
        </w:tc>
      </w:tr>
    </w:tbl>
    <w:p>
      <w:pPr>
        <w:spacing w:after="0" w:line="21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currently have ongoing audits in India (2003-2016) and various other jurisdictions. We do not expect that the results of these examinations will have a material effect on our financial condition or results of operations. With few exceptions, we are no longer subject to income tax examinations by tax authorities for years prior to 2009.</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33"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Immediately prior to the closing of our initial public offering, we entered into the TRA that provides the stockholders and equity award holders that were our stockholders and equity award holders, respectively, immediately prior to the closing of our initial public offering (collectively, the "Pre-IPO Existing Stockholders") the right to receive future payments from us. The future payments will equal 85% of the amount of cash savings, if any, in U.S. federal income tax that we and our subsidiaries realize as a result of the utilization of certain tax assets attributable to periods prior to our initial public offerings, including NOLs, capital losses and the ability to realize tax amortization of certain intangible assets (collectively, the "Pre-IPO Tax Assets"). Primarily due to the enactment of the Tax Cuts and Jobs Act (the "TCJA"), which reduced the U.S. corporate income tax rate, we recorded a total net reduction in the TRA liability of $55 million across the years ended December 31, 2018 and 2017. Additionally, there was another reduction of $3 million related to certain audit and transfer pricing adjustments recorded in 2019. The TRA payments accrue interest in accordance with the terms of the TRA subsequent to the tax year in which the tax benefits are realized through the date of the benefit payment. We made payments, including interest, of $72 million in January 2020, $30 million in April 2019, and $74 million, $60 million and $101 million in January 2019, 2018 and 2017, respectively. In December 2019, we exercised our right under the terms of the TRA to accelerate our remaining payments under the TRA and make an early termination payment of $1 million to the Pre-IPO Existing Shareholders, which was included in the January 2020 payment of $72 million described above. As a result, no future payments are required to be made to the Pre-IPO Existing Stockholders under the TRA.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8. Debt</w:t>
      </w:r>
    </w:p>
    <w:p>
      <w:pPr>
        <w:spacing w:after="0" w:line="24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As of December 31, 2019 and 2018, our outstanding debt included in our consolidated balance sheets totaled $3,343 million and $3,406 million, respectively, which are net of debt issuance costs of $15 million and $18 million, respectively, and unamortized discounts of $6 million and $7 million, respectively. The following table sets forth the face values of our outstanding debt as of December 31, 2019 and 2018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223"/>
        </w:trPr>
        <w:tc>
          <w:tcPr>
            <w:tcW w:w="528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Rate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Maturity</w:t>
            </w:r>
          </w:p>
        </w:tc>
        <w:tc>
          <w:tcPr>
            <w:tcW w:w="280" w:type="dxa"/>
            <w:vAlign w:val="bottom"/>
          </w:tcPr>
          <w:p>
            <w:pPr>
              <w:spacing w:after="0"/>
              <w:rPr>
                <w:sz w:val="19"/>
                <w:szCs w:val="19"/>
                <w:color w:val="auto"/>
              </w:rPr>
            </w:pPr>
          </w:p>
        </w:tc>
        <w:tc>
          <w:tcPr>
            <w:tcW w:w="1060" w:type="dxa"/>
            <w:vAlign w:val="bottom"/>
          </w:tcPr>
          <w:p>
            <w:pPr>
              <w:jc w:val="right"/>
              <w:ind w:right="46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441"/>
              <w:spacing w:after="0"/>
              <w:rPr>
                <w:sz w:val="20"/>
                <w:szCs w:val="20"/>
                <w:color w:val="auto"/>
              </w:rPr>
            </w:pPr>
            <w:r>
              <w:rPr>
                <w:rFonts w:ascii="Arial" w:cs="Arial" w:eastAsia="Arial" w:hAnsi="Arial"/>
                <w:sz w:val="13"/>
                <w:szCs w:val="13"/>
                <w:b w:val="1"/>
                <w:bCs w:val="1"/>
                <w:color w:val="auto"/>
              </w:rPr>
              <w:t>2018</w:t>
            </w:r>
          </w:p>
        </w:tc>
      </w:tr>
      <w:tr>
        <w:trPr>
          <w:trHeight w:val="23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secured credit facilities:</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0"/>
        </w:trPr>
        <w:tc>
          <w:tcPr>
            <w:tcW w:w="5280" w:type="dxa"/>
            <w:vAlign w:val="bottom"/>
          </w:tcPr>
          <w:p>
            <w:pPr>
              <w:ind w:left="200"/>
              <w:spacing w:after="0"/>
              <w:rPr>
                <w:sz w:val="20"/>
                <w:szCs w:val="20"/>
                <w:color w:val="auto"/>
              </w:rPr>
            </w:pPr>
            <w:r>
              <w:rPr>
                <w:rFonts w:ascii="Arial" w:cs="Arial" w:eastAsia="Arial" w:hAnsi="Arial"/>
                <w:sz w:val="16"/>
                <w:szCs w:val="16"/>
                <w:color w:val="auto"/>
              </w:rPr>
              <w:t>Term Loan A</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 + 2.25%</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rPr>
              <w:t>July 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484,500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527,250</w:t>
            </w:r>
          </w:p>
        </w:tc>
      </w:tr>
      <w:tr>
        <w:trPr>
          <w:trHeight w:val="246"/>
        </w:trPr>
        <w:tc>
          <w:tcPr>
            <w:tcW w:w="5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Term Loan B</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L + 2.00%</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February 2024</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1,843,427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1,862,237</w:t>
            </w:r>
          </w:p>
        </w:tc>
      </w:tr>
      <w:tr>
        <w:trPr>
          <w:trHeight w:val="254"/>
        </w:trPr>
        <w:tc>
          <w:tcPr>
            <w:tcW w:w="5280" w:type="dxa"/>
            <w:vAlign w:val="bottom"/>
          </w:tcPr>
          <w:p>
            <w:pPr>
              <w:ind w:left="220"/>
              <w:spacing w:after="0"/>
              <w:rPr>
                <w:sz w:val="20"/>
                <w:szCs w:val="20"/>
                <w:color w:val="auto"/>
              </w:rPr>
            </w:pPr>
            <w:r>
              <w:rPr>
                <w:rFonts w:ascii="Arial" w:cs="Arial" w:eastAsia="Arial" w:hAnsi="Arial"/>
                <w:sz w:val="16"/>
                <w:szCs w:val="16"/>
                <w:color w:val="auto"/>
              </w:rPr>
              <w:t>Revolver, $400 million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 + 2.00%</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rPr>
              <w:t>July 2022</w:t>
            </w:r>
          </w:p>
        </w:tc>
        <w:tc>
          <w:tcPr>
            <w:tcW w:w="28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4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5.375% senior secured notes due 2023</w:t>
            </w:r>
          </w:p>
        </w:tc>
        <w:tc>
          <w:tcPr>
            <w:tcW w:w="13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5.375%</w:t>
            </w:r>
          </w:p>
        </w:tc>
        <w:tc>
          <w:tcPr>
            <w:tcW w:w="1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April 2023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530,000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530,000</w:t>
            </w:r>
          </w:p>
        </w:tc>
      </w:tr>
      <w:tr>
        <w:trPr>
          <w:trHeight w:val="233"/>
        </w:trPr>
        <w:tc>
          <w:tcPr>
            <w:tcW w:w="5280" w:type="dxa"/>
            <w:vAlign w:val="bottom"/>
          </w:tcPr>
          <w:p>
            <w:pPr>
              <w:spacing w:after="0"/>
              <w:rPr>
                <w:sz w:val="20"/>
                <w:szCs w:val="20"/>
                <w:color w:val="auto"/>
              </w:rPr>
            </w:pPr>
            <w:r>
              <w:rPr>
                <w:rFonts w:ascii="Arial" w:cs="Arial" w:eastAsia="Arial" w:hAnsi="Arial"/>
                <w:sz w:val="16"/>
                <w:szCs w:val="16"/>
                <w:color w:val="auto"/>
              </w:rPr>
              <w:t>5.25% senior secured notes due 2023</w:t>
            </w:r>
          </w:p>
        </w:tc>
        <w:tc>
          <w:tcPr>
            <w:tcW w:w="1320" w:type="dxa"/>
            <w:vAlign w:val="bottom"/>
          </w:tcPr>
          <w:p>
            <w:pPr>
              <w:jc w:val="right"/>
              <w:ind w:right="422"/>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color w:val="auto"/>
              </w:rPr>
              <w:t>November 2023</w:t>
            </w:r>
          </w:p>
        </w:tc>
        <w:tc>
          <w:tcPr>
            <w:tcW w:w="28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500,000</w:t>
            </w:r>
          </w:p>
        </w:tc>
      </w:tr>
      <w:tr>
        <w:trPr>
          <w:trHeight w:val="24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obligations</w:t>
            </w: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5,882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12,368</w:t>
            </w:r>
          </w:p>
        </w:tc>
      </w:tr>
      <w:tr>
        <w:trPr>
          <w:trHeight w:val="233"/>
        </w:trPr>
        <w:tc>
          <w:tcPr>
            <w:tcW w:w="5280" w:type="dxa"/>
            <w:vAlign w:val="bottom"/>
          </w:tcPr>
          <w:p>
            <w:pPr>
              <w:ind w:left="200"/>
              <w:spacing w:after="0"/>
              <w:rPr>
                <w:sz w:val="20"/>
                <w:szCs w:val="20"/>
                <w:color w:val="auto"/>
              </w:rPr>
            </w:pPr>
            <w:r>
              <w:rPr>
                <w:rFonts w:ascii="Arial" w:cs="Arial" w:eastAsia="Arial" w:hAnsi="Arial"/>
                <w:sz w:val="16"/>
                <w:szCs w:val="16"/>
                <w:color w:val="auto"/>
              </w:rPr>
              <w:t>Face value of total debt outstanding</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3,363,809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3,431,855</w:t>
            </w:r>
          </w:p>
        </w:tc>
      </w:tr>
      <w:tr>
        <w:trPr>
          <w:trHeight w:val="24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 of debt outstanding</w:t>
            </w: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(81,614)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(68,435)</w:t>
            </w:r>
          </w:p>
        </w:tc>
      </w:tr>
      <w:tr>
        <w:trPr>
          <w:trHeight w:val="243"/>
        </w:trPr>
        <w:tc>
          <w:tcPr>
            <w:tcW w:w="5280" w:type="dxa"/>
            <w:vAlign w:val="bottom"/>
          </w:tcPr>
          <w:p>
            <w:pPr>
              <w:ind w:left="200"/>
              <w:spacing w:after="0"/>
              <w:rPr>
                <w:sz w:val="20"/>
                <w:szCs w:val="20"/>
                <w:color w:val="auto"/>
              </w:rPr>
            </w:pPr>
            <w:r>
              <w:rPr>
                <w:rFonts w:ascii="Arial" w:cs="Arial" w:eastAsia="Arial" w:hAnsi="Arial"/>
                <w:sz w:val="16"/>
                <w:szCs w:val="16"/>
                <w:color w:val="auto"/>
              </w:rPr>
              <w:t>Face value of long-term debt outstanding</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3,282,195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3,363,420</w:t>
            </w:r>
          </w:p>
        </w:tc>
      </w:tr>
      <w:tr>
        <w:trPr>
          <w:trHeight w:val="21"/>
        </w:trPr>
        <w:tc>
          <w:tcPr>
            <w:tcW w:w="5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February 2013, Sabre GLBL entered into the Amended and Restated Credit Agreement. The agreement replaced (i) the existing term loans with new classes of term loans of $1,775 million (the “2013 Term Loan B”) and $425 million (the “2013 Term Loan C”) and (ii) the existing revolving credit facility with a new revolving credit facility of $352 million (the “2013 Revolver”). In September 2013, Sabre GLBL entered into an agreement to amend the Amended and Restated Credit Agreement to add a new class of term loans in the amount of $350 million (the “2013 Incremental Term Loan Facility”).</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July 2016, Sabre GLBL entered into a series of amendments (the “Credit Agreement Amendments”) to our Amended and Restated Credit Agreement to provide for an incremental term loan under a new class with an aggregate principal amount of $600 million (the “2016 Term Loan A”) and to replace the 2013 Revolver with a new revolving credit facility totaling $400 million (the “2016 Revolver”). The proceeds of $597 million, net of $3 million discount, from the 2016 Term Loan A were used to repay $350 million of outstanding principal on our 2013 Term Loan B and 2013 Incremental Term Loan Facility, on a pro rata basis, repay the $120 million then-outstanding balance on the 2016 Revolver, and pay $11 million in associated financing fees. We recognized a $4 million loss on extinguishment of debt in connection with these transactions during the year ended December 31, 2016.</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February 22, 2017, Sabre GLBL entered into a Third Incremental Term Facility Amendment to our Amended and Restated Credit Agreement (the “2017 Term Facility Amendment”). The new agreement replaced the 2013 Term Loan B, 2013 Incremental Term Loan Facility and 2013 Term Loan C with a single class of term loan (the "2017 Term Loan B") with an aggregate principal amount of $1,900 million maturing on February 22, 2024. The proceeds of $1,898 million, net of $2 million discount on the 2017 Term Loan B, were used to pay off approximately $1,761 million of all existing classes of outstanding term loans (other than the 2016 Term Loan A), pay related accrued interest and pay $12 million in associated financing fees, which were recorded as debt modification costs in Other, net in the consolidated statement of operations during the three months ended March 31, 2017. The remaining proceeds of the 2017 Term Loan B were used to pay off approximately $80 million of Sabre’s outstanding mortgage on its corporate headquarters on March 31, 2017 and for other general corporate purposes. Unamortized debt issuance costs and discount related to existing classes of outstanding term loans prior to the 2017 Term Facility Amendment of $ 9 million and $3 million, respectively, will continue to be amortized over the remaining term of the 2017 Term Loan B along with the Term Loan B discount of $2 million.</w:t>
      </w:r>
    </w:p>
    <w:p>
      <w:pPr>
        <w:spacing w:after="0" w:line="9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On August 23, 2017, Sabre GLBL entered into a Fourth Incremental Term Facility Amendment to our Amended and Restated Credit Agreement, Term Loan A Refinancing Amendment to the Credit Agreement, and Second Revolving Facility Refinancing Amendment to the Credit Agreement to refinance and modify the terms of the 2017 Term Loan B, the 2016 Term Loan A, and the 2016 Revolver, resulting in a reduction of the applicable margins for each of these instruments and approximately a one-year extension of the maturity of the 2016 Term Loan A and 2016 Revolver (the “2017 Refinancing”). We incurred no additional indebtedness as a result of the 2017 Refinancing. The 2017 Refinancing included a $400 million revolving credit facility ("Revolver") that replaced the 2016 Revolver, as well as the application of the proceeds of the approximately $1,891 million incremental Term Loan B facility (“Term Loan B”) and $570 million Term Loan A facility (“Term Loan A”) to replace the 2017 Term Loan B and the 2016 Term Loan A. The maturity of the Revolver and the Term Loan A was extended from July 18, 2021 to July 1, 2022. The applicable margins for the Term Loan B were reduced to 2.25% per annum for Eurocurrency rate loans and 1.25% per annum for base rate loans. The applicable margins for the Term Loan A and the Revolver were reduced to (i) between 2.50% and 1.75% per annum for Eurocurrency rate loans and (ii) between 1.50% and 0.75% per annum for base rate loans, in each case with the applicable margin for any quarter reduced by 25 basis points (up to 75 basis points total) if the Senior Secured First-Lien Net Leverage Ratio (as defined in the Amended and Restated Credit Agreement) is less than 3.75 to 1.0, 3.00 to 1.0, or 2.25 to 1.0,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79" w:name="page80"/>
    <w:bookmarkEnd w:id="79"/>
    <w:p>
      <w:pPr>
        <w:jc w:val="both"/>
        <w:ind w:firstLine="486"/>
        <w:spacing w:after="0" w:line="251" w:lineRule="auto"/>
        <w:rPr>
          <w:sz w:val="20"/>
          <w:szCs w:val="20"/>
          <w:color w:val="auto"/>
        </w:rPr>
      </w:pPr>
      <w:r>
        <w:rPr>
          <w:rFonts w:ascii="Arial" w:cs="Arial" w:eastAsia="Arial" w:hAnsi="Arial"/>
          <w:sz w:val="16"/>
          <w:szCs w:val="16"/>
          <w:color w:val="auto"/>
        </w:rPr>
        <w:t>On March 2, 2018, Sabre GLBL entered into a Fifth Incremental Term Facility Amendment to our Amended and Restated Credit Agreement to refinance and modify the terms of the Term Loan B, resulting in a reduction of the applicable margins for the Term Loan B to 2.00% per annum for Eurocurrency rate loans and 1.00% per annum for base rate loans. We incurred no additional indebtedness as a result of this transaction and incurred $2 million in financing fees recorded within Other, net and a $1 million loss on extinguishment of debt, in our consolidated results of operations year ended December 31, 2018.</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leverage ratio. Pursuant to Credit Agreement Amendments, effective July 18, 2016, the maximum leverage ratio has been adjusted to be based on the Total Net Leverage Ratio (as defined in the Amended and Restated Credit Agreement) and we are required, at all times (no longer solely when a threshold amount of revolving loans or letters of credit were outstanding), to maintain a Total Net Leverage Ratio of less than 4.5 to 1.0. As of December 31, 2019 we are in compliance with all covenants under the Amended and Restated Credit Agreement.</w:t>
      </w:r>
    </w:p>
    <w:p>
      <w:pPr>
        <w:spacing w:after="0" w:line="9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had no balance outstanding under the Revolver as of December 31, 2019 and as of December 31, 2018. We had outstanding letters of credit totaling $12 million and $15 million as of December 31, 2019 and 2018, respectively, which reduced our overall credit capacity under the Revolver and 2016 Revolver.</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Principal Payments</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Principal payments on the Term Loan A are due on a quarterly basis equal to 1.25% of its initial aggregate principal amount during the first two years of its term and 2.50% of its initial aggregate principal amount during the next three years of its term. Term Loan B matures on February 22, 2024, and required principal payments in equal quarterly installments of 0.25% through to the maturity date of which the remaining balance is due. For the year ended December 31, 2019, we made $62 million of scheduled principal payments.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are also required to pay down the term loans by an amount equal to 50% of annual excess cash flow, as defined in our Amended and Restated Credit Agreement. This percentage requirement may decrease or be eliminated if certain leverage ratios are achieved. Based on our results for the year ended December 31, 2018, we were not required to make an excess cash flow payment in 2019, and no excess cash flow payment was required in 2020 with respect to our results for the year ended December 31, 2019. We are further required to pay down the term loan with proceeds from certain asset sales or borrowings as defined in the Amended and Restated Credit Agreement.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w:t>
      </w:r>
    </w:p>
    <w:p>
      <w:pPr>
        <w:spacing w:after="0" w:line="129"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Borrowings under the Amended and Restated Credit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LIBOR plus 1.00%, plus an applicable margin for base rate borrowings as set forth below. The Eurocurrency rate is based on LIBOR for all U.S. dollar borrowings and has a floor. We have elected the one-month LIBOR as the floating interest rate on all of our outstanding term loans. Interest payments are due on the last day of each month as a result of electing one-month LIBOR. Interest on a portion of the outstanding loan is hedged with interest rate swaps (see Note 9. Derivatives).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Eurocurrency borrowings</w:t>
            </w:r>
          </w:p>
        </w:tc>
        <w:tc>
          <w:tcPr>
            <w:tcW w:w="120" w:type="dxa"/>
            <w:vAlign w:val="bottom"/>
          </w:tcPr>
          <w:p>
            <w:pPr>
              <w:spacing w:after="0"/>
              <w:rPr>
                <w:sz w:val="15"/>
                <w:szCs w:val="15"/>
                <w:color w:val="auto"/>
              </w:rPr>
            </w:pPr>
          </w:p>
        </w:tc>
        <w:tc>
          <w:tcPr>
            <w:tcW w:w="2960" w:type="dxa"/>
            <w:vAlign w:val="bottom"/>
            <w:tcBorders>
              <w:bottom w:val="single" w:sz="8" w:color="auto"/>
            </w:tcBorders>
          </w:tcPr>
          <w:p>
            <w:pPr>
              <w:jc w:val="right"/>
              <w:ind w:right="766"/>
              <w:spacing w:after="0"/>
              <w:rPr>
                <w:sz w:val="20"/>
                <w:szCs w:val="20"/>
                <w:color w:val="auto"/>
              </w:rPr>
            </w:pPr>
            <w:r>
              <w:rPr>
                <w:rFonts w:ascii="Arial" w:cs="Arial" w:eastAsia="Arial" w:hAnsi="Arial"/>
                <w:sz w:val="13"/>
                <w:szCs w:val="13"/>
                <w:b w:val="1"/>
                <w:bCs w:val="1"/>
                <w:color w:val="auto"/>
              </w:rPr>
              <w:t>Base rate borrowings</w:t>
            </w:r>
          </w:p>
        </w:tc>
      </w:tr>
      <w:tr>
        <w:trPr>
          <w:trHeight w:val="223"/>
        </w:trPr>
        <w:tc>
          <w:tcPr>
            <w:tcW w:w="5200" w:type="dxa"/>
            <w:vAlign w:val="bottom"/>
          </w:tcPr>
          <w:p>
            <w:pPr>
              <w:spacing w:after="0"/>
              <w:rPr>
                <w:sz w:val="19"/>
                <w:szCs w:val="19"/>
                <w:color w:val="auto"/>
              </w:rPr>
            </w:pPr>
          </w:p>
        </w:tc>
        <w:tc>
          <w:tcPr>
            <w:tcW w:w="3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Applicable Margin</w:t>
            </w:r>
            <w:r>
              <w:rPr>
                <w:rFonts w:ascii="Arial" w:cs="Arial" w:eastAsia="Arial" w:hAnsi="Arial"/>
                <w:sz w:val="8"/>
                <w:szCs w:val="8"/>
                <w:b w:val="1"/>
                <w:bCs w:val="1"/>
                <w:color w:val="auto"/>
                <w:w w:val="97"/>
              </w:rPr>
              <w:t>(1)(2)</w:t>
            </w:r>
          </w:p>
        </w:tc>
        <w:tc>
          <w:tcPr>
            <w:tcW w:w="2960" w:type="dxa"/>
            <w:vAlign w:val="bottom"/>
          </w:tcPr>
          <w:p>
            <w:pPr>
              <w:jc w:val="right"/>
              <w:ind w:right="866"/>
              <w:spacing w:after="0"/>
              <w:rPr>
                <w:sz w:val="20"/>
                <w:szCs w:val="20"/>
                <w:color w:val="auto"/>
              </w:rPr>
            </w:pPr>
            <w:r>
              <w:rPr>
                <w:rFonts w:ascii="Arial" w:cs="Arial" w:eastAsia="Arial" w:hAnsi="Arial"/>
                <w:sz w:val="13"/>
                <w:szCs w:val="13"/>
                <w:b w:val="1"/>
                <w:bCs w:val="1"/>
                <w:color w:val="auto"/>
              </w:rPr>
              <w:t>Applicable Margin</w:t>
            </w:r>
          </w:p>
        </w:tc>
      </w:tr>
      <w:tr>
        <w:trPr>
          <w:trHeight w:val="24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A</w:t>
            </w:r>
          </w:p>
        </w:tc>
        <w:tc>
          <w:tcPr>
            <w:tcW w:w="2920" w:type="dxa"/>
            <w:vAlign w:val="bottom"/>
            <w:tcBorders>
              <w:top w:val="single" w:sz="8" w:color="auto"/>
            </w:tcBorders>
            <w:shd w:val="clear" w:color="auto" w:fill="CCEEFF"/>
          </w:tcPr>
          <w:p>
            <w:pPr>
              <w:jc w:val="right"/>
              <w:ind w:right="1226"/>
              <w:spacing w:after="0"/>
              <w:rPr>
                <w:sz w:val="20"/>
                <w:szCs w:val="20"/>
                <w:color w:val="auto"/>
              </w:rPr>
            </w:pPr>
            <w:r>
              <w:rPr>
                <w:rFonts w:ascii="Arial" w:cs="Arial" w:eastAsia="Arial" w:hAnsi="Arial"/>
                <w:sz w:val="16"/>
                <w:szCs w:val="16"/>
                <w:color w:val="auto"/>
              </w:rPr>
              <w:t>2.25%</w:t>
            </w:r>
          </w:p>
        </w:tc>
        <w:tc>
          <w:tcPr>
            <w:tcW w:w="120" w:type="dxa"/>
            <w:vAlign w:val="bottom"/>
            <w:tcBorders>
              <w:top w:val="single" w:sz="8" w:color="CCEEFF"/>
            </w:tcBorders>
            <w:shd w:val="clear" w:color="auto" w:fill="CCEEFF"/>
          </w:tcPr>
          <w:p>
            <w:pPr>
              <w:spacing w:after="0"/>
              <w:rPr>
                <w:sz w:val="21"/>
                <w:szCs w:val="21"/>
                <w:color w:val="auto"/>
              </w:rPr>
            </w:pPr>
          </w:p>
        </w:tc>
        <w:tc>
          <w:tcPr>
            <w:tcW w:w="2960" w:type="dxa"/>
            <w:vAlign w:val="bottom"/>
            <w:tcBorders>
              <w:top w:val="single" w:sz="8" w:color="auto"/>
            </w:tcBorders>
            <w:shd w:val="clear" w:color="auto" w:fill="CCEEFF"/>
          </w:tcPr>
          <w:p>
            <w:pPr>
              <w:jc w:val="right"/>
              <w:ind w:right="1266"/>
              <w:spacing w:after="0"/>
              <w:rPr>
                <w:sz w:val="20"/>
                <w:szCs w:val="20"/>
                <w:color w:val="auto"/>
              </w:rPr>
            </w:pPr>
            <w:r>
              <w:rPr>
                <w:rFonts w:ascii="Arial" w:cs="Arial" w:eastAsia="Arial" w:hAnsi="Arial"/>
                <w:sz w:val="16"/>
                <w:szCs w:val="16"/>
                <w:color w:val="auto"/>
              </w:rPr>
              <w:t>1.00%</w:t>
            </w:r>
          </w:p>
        </w:tc>
      </w:tr>
      <w:tr>
        <w:trPr>
          <w:trHeight w:val="233"/>
        </w:trPr>
        <w:tc>
          <w:tcPr>
            <w:tcW w:w="5200" w:type="dxa"/>
            <w:vAlign w:val="bottom"/>
          </w:tcPr>
          <w:p>
            <w:pPr>
              <w:ind w:left="20"/>
              <w:spacing w:after="0"/>
              <w:rPr>
                <w:sz w:val="20"/>
                <w:szCs w:val="20"/>
                <w:color w:val="auto"/>
              </w:rPr>
            </w:pPr>
            <w:r>
              <w:rPr>
                <w:rFonts w:ascii="Arial" w:cs="Arial" w:eastAsia="Arial" w:hAnsi="Arial"/>
                <w:sz w:val="16"/>
                <w:szCs w:val="16"/>
                <w:color w:val="auto"/>
              </w:rPr>
              <w:t>Term Loan B</w:t>
            </w:r>
          </w:p>
        </w:tc>
        <w:tc>
          <w:tcPr>
            <w:tcW w:w="2920" w:type="dxa"/>
            <w:vAlign w:val="bottom"/>
          </w:tcPr>
          <w:p>
            <w:pPr>
              <w:jc w:val="right"/>
              <w:ind w:right="1226"/>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2960" w:type="dxa"/>
            <w:vAlign w:val="bottom"/>
          </w:tcPr>
          <w:p>
            <w:pPr>
              <w:jc w:val="right"/>
              <w:ind w:right="1266"/>
              <w:spacing w:after="0"/>
              <w:rPr>
                <w:sz w:val="20"/>
                <w:szCs w:val="20"/>
                <w:color w:val="auto"/>
              </w:rPr>
            </w:pPr>
            <w:r>
              <w:rPr>
                <w:rFonts w:ascii="Arial" w:cs="Arial" w:eastAsia="Arial" w:hAnsi="Arial"/>
                <w:sz w:val="16"/>
                <w:szCs w:val="16"/>
                <w:color w:val="auto"/>
              </w:rPr>
              <w:t>1.00%</w:t>
            </w:r>
          </w:p>
        </w:tc>
      </w:tr>
      <w:tr>
        <w:trPr>
          <w:trHeight w:val="29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 $400 million</w:t>
            </w:r>
          </w:p>
        </w:tc>
        <w:tc>
          <w:tcPr>
            <w:tcW w:w="2920" w:type="dxa"/>
            <w:vAlign w:val="bottom"/>
            <w:shd w:val="clear" w:color="auto" w:fill="CCEEFF"/>
          </w:tcPr>
          <w:p>
            <w:pPr>
              <w:jc w:val="right"/>
              <w:ind w:right="1226"/>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2960" w:type="dxa"/>
            <w:vAlign w:val="bottom"/>
            <w:shd w:val="clear" w:color="auto" w:fill="CCEEFF"/>
          </w:tcPr>
          <w:p>
            <w:pPr>
              <w:jc w:val="right"/>
              <w:ind w:right="1266"/>
              <w:spacing w:after="0"/>
              <w:rPr>
                <w:sz w:val="20"/>
                <w:szCs w:val="20"/>
                <w:color w:val="auto"/>
              </w:rPr>
            </w:pPr>
            <w:r>
              <w:rPr>
                <w:rFonts w:ascii="Arial" w:cs="Arial" w:eastAsia="Arial" w:hAnsi="Arial"/>
                <w:sz w:val="16"/>
                <w:szCs w:val="16"/>
                <w:color w:val="auto"/>
              </w:rPr>
              <w:t>1.00%</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w:t>
      </w:r>
    </w:p>
    <w:p>
      <w:pPr>
        <w:spacing w:after="0" w:line="118" w:lineRule="exact"/>
        <w:rPr>
          <w:sz w:val="20"/>
          <w:szCs w:val="20"/>
          <w:color w:val="auto"/>
        </w:rPr>
      </w:pPr>
    </w:p>
    <w:p>
      <w:pPr>
        <w:ind w:left="340" w:right="10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Applicable margins do not reflect potential step ups and downs of Term Loan A and Revolver, $400 million, which are determined by the Senior Secured Leverage Ratio. See below for additional information.</w:t>
      </w: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Term Loan A, Term Loan B, and Revolver, $400 million, are subject to a 0% floor.</w:t>
      </w:r>
    </w:p>
    <w:p>
      <w:pPr>
        <w:spacing w:after="0" w:line="106"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Applicable margins for the Term Loan B are 2.00% per annum for Eurocurrency rate loans and 1.00% per annum for base rate loans over the life of the loan and are not dependent on the Senior Secured Leverage Ratio. Applicable margins for the Term Loan A and the Revolver step up by 25 basis points for any quarter if the Senior Secured Leverage Ratio is greater than or equal to 3.00 to 1.0. Applicable margins for the Term Loan A and the Revolver under the Amended and Restated Credit Agreement step down 25 basis points for any quarter if the Senior Secured Leverage Ratio is less than 2.25 to 1.0. In addition, we are required to pay a quarterly commitment fee of 0.250% per annum for unused Revolver commitments. The commitment fee may increase to 0.375% per annum if the Senior Secured Leverage Ratio is greater than or equal to 3.00 to 1.0.</w:t>
      </w:r>
    </w:p>
    <w:p>
      <w:pPr>
        <w:spacing w:after="0" w:line="9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effective interest rates on borrowings under the Amended and Restated Credit Agreement for the years ended December 31, 2019, 2018 and 2017, inclusive of amounts charged to interest expense,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040" w:type="dxa"/>
            <w:vAlign w:val="bottom"/>
            <w:tcBorders>
              <w:bottom w:val="single" w:sz="8" w:color="auto"/>
            </w:tcBorders>
            <w:gridSpan w:val="5"/>
          </w:tcPr>
          <w:p>
            <w:pPr>
              <w:ind w:left="126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9"/>
                <w:szCs w:val="19"/>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Including the impact of interest rate swaps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40" w:type="dxa"/>
            <w:vAlign w:val="bottom"/>
          </w:tcPr>
          <w:p>
            <w:pPr>
              <w:spacing w:after="0"/>
              <w:rPr>
                <w:sz w:val="21"/>
                <w:szCs w:val="2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color w:val="auto"/>
              </w:rPr>
              <w:t>Excluding the impact of interest rate swaps</w:t>
            </w:r>
          </w:p>
        </w:tc>
        <w:tc>
          <w:tcPr>
            <w:tcW w:w="4260" w:type="dxa"/>
            <w:vAlign w:val="bottom"/>
            <w:gridSpan w:val="2"/>
          </w:tcPr>
          <w:p>
            <w:pPr>
              <w:jc w:val="right"/>
              <w:spacing w:after="0"/>
              <w:rPr>
                <w:sz w:val="20"/>
                <w:szCs w:val="20"/>
                <w:color w:val="auto"/>
              </w:rPr>
            </w:pPr>
            <w:r>
              <w:rPr>
                <w:rFonts w:ascii="Arial" w:cs="Arial" w:eastAsia="Arial" w:hAnsi="Arial"/>
                <w:sz w:val="16"/>
                <w:szCs w:val="16"/>
                <w:color w:val="auto"/>
              </w:rPr>
              <w:t>4.63 %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4.03 %</w:t>
            </w:r>
          </w:p>
        </w:tc>
        <w:tc>
          <w:tcPr>
            <w:tcW w:w="40" w:type="dxa"/>
            <w:vAlign w:val="bottom"/>
          </w:tcPr>
          <w:p>
            <w:pPr>
              <w:spacing w:after="0"/>
              <w:rPr>
                <w:sz w:val="19"/>
                <w:szCs w:val="19"/>
                <w:color w:val="auto"/>
              </w:rPr>
            </w:pPr>
          </w:p>
        </w:tc>
      </w:tr>
      <w:tr>
        <w:trPr>
          <w:trHeight w:val="905"/>
        </w:trPr>
        <w:tc>
          <w:tcPr>
            <w:tcW w:w="4360" w:type="dxa"/>
            <w:vAlign w:val="bottom"/>
          </w:tcPr>
          <w:p>
            <w:pPr>
              <w:spacing w:after="0"/>
              <w:rPr>
                <w:sz w:val="24"/>
                <w:szCs w:val="24"/>
                <w:color w:val="auto"/>
              </w:rPr>
            </w:pPr>
          </w:p>
        </w:tc>
        <w:tc>
          <w:tcPr>
            <w:tcW w:w="2960" w:type="dxa"/>
            <w:vAlign w:val="bottom"/>
          </w:tcPr>
          <w:p>
            <w:pPr>
              <w:jc w:val="right"/>
              <w:ind w:right="1439"/>
              <w:spacing w:after="0"/>
              <w:rPr>
                <w:sz w:val="20"/>
                <w:szCs w:val="20"/>
                <w:color w:val="auto"/>
              </w:rPr>
            </w:pPr>
            <w:r>
              <w:rPr>
                <w:rFonts w:ascii="Arial" w:cs="Arial" w:eastAsia="Arial" w:hAnsi="Arial"/>
                <w:sz w:val="16"/>
                <w:szCs w:val="16"/>
                <w:color w:val="auto"/>
              </w:rPr>
              <w:t>78</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436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80" w:name="page81"/>
    <w:bookmarkEnd w:id="80"/>
    <w:p>
      <w:pPr>
        <w:ind w:left="500"/>
        <w:spacing w:after="0"/>
        <w:rPr>
          <w:sz w:val="20"/>
          <w:szCs w:val="20"/>
          <w:color w:val="auto"/>
        </w:rPr>
      </w:pPr>
      <w:r>
        <w:rPr>
          <w:rFonts w:ascii="Arial" w:cs="Arial" w:eastAsia="Arial" w:hAnsi="Arial"/>
          <w:sz w:val="16"/>
          <w:szCs w:val="16"/>
          <w:b w:val="1"/>
          <w:bCs w:val="1"/>
          <w:i w:val="1"/>
          <w:iCs w:val="1"/>
          <w:color w:val="auto"/>
        </w:rPr>
        <w:t>Senior Secured Notes due 2023</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April 2015, we issued $530 million senior secured notes due in April 2023 with a stated interest rate of 5.375% and received proceeds of $522 million, net of underwriting fees and commissions.</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November 2015, we issued $500 million senior secured notes due in November 2023 with a stated interest rate of 5.25% and received net proceeds of $494 million, net of underwriting fees and commissions.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senior secured notes due 2023 were issued by Sabre GLBL and are guaranteed by Sabre Holdings and each of Sabre GLBL’s existing and subsequently acquired or organized subsidiaries that are borrowers under or guarantors of our senior secured credit facilities. The senior secured notes due 2023 are secured by a first priority security interest in substantially all present and after acquired property and assets of Sabre GLBL and the guarantors of the notes, which also constitutes collateral securing indebtedness under our senior secured facilities on a first priority basis.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Aggregate Maturities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2019, aggregate maturities of our long-term debt were as follows (in thousands):</w:t>
      </w:r>
    </w:p>
    <w:p>
      <w:pPr>
        <w:spacing w:after="0" w:line="197" w:lineRule="exact"/>
        <w:rPr>
          <w:sz w:val="20"/>
          <w:szCs w:val="20"/>
          <w:color w:val="auto"/>
        </w:rPr>
      </w:pPr>
    </w:p>
    <w:tbl>
      <w:tblPr>
        <w:tblLayout w:type="fixed"/>
        <w:tblInd w:w="1780" w:type="dxa"/>
        <w:tblCellMar>
          <w:top w:w="0" w:type="dxa"/>
          <w:left w:w="0" w:type="dxa"/>
          <w:bottom w:w="0" w:type="dxa"/>
          <w:right w:w="0" w:type="dxa"/>
        </w:tblCellMar>
      </w:tblPr>
      <w:tr>
        <w:trPr>
          <w:trHeight w:val="178"/>
        </w:trPr>
        <w:tc>
          <w:tcPr>
            <w:tcW w:w="6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Amount</w:t>
            </w:r>
          </w:p>
        </w:tc>
      </w:tr>
      <w:tr>
        <w:trPr>
          <w:trHeight w:val="223"/>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Years Ending December 31,</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3"/>
        </w:trPr>
        <w:tc>
          <w:tcPr>
            <w:tcW w:w="6280" w:type="dxa"/>
            <w:vAlign w:val="bottom"/>
          </w:tcPr>
          <w:p>
            <w:pPr>
              <w:spacing w:after="0"/>
              <w:rPr>
                <w:sz w:val="20"/>
                <w:szCs w:val="20"/>
                <w:color w:val="auto"/>
              </w:rPr>
            </w:pPr>
            <w:r>
              <w:rPr>
                <w:rFonts w:ascii="Arial" w:cs="Arial" w:eastAsia="Arial" w:hAnsi="Arial"/>
                <w:sz w:val="16"/>
                <w:szCs w:val="16"/>
                <w:color w:val="auto"/>
              </w:rPr>
              <w:t>2020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81,614</w:t>
            </w:r>
          </w:p>
        </w:tc>
      </w:tr>
      <w:tr>
        <w:trPr>
          <w:trHeight w:val="25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75,870</w:t>
            </w:r>
          </w:p>
        </w:tc>
      </w:tr>
      <w:tr>
        <w:trPr>
          <w:trHeight w:val="233"/>
        </w:trPr>
        <w:tc>
          <w:tcPr>
            <w:tcW w:w="6280" w:type="dxa"/>
            <w:vAlign w:val="bottom"/>
          </w:tcPr>
          <w:p>
            <w:pPr>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389,323</w:t>
            </w:r>
          </w:p>
        </w:tc>
      </w:tr>
      <w:tr>
        <w:trPr>
          <w:trHeight w:val="25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1,048,817</w:t>
            </w:r>
          </w:p>
        </w:tc>
      </w:tr>
      <w:tr>
        <w:trPr>
          <w:trHeight w:val="233"/>
        </w:trPr>
        <w:tc>
          <w:tcPr>
            <w:tcW w:w="6280" w:type="dxa"/>
            <w:vAlign w:val="bottom"/>
          </w:tcPr>
          <w:p>
            <w:pPr>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1,768,185</w:t>
            </w:r>
          </w:p>
        </w:tc>
      </w:tr>
      <w:tr>
        <w:trPr>
          <w:trHeight w:val="25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30"/>
        </w:trPr>
        <w:tc>
          <w:tcPr>
            <w:tcW w:w="62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3,363,809</w:t>
            </w:r>
          </w:p>
        </w:tc>
      </w:tr>
      <w:tr>
        <w:trPr>
          <w:trHeight w:val="27"/>
        </w:trPr>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Derivatives</w:t>
      </w:r>
    </w:p>
    <w:p>
      <w:pPr>
        <w:spacing w:after="0" w:line="11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risks managed by using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foreign currency exchange rate risk and interest rate risk. Forward contracts on various foreign currencies are entered into to manage the foreign currency exchange rate risk on operational expenditures' exposure denominated in foreign currencies. Interest rate swaps are entered into to manage interest rate risk associated with our floating-rate borrowings.</w:t>
      </w:r>
    </w:p>
    <w:p>
      <w:pPr>
        <w:spacing w:after="0" w:line="8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-To protect against the reduction in value of forecasted foreign currency cash flows, we hedge portions of our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denominated in foreign currencies with forward contracts. For example, when the dollar strengthens significantly against the foreign currencies, the decline in present value of future foreign currency expense is offset by losses in the fair value of the forward contracts designated as hedges. Conversely, when the dollar weakens, the increase in the present value of future foreign currency expense is offset by gains in the fair value of the forward contracts.</w:t>
      </w:r>
    </w:p>
    <w:p>
      <w:pPr>
        <w:spacing w:after="0" w:line="8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enter into interest rate swap agreements to manage interest rate risk exposure. The interest rate swap agreements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 and ineffective portions of the gain or loss on the derivative instruments, and the hedge components excluded from the assessment of effectiveness, are reported as a component of other comprehensive income (“OCI”) and reclassified into earnings in the same line item associated with the forecasted transaction and in the same period or periods during which the hedged transaction affects earnings. Derivatives not designated as hedging instruments are carried at fair value with changes in fair value reflected in Other, net in the consolidated statement of operations.</w:t>
      </w:r>
    </w:p>
    <w:p>
      <w:pPr>
        <w:spacing w:after="0" w:line="7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Forward Contracts</w:t>
      </w:r>
      <w:r>
        <w:rPr>
          <w:rFonts w:ascii="Arial" w:cs="Arial" w:eastAsia="Arial" w:hAnsi="Arial"/>
          <w:sz w:val="16"/>
          <w:szCs w:val="16"/>
          <w:color w:val="auto"/>
        </w:rPr>
        <w:t>- In order to hedge our operational expenditures' exposure to foreign currency movements, we are a party to certain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contracts that extend until December 2020. We have designated these instruments as cash flow hedges. No hedging ineffectiveness was recorded in earnings relating to the forward contracts during the years ended December 31, 2019, 2018 and 2017. As of December 31, 2019, we estimate that $2 million in gains will be reclassified from other comprehensive income (loss) to earnings over the next 12 months.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81" w:name="page82"/>
    <w:bookmarkEnd w:id="81"/>
    <w:p>
      <w:pPr>
        <w:ind w:right="20" w:firstLine="486"/>
        <w:spacing w:after="0" w:line="260" w:lineRule="auto"/>
        <w:rPr>
          <w:sz w:val="20"/>
          <w:szCs w:val="20"/>
          <w:color w:val="auto"/>
        </w:rPr>
      </w:pPr>
      <w:r>
        <w:rPr>
          <w:rFonts w:ascii="Arial" w:cs="Arial" w:eastAsia="Arial" w:hAnsi="Arial"/>
          <w:sz w:val="16"/>
          <w:szCs w:val="16"/>
          <w:color w:val="auto"/>
        </w:rPr>
        <w:t>As of December 31, 2019 and 2018, we had the following unsettled purchased foreign currency forward contracts that were entered into to hedge our operational exposure to foreign currency movements (in thousands, except for average contract rates):</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Outstanding Notional Amounts as of December 31,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Buy Currency</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b w:val="1"/>
                <w:bCs w:val="1"/>
                <w:color w:val="auto"/>
              </w:rPr>
              <w:t>Sell Currency</w:t>
            </w:r>
          </w:p>
        </w:tc>
        <w:tc>
          <w:tcPr>
            <w:tcW w:w="100" w:type="dxa"/>
            <w:vAlign w:val="bottom"/>
            <w:tcBorders>
              <w:top w:val="single" w:sz="8" w:color="auto"/>
            </w:tcBorders>
            <w:gridSpan w:val="2"/>
            <w:vMerge w:val="restart"/>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vMerge w:val="restart"/>
          </w:tcPr>
          <w:p>
            <w:pPr>
              <w:jc w:val="right"/>
              <w:ind w:right="277"/>
              <w:spacing w:after="0"/>
              <w:rPr>
                <w:sz w:val="20"/>
                <w:szCs w:val="20"/>
                <w:color w:val="auto"/>
              </w:rPr>
            </w:pPr>
            <w:r>
              <w:rPr>
                <w:rFonts w:ascii="Arial" w:cs="Arial" w:eastAsia="Arial" w:hAnsi="Arial"/>
                <w:sz w:val="13"/>
                <w:szCs w:val="13"/>
                <w:b w:val="1"/>
                <w:bCs w:val="1"/>
                <w:color w:val="auto"/>
              </w:rPr>
              <w:t>Foreign Amount</w:t>
            </w:r>
          </w:p>
        </w:tc>
        <w:tc>
          <w:tcPr>
            <w:tcW w:w="120" w:type="dxa"/>
            <w:vAlign w:val="bottom"/>
            <w:tcBorders>
              <w:top w:val="single" w:sz="8" w:color="auto"/>
            </w:tcBorders>
            <w:gridSpan w:val="2"/>
            <w:vMerge w:val="restart"/>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3"/>
                <w:szCs w:val="13"/>
                <w:b w:val="1"/>
                <w:bCs w:val="1"/>
                <w:color w:val="auto"/>
              </w:rPr>
              <w:t>USD Amount</w:t>
            </w:r>
          </w:p>
        </w:tc>
        <w:tc>
          <w:tcPr>
            <w:tcW w:w="140" w:type="dxa"/>
            <w:vAlign w:val="bottom"/>
            <w:tcBorders>
              <w:top w:val="single" w:sz="8" w:color="auto"/>
            </w:tcBorders>
            <w:gridSpan w:val="2"/>
            <w:vMerge w:val="restart"/>
          </w:tcPr>
          <w:p>
            <w:pPr>
              <w:spacing w:after="0"/>
              <w:rPr>
                <w:sz w:val="11"/>
                <w:szCs w:val="11"/>
                <w:color w:val="auto"/>
              </w:rPr>
            </w:pPr>
          </w:p>
        </w:tc>
        <w:tc>
          <w:tcPr>
            <w:tcW w:w="16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7"/>
              </w:rPr>
              <w:t>Average Contract</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gridSpan w:val="2"/>
            <w:vMerge w:val="continue"/>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0" w:type="dxa"/>
            <w:vAlign w:val="bottom"/>
          </w:tcPr>
          <w:p>
            <w:pPr>
              <w:spacing w:after="0"/>
              <w:rPr>
                <w:sz w:val="1"/>
                <w:szCs w:val="1"/>
                <w:color w:val="auto"/>
              </w:rPr>
            </w:pPr>
          </w:p>
        </w:tc>
      </w:tr>
      <w:tr>
        <w:trPr>
          <w:trHeight w:val="240"/>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Polish Zloty</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6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265,000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68,971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0.2603</w:t>
            </w:r>
          </w:p>
        </w:tc>
        <w:tc>
          <w:tcPr>
            <w:tcW w:w="0" w:type="dxa"/>
            <w:vAlign w:val="bottom"/>
          </w:tcPr>
          <w:p>
            <w:pPr>
              <w:spacing w:after="0"/>
              <w:rPr>
                <w:sz w:val="1"/>
                <w:szCs w:val="1"/>
                <w:color w:val="auto"/>
              </w:rPr>
            </w:pPr>
          </w:p>
        </w:tc>
      </w:tr>
      <w:tr>
        <w:trPr>
          <w:trHeight w:val="233"/>
        </w:trPr>
        <w:tc>
          <w:tcPr>
            <w:tcW w:w="4000" w:type="dxa"/>
            <w:vAlign w:val="bottom"/>
          </w:tcPr>
          <w:p>
            <w:pPr>
              <w:jc w:val="center"/>
              <w:spacing w:after="0"/>
              <w:rPr>
                <w:sz w:val="20"/>
                <w:szCs w:val="20"/>
                <w:color w:val="auto"/>
              </w:rPr>
            </w:pPr>
            <w:r>
              <w:rPr>
                <w:rFonts w:ascii="Arial" w:cs="Arial" w:eastAsia="Arial" w:hAnsi="Arial"/>
                <w:sz w:val="16"/>
                <w:szCs w:val="16"/>
                <w:color w:val="auto"/>
              </w:rPr>
              <w:t>Indian Rupee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gridSpan w:val="3"/>
          </w:tcPr>
          <w:p>
            <w:pPr>
              <w:ind w:left="560"/>
              <w:spacing w:after="0"/>
              <w:rPr>
                <w:sz w:val="20"/>
                <w:szCs w:val="20"/>
                <w:color w:val="auto"/>
              </w:rPr>
            </w:pPr>
            <w:r>
              <w:rPr>
                <w:rFonts w:ascii="Arial" w:cs="Arial" w:eastAsia="Arial" w:hAnsi="Arial"/>
                <w:sz w:val="16"/>
                <w:szCs w:val="16"/>
                <w:color w:val="auto"/>
              </w:rPr>
              <w:t>US Dollar</w:t>
            </w:r>
          </w:p>
        </w:tc>
        <w:tc>
          <w:tcPr>
            <w:tcW w:w="1660" w:type="dxa"/>
            <w:vAlign w:val="bottom"/>
            <w:gridSpan w:val="2"/>
          </w:tcPr>
          <w:p>
            <w:pPr>
              <w:jc w:val="right"/>
              <w:ind w:right="77"/>
              <w:spacing w:after="0"/>
              <w:rPr>
                <w:sz w:val="20"/>
                <w:szCs w:val="20"/>
                <w:color w:val="auto"/>
              </w:rPr>
            </w:pPr>
            <w:r>
              <w:rPr>
                <w:rFonts w:ascii="Arial" w:cs="Arial" w:eastAsia="Arial" w:hAnsi="Arial"/>
                <w:sz w:val="16"/>
                <w:szCs w:val="16"/>
                <w:color w:val="auto"/>
              </w:rPr>
              <w:t>4,485,000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97"/>
              <w:spacing w:after="0"/>
              <w:rPr>
                <w:sz w:val="20"/>
                <w:szCs w:val="20"/>
                <w:color w:val="auto"/>
              </w:rPr>
            </w:pPr>
            <w:r>
              <w:rPr>
                <w:rFonts w:ascii="Arial" w:cs="Arial" w:eastAsia="Arial" w:hAnsi="Arial"/>
                <w:sz w:val="16"/>
                <w:szCs w:val="16"/>
                <w:color w:val="auto"/>
              </w:rPr>
              <w:t>61,708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0.0138</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Singapore Dollar</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63,500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46,759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0.7364</w:t>
            </w:r>
          </w:p>
        </w:tc>
        <w:tc>
          <w:tcPr>
            <w:tcW w:w="0" w:type="dxa"/>
            <w:vAlign w:val="bottom"/>
          </w:tcPr>
          <w:p>
            <w:pPr>
              <w:spacing w:after="0"/>
              <w:rPr>
                <w:sz w:val="1"/>
                <w:szCs w:val="1"/>
                <w:color w:val="auto"/>
              </w:rPr>
            </w:pPr>
          </w:p>
        </w:tc>
      </w:tr>
      <w:tr>
        <w:trPr>
          <w:trHeight w:val="233"/>
        </w:trPr>
        <w:tc>
          <w:tcPr>
            <w:tcW w:w="4000" w:type="dxa"/>
            <w:vAlign w:val="bottom"/>
          </w:tcPr>
          <w:p>
            <w:pPr>
              <w:jc w:val="center"/>
              <w:spacing w:after="0"/>
              <w:rPr>
                <w:sz w:val="20"/>
                <w:szCs w:val="20"/>
                <w:color w:val="auto"/>
              </w:rPr>
            </w:pPr>
            <w:r>
              <w:rPr>
                <w:rFonts w:ascii="Arial" w:cs="Arial" w:eastAsia="Arial" w:hAnsi="Arial"/>
                <w:sz w:val="16"/>
                <w:szCs w:val="16"/>
                <w:color w:val="auto"/>
              </w:rPr>
              <w:t>British Pound Sterling</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gridSpan w:val="3"/>
          </w:tcPr>
          <w:p>
            <w:pPr>
              <w:ind w:left="560"/>
              <w:spacing w:after="0"/>
              <w:rPr>
                <w:sz w:val="20"/>
                <w:szCs w:val="20"/>
                <w:color w:val="auto"/>
              </w:rPr>
            </w:pPr>
            <w:r>
              <w:rPr>
                <w:rFonts w:ascii="Arial" w:cs="Arial" w:eastAsia="Arial" w:hAnsi="Arial"/>
                <w:sz w:val="16"/>
                <w:szCs w:val="16"/>
                <w:color w:val="auto"/>
              </w:rPr>
              <w:t>US Dollar</w:t>
            </w:r>
          </w:p>
        </w:tc>
        <w:tc>
          <w:tcPr>
            <w:tcW w:w="1660" w:type="dxa"/>
            <w:vAlign w:val="bottom"/>
            <w:gridSpan w:val="2"/>
          </w:tcPr>
          <w:p>
            <w:pPr>
              <w:jc w:val="right"/>
              <w:ind w:right="77"/>
              <w:spacing w:after="0"/>
              <w:rPr>
                <w:sz w:val="20"/>
                <w:szCs w:val="20"/>
                <w:color w:val="auto"/>
              </w:rPr>
            </w:pPr>
            <w:r>
              <w:rPr>
                <w:rFonts w:ascii="Arial" w:cs="Arial" w:eastAsia="Arial" w:hAnsi="Arial"/>
                <w:sz w:val="16"/>
                <w:szCs w:val="16"/>
                <w:color w:val="auto"/>
              </w:rPr>
              <w:t>18,400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97"/>
              <w:spacing w:after="0"/>
              <w:rPr>
                <w:sz w:val="20"/>
                <w:szCs w:val="20"/>
                <w:color w:val="auto"/>
              </w:rPr>
            </w:pPr>
            <w:r>
              <w:rPr>
                <w:rFonts w:ascii="Arial" w:cs="Arial" w:eastAsia="Arial" w:hAnsi="Arial"/>
                <w:sz w:val="16"/>
                <w:szCs w:val="16"/>
                <w:color w:val="auto"/>
              </w:rPr>
              <w:t>24,109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1.3103</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Australian Dollar</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16,500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11,521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0.6982</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6"/>
                <w:szCs w:val="16"/>
                <w:color w:val="auto"/>
              </w:rPr>
              <w:t>Swedish Krona</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gridSpan w:val="3"/>
          </w:tcPr>
          <w:p>
            <w:pPr>
              <w:ind w:left="560"/>
              <w:spacing w:after="0"/>
              <w:rPr>
                <w:sz w:val="20"/>
                <w:szCs w:val="20"/>
                <w:color w:val="auto"/>
              </w:rPr>
            </w:pPr>
            <w:r>
              <w:rPr>
                <w:rFonts w:ascii="Arial" w:cs="Arial" w:eastAsia="Arial" w:hAnsi="Arial"/>
                <w:sz w:val="16"/>
                <w:szCs w:val="16"/>
                <w:color w:val="auto"/>
              </w:rPr>
              <w:t>US Dollar</w:t>
            </w:r>
          </w:p>
        </w:tc>
        <w:tc>
          <w:tcPr>
            <w:tcW w:w="1660" w:type="dxa"/>
            <w:vAlign w:val="bottom"/>
            <w:gridSpan w:val="2"/>
          </w:tcPr>
          <w:p>
            <w:pPr>
              <w:jc w:val="right"/>
              <w:ind w:right="77"/>
              <w:spacing w:after="0"/>
              <w:rPr>
                <w:sz w:val="20"/>
                <w:szCs w:val="20"/>
                <w:color w:val="auto"/>
              </w:rPr>
            </w:pPr>
            <w:r>
              <w:rPr>
                <w:rFonts w:ascii="Arial" w:cs="Arial" w:eastAsia="Arial" w:hAnsi="Arial"/>
                <w:sz w:val="16"/>
                <w:szCs w:val="16"/>
                <w:color w:val="auto"/>
              </w:rPr>
              <w:t>38,100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right"/>
              <w:ind w:right="97"/>
              <w:spacing w:after="0"/>
              <w:rPr>
                <w:sz w:val="20"/>
                <w:szCs w:val="20"/>
                <w:color w:val="auto"/>
              </w:rPr>
            </w:pPr>
            <w:r>
              <w:rPr>
                <w:rFonts w:ascii="Arial" w:cs="Arial" w:eastAsia="Arial" w:hAnsi="Arial"/>
                <w:sz w:val="16"/>
                <w:szCs w:val="16"/>
                <w:color w:val="auto"/>
              </w:rPr>
              <w:t>4,106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0.1075</w:t>
            </w:r>
          </w:p>
        </w:tc>
        <w:tc>
          <w:tcPr>
            <w:tcW w:w="0" w:type="dxa"/>
            <w:vAlign w:val="bottom"/>
          </w:tcPr>
          <w:p>
            <w:pPr>
              <w:spacing w:after="0"/>
              <w:rPr>
                <w:sz w:val="1"/>
                <w:szCs w:val="1"/>
                <w:color w:val="auto"/>
              </w:rPr>
            </w:pPr>
          </w:p>
        </w:tc>
      </w:tr>
      <w:tr>
        <w:trPr>
          <w:trHeight w:val="688"/>
        </w:trPr>
        <w:tc>
          <w:tcPr>
            <w:tcW w:w="40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0"/>
          </w:tcPr>
          <w:p>
            <w:pPr>
              <w:ind w:left="40"/>
              <w:spacing w:after="0"/>
              <w:rPr>
                <w:sz w:val="20"/>
                <w:szCs w:val="20"/>
                <w:color w:val="auto"/>
              </w:rPr>
            </w:pPr>
            <w:r>
              <w:rPr>
                <w:rFonts w:ascii="Arial" w:cs="Arial" w:eastAsia="Arial" w:hAnsi="Arial"/>
                <w:sz w:val="13"/>
                <w:szCs w:val="13"/>
                <w:b w:val="1"/>
                <w:bCs w:val="1"/>
                <w:color w:val="auto"/>
              </w:rPr>
              <w:t>Outstanding Notional Amount as of December 31, 2018</w:t>
            </w: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Buy Currency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Sell Currency</w:t>
            </w:r>
          </w:p>
        </w:tc>
        <w:tc>
          <w:tcPr>
            <w:tcW w:w="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Foreign Amount</w:t>
            </w:r>
          </w:p>
        </w:tc>
        <w:tc>
          <w:tcPr>
            <w:tcW w:w="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USD Amount</w:t>
            </w:r>
          </w:p>
        </w:tc>
        <w:tc>
          <w:tcPr>
            <w:tcW w:w="100" w:type="dxa"/>
            <w:vAlign w:val="bottom"/>
            <w:vMerge w:val="restart"/>
          </w:tcPr>
          <w:p>
            <w:pPr>
              <w:spacing w:after="0"/>
              <w:rPr>
                <w:sz w:val="10"/>
                <w:szCs w:val="10"/>
                <w:color w:val="auto"/>
              </w:rPr>
            </w:pPr>
          </w:p>
        </w:tc>
        <w:tc>
          <w:tcPr>
            <w:tcW w:w="1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Average Contract</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0" w:type="dxa"/>
            <w:vAlign w:val="bottom"/>
          </w:tcPr>
          <w:p>
            <w:pPr>
              <w:spacing w:after="0"/>
              <w:rPr>
                <w:sz w:val="1"/>
                <w:szCs w:val="1"/>
                <w:color w:val="auto"/>
              </w:rPr>
            </w:pPr>
          </w:p>
        </w:tc>
      </w:tr>
      <w:tr>
        <w:trPr>
          <w:trHeight w:val="240"/>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Polish Zloty</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6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232,500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64,281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0.2765</w:t>
            </w:r>
          </w:p>
        </w:tc>
        <w:tc>
          <w:tcPr>
            <w:tcW w:w="0" w:type="dxa"/>
            <w:vAlign w:val="bottom"/>
          </w:tcPr>
          <w:p>
            <w:pPr>
              <w:spacing w:after="0"/>
              <w:rPr>
                <w:sz w:val="1"/>
                <w:szCs w:val="1"/>
                <w:color w:val="auto"/>
              </w:rPr>
            </w:pPr>
          </w:p>
        </w:tc>
      </w:tr>
      <w:tr>
        <w:trPr>
          <w:trHeight w:val="233"/>
        </w:trPr>
        <w:tc>
          <w:tcPr>
            <w:tcW w:w="4000" w:type="dxa"/>
            <w:vAlign w:val="bottom"/>
          </w:tcPr>
          <w:p>
            <w:pPr>
              <w:jc w:val="center"/>
              <w:spacing w:after="0"/>
              <w:rPr>
                <w:sz w:val="20"/>
                <w:szCs w:val="20"/>
                <w:color w:val="auto"/>
              </w:rPr>
            </w:pPr>
            <w:r>
              <w:rPr>
                <w:rFonts w:ascii="Arial" w:cs="Arial" w:eastAsia="Arial" w:hAnsi="Arial"/>
                <w:sz w:val="16"/>
                <w:szCs w:val="16"/>
                <w:color w:val="auto"/>
              </w:rPr>
              <w:t>Singapore Dollar</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gridSpan w:val="3"/>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tcPr>
          <w:p>
            <w:pPr>
              <w:jc w:val="right"/>
              <w:ind w:right="37"/>
              <w:spacing w:after="0"/>
              <w:rPr>
                <w:sz w:val="20"/>
                <w:szCs w:val="20"/>
                <w:color w:val="auto"/>
              </w:rPr>
            </w:pPr>
            <w:r>
              <w:rPr>
                <w:rFonts w:ascii="Arial" w:cs="Arial" w:eastAsia="Arial" w:hAnsi="Arial"/>
                <w:sz w:val="16"/>
                <w:szCs w:val="16"/>
                <w:color w:val="auto"/>
              </w:rPr>
              <w:t>59,800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57"/>
              <w:spacing w:after="0"/>
              <w:rPr>
                <w:sz w:val="20"/>
                <w:szCs w:val="20"/>
                <w:color w:val="auto"/>
              </w:rPr>
            </w:pPr>
            <w:r>
              <w:rPr>
                <w:rFonts w:ascii="Arial" w:cs="Arial" w:eastAsia="Arial" w:hAnsi="Arial"/>
                <w:sz w:val="16"/>
                <w:szCs w:val="16"/>
                <w:color w:val="auto"/>
              </w:rPr>
              <w:t>44,504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63"/>
              <w:spacing w:after="0"/>
              <w:rPr>
                <w:sz w:val="20"/>
                <w:szCs w:val="20"/>
                <w:color w:val="auto"/>
              </w:rPr>
            </w:pPr>
            <w:r>
              <w:rPr>
                <w:rFonts w:ascii="Arial" w:cs="Arial" w:eastAsia="Arial" w:hAnsi="Arial"/>
                <w:sz w:val="16"/>
                <w:szCs w:val="16"/>
                <w:color w:val="auto"/>
              </w:rPr>
              <w:t>0.7442</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Indian Rupee</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2,880,000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39,956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0.0139</w:t>
            </w:r>
          </w:p>
        </w:tc>
        <w:tc>
          <w:tcPr>
            <w:tcW w:w="0" w:type="dxa"/>
            <w:vAlign w:val="bottom"/>
          </w:tcPr>
          <w:p>
            <w:pPr>
              <w:spacing w:after="0"/>
              <w:rPr>
                <w:sz w:val="1"/>
                <w:szCs w:val="1"/>
                <w:color w:val="auto"/>
              </w:rPr>
            </w:pPr>
          </w:p>
        </w:tc>
      </w:tr>
      <w:tr>
        <w:trPr>
          <w:trHeight w:val="233"/>
        </w:trPr>
        <w:tc>
          <w:tcPr>
            <w:tcW w:w="4000" w:type="dxa"/>
            <w:vAlign w:val="bottom"/>
          </w:tcPr>
          <w:p>
            <w:pPr>
              <w:jc w:val="center"/>
              <w:spacing w:after="0"/>
              <w:rPr>
                <w:sz w:val="20"/>
                <w:szCs w:val="20"/>
                <w:color w:val="auto"/>
              </w:rPr>
            </w:pPr>
            <w:r>
              <w:rPr>
                <w:rFonts w:ascii="Arial" w:cs="Arial" w:eastAsia="Arial" w:hAnsi="Arial"/>
                <w:sz w:val="16"/>
                <w:szCs w:val="16"/>
                <w:color w:val="auto"/>
              </w:rPr>
              <w:t>British Pound Sterling</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gridSpan w:val="3"/>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tcPr>
          <w:p>
            <w:pPr>
              <w:jc w:val="right"/>
              <w:ind w:right="37"/>
              <w:spacing w:after="0"/>
              <w:rPr>
                <w:sz w:val="20"/>
                <w:szCs w:val="20"/>
                <w:color w:val="auto"/>
              </w:rPr>
            </w:pPr>
            <w:r>
              <w:rPr>
                <w:rFonts w:ascii="Arial" w:cs="Arial" w:eastAsia="Arial" w:hAnsi="Arial"/>
                <w:sz w:val="16"/>
                <w:szCs w:val="16"/>
                <w:color w:val="auto"/>
              </w:rPr>
              <w:t>19,600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57"/>
              <w:spacing w:after="0"/>
              <w:rPr>
                <w:sz w:val="20"/>
                <w:szCs w:val="20"/>
                <w:color w:val="auto"/>
              </w:rPr>
            </w:pPr>
            <w:r>
              <w:rPr>
                <w:rFonts w:ascii="Arial" w:cs="Arial" w:eastAsia="Arial" w:hAnsi="Arial"/>
                <w:sz w:val="16"/>
                <w:szCs w:val="16"/>
                <w:color w:val="auto"/>
              </w:rPr>
              <w:t>26,525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63"/>
              <w:spacing w:after="0"/>
              <w:rPr>
                <w:sz w:val="20"/>
                <w:szCs w:val="20"/>
                <w:color w:val="auto"/>
              </w:rPr>
            </w:pPr>
            <w:r>
              <w:rPr>
                <w:rFonts w:ascii="Arial" w:cs="Arial" w:eastAsia="Arial" w:hAnsi="Arial"/>
                <w:sz w:val="16"/>
                <w:szCs w:val="16"/>
                <w:color w:val="auto"/>
              </w:rPr>
              <w:t>1.3533</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Australian Dollar</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23,950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17,674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0.7379</w:t>
            </w:r>
          </w:p>
        </w:tc>
        <w:tc>
          <w:tcPr>
            <w:tcW w:w="0" w:type="dxa"/>
            <w:vAlign w:val="bottom"/>
          </w:tcPr>
          <w:p>
            <w:pPr>
              <w:spacing w:after="0"/>
              <w:rPr>
                <w:sz w:val="1"/>
                <w:szCs w:val="1"/>
                <w:color w:val="auto"/>
              </w:rPr>
            </w:pPr>
          </w:p>
        </w:tc>
      </w:tr>
      <w:tr>
        <w:trPr>
          <w:trHeight w:val="233"/>
        </w:trPr>
        <w:tc>
          <w:tcPr>
            <w:tcW w:w="4000" w:type="dxa"/>
            <w:vAlign w:val="bottom"/>
          </w:tcPr>
          <w:p>
            <w:pPr>
              <w:jc w:val="center"/>
              <w:spacing w:after="0"/>
              <w:rPr>
                <w:sz w:val="20"/>
                <w:szCs w:val="20"/>
                <w:color w:val="auto"/>
              </w:rPr>
            </w:pPr>
            <w:r>
              <w:rPr>
                <w:rFonts w:ascii="Arial" w:cs="Arial" w:eastAsia="Arial" w:hAnsi="Arial"/>
                <w:sz w:val="16"/>
                <w:szCs w:val="16"/>
                <w:color w:val="auto"/>
              </w:rPr>
              <w:t>Swedish Krona</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gridSpan w:val="3"/>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tcPr>
          <w:p>
            <w:pPr>
              <w:jc w:val="right"/>
              <w:ind w:right="37"/>
              <w:spacing w:after="0"/>
              <w:rPr>
                <w:sz w:val="20"/>
                <w:szCs w:val="20"/>
                <w:color w:val="auto"/>
              </w:rPr>
            </w:pPr>
            <w:r>
              <w:rPr>
                <w:rFonts w:ascii="Arial" w:cs="Arial" w:eastAsia="Arial" w:hAnsi="Arial"/>
                <w:sz w:val="16"/>
                <w:szCs w:val="16"/>
                <w:color w:val="auto"/>
              </w:rPr>
              <w:t>48,250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57"/>
              <w:spacing w:after="0"/>
              <w:rPr>
                <w:sz w:val="20"/>
                <w:szCs w:val="20"/>
                <w:color w:val="auto"/>
              </w:rPr>
            </w:pPr>
            <w:r>
              <w:rPr>
                <w:rFonts w:ascii="Arial" w:cs="Arial" w:eastAsia="Arial" w:hAnsi="Arial"/>
                <w:sz w:val="16"/>
                <w:szCs w:val="16"/>
                <w:color w:val="auto"/>
              </w:rPr>
              <w:t>5,678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63"/>
              <w:spacing w:after="0"/>
              <w:rPr>
                <w:sz w:val="20"/>
                <w:szCs w:val="20"/>
                <w:color w:val="auto"/>
              </w:rPr>
            </w:pPr>
            <w:r>
              <w:rPr>
                <w:rFonts w:ascii="Arial" w:cs="Arial" w:eastAsia="Arial" w:hAnsi="Arial"/>
                <w:sz w:val="16"/>
                <w:szCs w:val="16"/>
                <w:color w:val="auto"/>
              </w:rPr>
              <w:t>0.1177</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Brazilian Real</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US Dollar</w:t>
            </w: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14,300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3,753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0.2615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at December 31, 2019 and matured during the years ended December 31, 2019, 2018</w:t>
      </w:r>
      <w:r>
        <w:rPr>
          <w:rFonts w:ascii="Arial" w:cs="Arial" w:eastAsia="Arial" w:hAnsi="Arial"/>
          <w:sz w:val="16"/>
          <w:szCs w:val="16"/>
          <w:i w:val="1"/>
          <w:iCs w:val="1"/>
          <w:color w:val="auto"/>
        </w:rPr>
        <w:t xml:space="preserve"> </w:t>
      </w:r>
      <w:r>
        <w:rPr>
          <w:rFonts w:ascii="Arial" w:cs="Arial" w:eastAsia="Arial" w:hAnsi="Arial"/>
          <w:sz w:val="16"/>
          <w:szCs w:val="16"/>
          <w:color w:val="auto"/>
        </w:rPr>
        <w:t>and 2017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Notional Amount</w:t>
            </w:r>
          </w:p>
        </w:tc>
        <w:tc>
          <w:tcPr>
            <w:tcW w:w="2160" w:type="dxa"/>
            <w:vAlign w:val="bottom"/>
          </w:tcPr>
          <w:p>
            <w:pPr>
              <w:jc w:val="center"/>
              <w:ind w:left="62"/>
              <w:spacing w:after="0"/>
              <w:rPr>
                <w:sz w:val="20"/>
                <w:szCs w:val="20"/>
                <w:color w:val="auto"/>
              </w:rPr>
            </w:pPr>
            <w:r>
              <w:rPr>
                <w:rFonts w:ascii="Arial" w:cs="Arial" w:eastAsia="Arial" w:hAnsi="Arial"/>
                <w:sz w:val="13"/>
                <w:szCs w:val="13"/>
                <w:b w:val="1"/>
                <w:bCs w:val="1"/>
                <w:color w:val="auto"/>
                <w:w w:val="98"/>
              </w:rPr>
              <w:t>Interest Rate</w:t>
            </w:r>
          </w:p>
        </w:tc>
        <w:tc>
          <w:tcPr>
            <w:tcW w:w="12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Interest Rate Paid</w:t>
            </w: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Effective Date</w:t>
            </w:r>
          </w:p>
        </w:tc>
        <w:tc>
          <w:tcPr>
            <w:tcW w:w="2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72"/>
        </w:trPr>
        <w:tc>
          <w:tcPr>
            <w:tcW w:w="2120" w:type="dxa"/>
            <w:vAlign w:val="bottom"/>
            <w:vMerge w:val="continue"/>
          </w:tcPr>
          <w:p>
            <w:pPr>
              <w:spacing w:after="0"/>
              <w:rPr>
                <w:sz w:val="14"/>
                <w:szCs w:val="14"/>
                <w:color w:val="auto"/>
              </w:rPr>
            </w:pPr>
          </w:p>
        </w:tc>
        <w:tc>
          <w:tcPr>
            <w:tcW w:w="2160" w:type="dxa"/>
            <w:vAlign w:val="bottom"/>
          </w:tcPr>
          <w:p>
            <w:pPr>
              <w:jc w:val="center"/>
              <w:ind w:left="62"/>
              <w:spacing w:after="0"/>
              <w:rPr>
                <w:sz w:val="20"/>
                <w:szCs w:val="20"/>
                <w:color w:val="auto"/>
              </w:rPr>
            </w:pPr>
            <w:r>
              <w:rPr>
                <w:rFonts w:ascii="Arial" w:cs="Arial" w:eastAsia="Arial" w:hAnsi="Arial"/>
                <w:sz w:val="13"/>
                <w:szCs w:val="13"/>
                <w:b w:val="1"/>
                <w:bCs w:val="1"/>
                <w:color w:val="auto"/>
                <w:w w:val="94"/>
              </w:rPr>
              <w:t>Received</w:t>
            </w: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top w:val="single" w:sz="8" w:color="auto"/>
              <w:bottom w:val="single" w:sz="8" w:color="auto"/>
            </w:tcBorders>
            <w:gridSpan w:val="2"/>
            <w:shd w:val="clear" w:color="auto" w:fill="CCEEFF"/>
          </w:tcPr>
          <w:p>
            <w:pPr>
              <w:jc w:val="right"/>
              <w:ind w:right="1082"/>
              <w:spacing w:after="0"/>
              <w:rPr>
                <w:sz w:val="20"/>
                <w:szCs w:val="20"/>
                <w:color w:val="auto"/>
              </w:rPr>
            </w:pPr>
            <w:r>
              <w:rPr>
                <w:rFonts w:ascii="Arial" w:cs="Arial" w:eastAsia="Arial" w:hAnsi="Arial"/>
                <w:sz w:val="13"/>
                <w:szCs w:val="13"/>
                <w:b w:val="1"/>
                <w:bCs w:val="1"/>
                <w:color w:val="auto"/>
              </w:rPr>
              <w:t>Designated as Hedging Instrument</w:t>
            </w:r>
          </w:p>
        </w:tc>
        <w:tc>
          <w:tcPr>
            <w:tcW w:w="12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jc w:val="center"/>
              <w:ind w:right="23"/>
              <w:spacing w:after="0"/>
              <w:rPr>
                <w:sz w:val="20"/>
                <w:szCs w:val="20"/>
                <w:color w:val="auto"/>
              </w:rPr>
            </w:pPr>
            <w:r>
              <w:rPr>
                <w:rFonts w:ascii="Arial" w:cs="Arial" w:eastAsia="Arial" w:hAnsi="Arial"/>
                <w:sz w:val="16"/>
                <w:szCs w:val="16"/>
                <w:color w:val="auto"/>
              </w:rPr>
              <w:t>$750 million</w:t>
            </w:r>
          </w:p>
        </w:tc>
        <w:tc>
          <w:tcPr>
            <w:tcW w:w="2160" w:type="dxa"/>
            <w:vAlign w:val="bottom"/>
          </w:tcPr>
          <w:p>
            <w:pPr>
              <w:jc w:val="center"/>
              <w:ind w:left="62"/>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220" w:type="dxa"/>
            <w:vAlign w:val="bottom"/>
            <w:gridSpan w:val="2"/>
          </w:tcPr>
          <w:p>
            <w:pPr>
              <w:jc w:val="right"/>
              <w:ind w:right="825"/>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rPr>
              <w:t>March 31, 2017</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2017</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rPr>
              <w:t>$750 million</w:t>
            </w:r>
          </w:p>
        </w:tc>
        <w:tc>
          <w:tcPr>
            <w:tcW w:w="216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220" w:type="dxa"/>
            <w:vAlign w:val="bottom"/>
            <w:gridSpan w:val="2"/>
            <w:shd w:val="clear" w:color="auto" w:fill="CCEEFF"/>
          </w:tcPr>
          <w:p>
            <w:pPr>
              <w:jc w:val="right"/>
              <w:ind w:right="825"/>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29, 2017</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243"/>
        </w:trPr>
        <w:tc>
          <w:tcPr>
            <w:tcW w:w="2120" w:type="dxa"/>
            <w:vAlign w:val="bottom"/>
          </w:tcPr>
          <w:p>
            <w:pPr>
              <w:jc w:val="center"/>
              <w:ind w:right="43"/>
              <w:spacing w:after="0"/>
              <w:rPr>
                <w:sz w:val="20"/>
                <w:szCs w:val="20"/>
                <w:color w:val="auto"/>
              </w:rPr>
            </w:pPr>
            <w:r>
              <w:rPr>
                <w:rFonts w:ascii="Arial" w:cs="Arial" w:eastAsia="Arial" w:hAnsi="Arial"/>
                <w:sz w:val="16"/>
                <w:szCs w:val="16"/>
                <w:color w:val="auto"/>
              </w:rPr>
              <w:t>$1,350 million</w:t>
            </w:r>
          </w:p>
        </w:tc>
        <w:tc>
          <w:tcPr>
            <w:tcW w:w="2160" w:type="dxa"/>
            <w:vAlign w:val="bottom"/>
          </w:tcPr>
          <w:p>
            <w:pPr>
              <w:jc w:val="center"/>
              <w:ind w:left="62"/>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220" w:type="dxa"/>
            <w:vAlign w:val="bottom"/>
            <w:gridSpan w:val="2"/>
          </w:tcPr>
          <w:p>
            <w:pPr>
              <w:jc w:val="right"/>
              <w:ind w:right="825"/>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1"/>
                <w:szCs w:val="21"/>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2018</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jc w:val="center"/>
              <w:ind w:right="43"/>
              <w:spacing w:after="0"/>
              <w:rPr>
                <w:sz w:val="20"/>
                <w:szCs w:val="20"/>
                <w:color w:val="auto"/>
              </w:rPr>
            </w:pPr>
            <w:r>
              <w:rPr>
                <w:rFonts w:ascii="Arial" w:cs="Arial" w:eastAsia="Arial" w:hAnsi="Arial"/>
                <w:sz w:val="16"/>
                <w:szCs w:val="16"/>
                <w:color w:val="auto"/>
              </w:rPr>
              <w:t>$1,200 million</w:t>
            </w:r>
          </w:p>
        </w:tc>
        <w:tc>
          <w:tcPr>
            <w:tcW w:w="216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220" w:type="dxa"/>
            <w:vAlign w:val="bottom"/>
            <w:gridSpan w:val="2"/>
            <w:shd w:val="clear" w:color="auto" w:fill="CCEEFF"/>
          </w:tcPr>
          <w:p>
            <w:pPr>
              <w:jc w:val="right"/>
              <w:ind w:right="825"/>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2019</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43"/>
        </w:trPr>
        <w:tc>
          <w:tcPr>
            <w:tcW w:w="2120" w:type="dxa"/>
            <w:vAlign w:val="bottom"/>
          </w:tcPr>
          <w:p>
            <w:pPr>
              <w:jc w:val="center"/>
              <w:ind w:right="23"/>
              <w:spacing w:after="0"/>
              <w:rPr>
                <w:sz w:val="20"/>
                <w:szCs w:val="20"/>
                <w:color w:val="auto"/>
              </w:rPr>
            </w:pPr>
            <w:r>
              <w:rPr>
                <w:rFonts w:ascii="Arial" w:cs="Arial" w:eastAsia="Arial" w:hAnsi="Arial"/>
                <w:sz w:val="16"/>
                <w:szCs w:val="16"/>
                <w:color w:val="auto"/>
              </w:rPr>
              <w:t>$600 million</w:t>
            </w:r>
          </w:p>
        </w:tc>
        <w:tc>
          <w:tcPr>
            <w:tcW w:w="2160" w:type="dxa"/>
            <w:vAlign w:val="bottom"/>
          </w:tcPr>
          <w:p>
            <w:pPr>
              <w:jc w:val="center"/>
              <w:ind w:left="62"/>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(2)</w:t>
            </w:r>
          </w:p>
        </w:tc>
        <w:tc>
          <w:tcPr>
            <w:tcW w:w="2220" w:type="dxa"/>
            <w:vAlign w:val="bottom"/>
            <w:gridSpan w:val="2"/>
          </w:tcPr>
          <w:p>
            <w:pPr>
              <w:jc w:val="right"/>
              <w:ind w:right="825"/>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1"/>
                <w:szCs w:val="21"/>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2020</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8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3"/>
                <w:szCs w:val="13"/>
                <w:b w:val="1"/>
                <w:bCs w:val="1"/>
                <w:color w:val="auto"/>
              </w:rPr>
              <w:t>Not Designated as Hedging Instrument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12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rPr>
              <w:t>$750 million</w:t>
            </w:r>
          </w:p>
        </w:tc>
        <w:tc>
          <w:tcPr>
            <w:tcW w:w="2160" w:type="dxa"/>
            <w:vAlign w:val="bottom"/>
            <w:shd w:val="clear" w:color="auto" w:fill="CCEEFF"/>
          </w:tcPr>
          <w:p>
            <w:pPr>
              <w:jc w:val="center"/>
              <w:ind w:left="62"/>
              <w:spacing w:after="0" w:line="240"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(3)</w:t>
            </w:r>
          </w:p>
        </w:tc>
        <w:tc>
          <w:tcPr>
            <w:tcW w:w="2220" w:type="dxa"/>
            <w:vAlign w:val="bottom"/>
            <w:gridSpan w:val="2"/>
            <w:shd w:val="clear" w:color="auto" w:fill="CCEEFF"/>
          </w:tcPr>
          <w:p>
            <w:pPr>
              <w:jc w:val="right"/>
              <w:ind w:right="825"/>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30, 2016</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29, 2017</w:t>
            </w:r>
          </w:p>
        </w:tc>
        <w:tc>
          <w:tcPr>
            <w:tcW w:w="0" w:type="dxa"/>
            <w:vAlign w:val="bottom"/>
          </w:tcPr>
          <w:p>
            <w:pPr>
              <w:spacing w:after="0"/>
              <w:rPr>
                <w:sz w:val="1"/>
                <w:szCs w:val="1"/>
                <w:color w:val="auto"/>
              </w:rPr>
            </w:pPr>
          </w:p>
        </w:tc>
      </w:tr>
      <w:tr>
        <w:trPr>
          <w:trHeight w:val="233"/>
        </w:trPr>
        <w:tc>
          <w:tcPr>
            <w:tcW w:w="2120" w:type="dxa"/>
            <w:vAlign w:val="bottom"/>
          </w:tcPr>
          <w:p>
            <w:pPr>
              <w:jc w:val="center"/>
              <w:ind w:right="23"/>
              <w:spacing w:after="0"/>
              <w:rPr>
                <w:sz w:val="20"/>
                <w:szCs w:val="20"/>
                <w:color w:val="auto"/>
              </w:rPr>
            </w:pPr>
            <w:r>
              <w:rPr>
                <w:rFonts w:ascii="Arial" w:cs="Arial" w:eastAsia="Arial" w:hAnsi="Arial"/>
                <w:sz w:val="16"/>
                <w:szCs w:val="16"/>
                <w:color w:val="auto"/>
              </w:rPr>
              <w:t>$750 million</w:t>
            </w:r>
          </w:p>
        </w:tc>
        <w:tc>
          <w:tcPr>
            <w:tcW w:w="2160" w:type="dxa"/>
            <w:vAlign w:val="bottom"/>
          </w:tcPr>
          <w:p>
            <w:pPr>
              <w:jc w:val="right"/>
              <w:ind w:right="762"/>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rPr>
              <w:t>1 month LIBOR</w:t>
            </w: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rPr>
              <w:t>March 31, 2017</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2017</w:t>
            </w:r>
          </w:p>
        </w:tc>
        <w:tc>
          <w:tcPr>
            <w:tcW w:w="0" w:type="dxa"/>
            <w:vAlign w:val="bottom"/>
          </w:tcPr>
          <w:p>
            <w:pPr>
              <w:spacing w:after="0"/>
              <w:rPr>
                <w:sz w:val="1"/>
                <w:szCs w:val="1"/>
                <w:color w:val="auto"/>
              </w:rPr>
            </w:pPr>
          </w:p>
        </w:tc>
      </w:tr>
      <w:tr>
        <w:trPr>
          <w:trHeight w:val="253"/>
        </w:trPr>
        <w:tc>
          <w:tcPr>
            <w:tcW w:w="212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rPr>
              <w:t>$750 million</w:t>
            </w:r>
          </w:p>
        </w:tc>
        <w:tc>
          <w:tcPr>
            <w:tcW w:w="216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(3)</w:t>
            </w:r>
          </w:p>
        </w:tc>
        <w:tc>
          <w:tcPr>
            <w:tcW w:w="2220" w:type="dxa"/>
            <w:vAlign w:val="bottom"/>
            <w:gridSpan w:val="2"/>
            <w:shd w:val="clear" w:color="auto" w:fill="CCEEFF"/>
          </w:tcPr>
          <w:p>
            <w:pPr>
              <w:jc w:val="right"/>
              <w:ind w:right="825"/>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29, 2017</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224"/>
        </w:trPr>
        <w:tc>
          <w:tcPr>
            <w:tcW w:w="2120" w:type="dxa"/>
            <w:vAlign w:val="bottom"/>
          </w:tcPr>
          <w:p>
            <w:pPr>
              <w:jc w:val="center"/>
              <w:ind w:right="23"/>
              <w:spacing w:after="0"/>
              <w:rPr>
                <w:sz w:val="20"/>
                <w:szCs w:val="20"/>
                <w:color w:val="auto"/>
              </w:rPr>
            </w:pPr>
            <w:r>
              <w:rPr>
                <w:rFonts w:ascii="Arial" w:cs="Arial" w:eastAsia="Arial" w:hAnsi="Arial"/>
                <w:sz w:val="16"/>
                <w:szCs w:val="16"/>
                <w:color w:val="auto"/>
              </w:rPr>
              <w:t>$750 million</w:t>
            </w:r>
          </w:p>
        </w:tc>
        <w:tc>
          <w:tcPr>
            <w:tcW w:w="2160" w:type="dxa"/>
            <w:vAlign w:val="bottom"/>
          </w:tcPr>
          <w:p>
            <w:pPr>
              <w:jc w:val="right"/>
              <w:ind w:right="762"/>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9"/>
                <w:szCs w:val="19"/>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rPr>
              <w:t>1 month LIBOR</w:t>
            </w: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29, 2017</w:t>
            </w:r>
          </w:p>
        </w:tc>
        <w:tc>
          <w:tcPr>
            <w:tcW w:w="2360" w:type="dxa"/>
            <w:vAlign w:val="bottom"/>
          </w:tcPr>
          <w:p>
            <w:pPr>
              <w:jc w:val="center"/>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111"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Subject to a 1% floor.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Subject to a 0% floor.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February 22, 2017.</w:t>
      </w:r>
    </w:p>
    <w:p>
      <w:pPr>
        <w:spacing w:after="0" w:line="106"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connection with the 2017 Term Facility Amendment, we entered into new forward starting interest rate swaps effective March 31, 2017 to hedge the interest payments associated with $750 million of the floating-rate 2017 Term Loan B. The total notional amount outstanding is $750 million for the full years 2018 and 2019. In September 2017, we entered into new forward starting interest rate swaps to hedge the interest payments associated with $750 million of the floating-rate Term Loan B. The total notional outstanding of $750 million became effective December 31, 2019 and extends through the full year 2020. In April 2018, we entered into new forward starting interest rate swaps to hedge the interest payments associated with $600 million, $300 million and $450 million of the floating-rate Term Loan B related to full year 2019, 2020 and 2021, respectively. In December 2018, we entered into new forward starting interest rate swaps to hedge the interest payments associated with $150 million of the floating-rate Term Loan B for the full years 2020 and 2021. We have designated these swaps as cash flow hedges.</w:t>
      </w:r>
    </w:p>
    <w:p>
      <w:pPr>
        <w:sectPr>
          <w:pgSz w:w="11900" w:h="16838" w:orient="portrait"/>
          <w:cols w:equalWidth="0" w:num="1">
            <w:col w:w="11420"/>
          </w:cols>
          <w:pgMar w:left="240" w:top="1019"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type w:val="continuous"/>
        </w:sectPr>
      </w:pPr>
    </w:p>
    <w:bookmarkStart w:id="82" w:name="page83"/>
    <w:bookmarkEnd w:id="82"/>
    <w:p>
      <w:pPr>
        <w:jc w:val="center"/>
        <w:ind w:right="40"/>
        <w:spacing w:after="0"/>
        <w:rPr>
          <w:sz w:val="20"/>
          <w:szCs w:val="20"/>
          <w:color w:val="auto"/>
        </w:rPr>
      </w:pPr>
      <w:r>
        <w:rPr>
          <w:rFonts w:ascii="Arial" w:cs="Arial" w:eastAsia="Arial" w:hAnsi="Arial"/>
          <w:sz w:val="16"/>
          <w:szCs w:val="16"/>
          <w:color w:val="auto"/>
        </w:rPr>
        <w:t>The estimated fair values of our derivatives designated as hedging instruments as of December 31, 2019 and 2018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00" w:type="dxa"/>
            <w:vAlign w:val="bottom"/>
            <w:tcBorders>
              <w:bottom w:val="single" w:sz="8" w:color="auto"/>
            </w:tcBorders>
            <w:gridSpan w:val="3"/>
          </w:tcPr>
          <w:p>
            <w:pPr>
              <w:ind w:left="2780"/>
              <w:spacing w:after="0"/>
              <w:rPr>
                <w:sz w:val="20"/>
                <w:szCs w:val="20"/>
                <w:color w:val="auto"/>
              </w:rPr>
            </w:pPr>
            <w:r>
              <w:rPr>
                <w:rFonts w:ascii="Arial" w:cs="Arial" w:eastAsia="Arial" w:hAnsi="Arial"/>
                <w:sz w:val="13"/>
                <w:szCs w:val="13"/>
                <w:b w:val="1"/>
                <w:bCs w:val="1"/>
                <w:color w:val="auto"/>
              </w:rPr>
              <w:t>Derivative Assets (Liabilities)</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23"/>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3"/>
                <w:szCs w:val="13"/>
                <w:b w:val="1"/>
                <w:bCs w:val="1"/>
                <w:color w:val="auto"/>
              </w:rPr>
              <w:t>Fair Value as of December 31,</w:t>
            </w:r>
          </w:p>
        </w:tc>
      </w:tr>
      <w:tr>
        <w:trPr>
          <w:trHeight w:val="18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100" w:type="dxa"/>
            <w:vAlign w:val="bottom"/>
            <w:tcBorders>
              <w:bottom w:val="single" w:sz="8" w:color="CCEEFF"/>
            </w:tcBorders>
          </w:tcPr>
          <w:p>
            <w:pPr>
              <w:spacing w:after="0"/>
              <w:rPr>
                <w:sz w:val="15"/>
                <w:szCs w:val="15"/>
                <w:color w:val="auto"/>
              </w:rPr>
            </w:pP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r>
      <w:tr>
        <w:trPr>
          <w:trHeight w:val="24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1,953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233"/>
        </w:trPr>
        <w:tc>
          <w:tcPr>
            <w:tcW w:w="4060" w:type="dxa"/>
            <w:vAlign w:val="bottom"/>
            <w:gridSpan w:val="2"/>
          </w:tcPr>
          <w:p>
            <w:pPr>
              <w:ind w:left="20"/>
              <w:spacing w:after="0"/>
              <w:rPr>
                <w:sz w:val="20"/>
                <w:szCs w:val="20"/>
                <w:color w:val="auto"/>
              </w:rPr>
            </w:pPr>
            <w:r>
              <w:rPr>
                <w:rFonts w:ascii="Arial" w:cs="Arial" w:eastAsia="Arial" w:hAnsi="Arial"/>
                <w:sz w:val="16"/>
                <w:szCs w:val="16"/>
                <w:color w:val="auto"/>
              </w:rPr>
              <w:t>Foreign exchange contracts</w:t>
            </w:r>
          </w:p>
        </w:tc>
        <w:tc>
          <w:tcPr>
            <w:tcW w:w="432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3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(4,285)</w:t>
            </w:r>
          </w:p>
        </w:tc>
      </w:tr>
      <w:tr>
        <w:trPr>
          <w:trHeight w:val="25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3,674</w:t>
            </w:r>
          </w:p>
        </w:tc>
      </w:tr>
      <w:tr>
        <w:trPr>
          <w:trHeight w:val="233"/>
        </w:trPr>
        <w:tc>
          <w:tcPr>
            <w:tcW w:w="406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4320" w:type="dxa"/>
            <w:vAlign w:val="bottom"/>
            <w:gridSpan w:val="2"/>
          </w:tcPr>
          <w:p>
            <w:pPr>
              <w:ind w:left="20"/>
              <w:spacing w:after="0"/>
              <w:rPr>
                <w:sz w:val="20"/>
                <w:szCs w:val="20"/>
                <w:color w:val="auto"/>
              </w:rPr>
            </w:pPr>
            <w:r>
              <w:rPr>
                <w:rFonts w:ascii="Arial" w:cs="Arial" w:eastAsia="Arial" w:hAnsi="Arial"/>
                <w:sz w:val="16"/>
                <w:szCs w:val="16"/>
                <w:color w:val="auto"/>
              </w:rPr>
              <w:t>Other assets, net</w:t>
            </w:r>
          </w:p>
        </w:tc>
        <w:tc>
          <w:tcPr>
            <w:tcW w:w="3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295</w:t>
            </w:r>
          </w:p>
        </w:tc>
      </w:tr>
      <w:tr>
        <w:trPr>
          <w:trHeight w:val="25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237"/>
        </w:trPr>
        <w:tc>
          <w:tcPr>
            <w:tcW w:w="4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(7,918)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r>
      <w:tr>
        <w:trPr>
          <w:trHeight w:val="262"/>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(12,985)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effects of derivative instruments, net of taxes, on OCI for the years ended December 31, 2019, 2018 and 2017 are as follows (in thousands):</w:t>
      </w:r>
    </w:p>
    <w:p>
      <w:pPr>
        <w:spacing w:after="0" w:line="118" w:lineRule="exact"/>
        <w:rPr>
          <w:sz w:val="20"/>
          <w:szCs w:val="20"/>
          <w:color w:val="auto"/>
        </w:rPr>
      </w:pPr>
    </w:p>
    <w:p>
      <w:pPr>
        <w:jc w:val="center"/>
        <w:ind w:left="6920"/>
        <w:spacing w:after="0"/>
        <w:rPr>
          <w:sz w:val="20"/>
          <w:szCs w:val="20"/>
          <w:color w:val="auto"/>
        </w:rPr>
      </w:pPr>
      <w:r>
        <w:rPr>
          <w:rFonts w:ascii="Arial" w:cs="Arial" w:eastAsia="Arial" w:hAnsi="Arial"/>
          <w:sz w:val="13"/>
          <w:szCs w:val="13"/>
          <w:b w:val="1"/>
          <w:bCs w:val="1"/>
          <w:color w:val="auto"/>
        </w:rPr>
        <w:t>Amount of (Loss) Gain</w:t>
      </w:r>
    </w:p>
    <w:p>
      <w:pPr>
        <w:jc w:val="center"/>
        <w:ind w:left="6920"/>
        <w:spacing w:after="0"/>
        <w:rPr>
          <w:sz w:val="20"/>
          <w:szCs w:val="20"/>
          <w:color w:val="auto"/>
        </w:rPr>
      </w:pPr>
      <w:r>
        <w:rPr>
          <w:rFonts w:ascii="Arial" w:cs="Arial" w:eastAsia="Arial" w:hAnsi="Arial"/>
          <w:sz w:val="13"/>
          <w:szCs w:val="13"/>
          <w:b w:val="1"/>
          <w:bCs w:val="1"/>
          <w:color w:val="auto"/>
        </w:rPr>
        <w:t>Recognized in OCI on Derivative,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12065</wp:posOffset>
            </wp:positionV>
            <wp:extent cx="27959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ind w:right="239"/>
              <w:spacing w:after="0"/>
              <w:rPr>
                <w:sz w:val="20"/>
                <w:szCs w:val="20"/>
                <w:color w:val="auto"/>
              </w:rPr>
            </w:pPr>
            <w:r>
              <w:rPr>
                <w:rFonts w:ascii="Arial" w:cs="Arial" w:eastAsia="Arial" w:hAnsi="Arial"/>
                <w:sz w:val="13"/>
                <w:szCs w:val="13"/>
                <w:b w:val="1"/>
                <w:bCs w:val="1"/>
                <w:color w:val="auto"/>
                <w:w w:val="96"/>
              </w:rPr>
              <w:t>Year Ended December 31,</w:t>
            </w:r>
          </w:p>
        </w:tc>
        <w:tc>
          <w:tcPr>
            <w:tcW w:w="1020" w:type="dxa"/>
            <w:vAlign w:val="bottom"/>
            <w:tcBorders>
              <w:bottom w:val="single" w:sz="8" w:color="auto"/>
            </w:tcBorders>
          </w:tcPr>
          <w:p>
            <w:pPr>
              <w:spacing w:after="0"/>
              <w:rPr>
                <w:sz w:val="15"/>
                <w:szCs w:val="15"/>
                <w:color w:val="auto"/>
              </w:rPr>
            </w:pPr>
          </w:p>
        </w:tc>
      </w:tr>
      <w:tr>
        <w:trPr>
          <w:trHeight w:val="183"/>
        </w:trPr>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Derivatives in Cash Flow Hedging Relationships</w:t>
            </w:r>
          </w:p>
        </w:tc>
        <w:tc>
          <w:tcPr>
            <w:tcW w:w="2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2017</w:t>
            </w:r>
          </w:p>
        </w:tc>
      </w:tr>
      <w:tr>
        <w:trPr>
          <w:trHeight w:val="24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2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(360)</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(8,250)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13,205</w:t>
            </w:r>
          </w:p>
        </w:tc>
      </w:tr>
      <w:tr>
        <w:trPr>
          <w:trHeight w:val="237"/>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2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(14,857)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2,583</w:t>
            </w:r>
          </w:p>
        </w:tc>
      </w:tr>
      <w:tr>
        <w:trPr>
          <w:trHeight w:val="257"/>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(15,217)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(6,343)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15,788</w:t>
            </w: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88"/>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gridSpan w:val="7"/>
          </w:tcPr>
          <w:p>
            <w:pPr>
              <w:jc w:val="center"/>
              <w:ind w:right="223"/>
              <w:spacing w:after="0"/>
              <w:rPr>
                <w:sz w:val="20"/>
                <w:szCs w:val="20"/>
                <w:color w:val="auto"/>
              </w:rPr>
            </w:pPr>
            <w:r>
              <w:rPr>
                <w:rFonts w:ascii="Arial" w:cs="Arial" w:eastAsia="Arial" w:hAnsi="Arial"/>
                <w:sz w:val="13"/>
                <w:szCs w:val="13"/>
                <w:b w:val="1"/>
                <w:bCs w:val="1"/>
                <w:color w:val="auto"/>
                <w:w w:val="96"/>
              </w:rPr>
              <w:t>Amount of Loss (Gain) Reclassified from Accumulated</w:t>
            </w:r>
          </w:p>
        </w:tc>
      </w:tr>
      <w:tr>
        <w:trPr>
          <w:trHeight w:val="172"/>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left="626"/>
              <w:spacing w:after="0"/>
              <w:rPr>
                <w:sz w:val="20"/>
                <w:szCs w:val="20"/>
                <w:color w:val="auto"/>
              </w:rPr>
            </w:pPr>
            <w:r>
              <w:rPr>
                <w:rFonts w:ascii="Arial" w:cs="Arial" w:eastAsia="Arial" w:hAnsi="Arial"/>
                <w:sz w:val="13"/>
                <w:szCs w:val="13"/>
                <w:b w:val="1"/>
                <w:bCs w:val="1"/>
                <w:color w:val="auto"/>
                <w:w w:val="97"/>
              </w:rPr>
              <w:t>OCI into Income, Effective Portion</w:t>
            </w:r>
          </w:p>
        </w:tc>
        <w:tc>
          <w:tcPr>
            <w:tcW w:w="1020" w:type="dxa"/>
            <w:vAlign w:val="bottom"/>
            <w:tcBorders>
              <w:bottom w:val="single" w:sz="8" w:color="auto"/>
            </w:tcBorders>
          </w:tcPr>
          <w:p>
            <w:pPr>
              <w:spacing w:after="0"/>
              <w:rPr>
                <w:sz w:val="14"/>
                <w:szCs w:val="14"/>
                <w:color w:val="auto"/>
              </w:rPr>
            </w:pPr>
          </w:p>
        </w:tc>
      </w:tr>
      <w:tr>
        <w:trPr>
          <w:trHeight w:val="180"/>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ind w:right="239"/>
              <w:spacing w:after="0"/>
              <w:rPr>
                <w:sz w:val="20"/>
                <w:szCs w:val="20"/>
                <w:color w:val="auto"/>
              </w:rPr>
            </w:pPr>
            <w:r>
              <w:rPr>
                <w:rFonts w:ascii="Arial" w:cs="Arial" w:eastAsia="Arial" w:hAnsi="Arial"/>
                <w:sz w:val="13"/>
                <w:szCs w:val="13"/>
                <w:b w:val="1"/>
                <w:bCs w:val="1"/>
                <w:color w:val="auto"/>
                <w:w w:val="96"/>
              </w:rPr>
              <w:t>Year Ended December 31,</w:t>
            </w:r>
          </w:p>
        </w:tc>
        <w:tc>
          <w:tcPr>
            <w:tcW w:w="1020" w:type="dxa"/>
            <w:vAlign w:val="bottom"/>
            <w:tcBorders>
              <w:bottom w:val="single" w:sz="8" w:color="auto"/>
            </w:tcBorders>
          </w:tcPr>
          <w:p>
            <w:pPr>
              <w:spacing w:after="0"/>
              <w:rPr>
                <w:sz w:val="15"/>
                <w:szCs w:val="15"/>
                <w:color w:val="auto"/>
              </w:rPr>
            </w:pPr>
          </w:p>
        </w:tc>
      </w:tr>
      <w:tr>
        <w:trPr>
          <w:trHeight w:val="18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Derivatives in Cash Flow Hedging Relationships</w:t>
            </w:r>
          </w:p>
        </w:tc>
        <w:tc>
          <w:tcPr>
            <w:tcW w:w="100" w:type="dxa"/>
            <w:vAlign w:val="bottom"/>
            <w:tcBorders>
              <w:bottom w:val="single" w:sz="8" w:color="CCEEFF"/>
            </w:tcBorders>
          </w:tcPr>
          <w:p>
            <w:pPr>
              <w:spacing w:after="0"/>
              <w:rPr>
                <w:sz w:val="15"/>
                <w:szCs w:val="15"/>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Income Statement Location</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2017</w:t>
            </w:r>
          </w:p>
        </w:tc>
      </w:tr>
      <w:tr>
        <w:trPr>
          <w:trHeight w:val="24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5,351</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(3,001)</w:t>
            </w:r>
          </w:p>
        </w:tc>
      </w:tr>
      <w:tr>
        <w:trPr>
          <w:trHeight w:val="237"/>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23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3,999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5,083</w:t>
            </w:r>
          </w:p>
        </w:tc>
      </w:tr>
      <w:tr>
        <w:trPr>
          <w:trHeight w:val="257"/>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5,507</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3,677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2,082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Fair Value Measurements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1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17"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Foreign Currency Forward Contracts</w:t>
      </w:r>
      <w:r>
        <w:rPr>
          <w:rFonts w:ascii="Arial" w:cs="Arial" w:eastAsia="Arial" w:hAnsi="Arial"/>
          <w:sz w:val="16"/>
          <w:szCs w:val="16"/>
          <w:color w:val="auto"/>
        </w:rPr>
        <w:t>—The fair value of the foreign currency forward contracts was estimated based upon pricing models that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inputs derived from or corroborated by observable market data such as currency spot and forward rates.</w:t>
      </w:r>
    </w:p>
    <w:p>
      <w:pPr>
        <w:spacing w:after="0" w:line="55"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are estimated using a combined income and market-based valuation methodology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Level 2 inputs, including credit ratings and forward interest rate yield curves obtained from independent pricing services reflecting broker market quotes.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83" w:name="page84"/>
    <w:bookmarkEnd w:id="83"/>
    <w:p>
      <w:pPr>
        <w:ind w:left="500"/>
        <w:spacing w:after="0"/>
        <w:rPr>
          <w:sz w:val="20"/>
          <w:szCs w:val="20"/>
          <w:color w:val="auto"/>
        </w:rPr>
      </w:pPr>
      <w:r>
        <w:rPr>
          <w:rFonts w:ascii="Arial" w:cs="Arial" w:eastAsia="Arial" w:hAnsi="Arial"/>
          <w:sz w:val="16"/>
          <w:szCs w:val="16"/>
          <w:i w:val="1"/>
          <w:iCs w:val="1"/>
          <w:color w:val="auto"/>
        </w:rPr>
        <w:t>Pension Plan Assets</w:t>
      </w:r>
      <w:r>
        <w:rPr>
          <w:rFonts w:ascii="Arial" w:cs="Arial" w:eastAsia="Arial" w:hAnsi="Arial"/>
          <w:sz w:val="16"/>
          <w:szCs w:val="16"/>
          <w:color w:val="auto"/>
        </w:rPr>
        <w:t>—See Note 15. Pension and Other Postretirement Benefit Plans, for fair value information on our pension plan assets.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the fair value of our assets (liabilities) that are required to be measured at fair value on a recurring basis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w w:val="99"/>
              </w:rPr>
              <w:t>Fair Value at Reporting Date Using</w:t>
            </w:r>
          </w:p>
        </w:tc>
        <w:tc>
          <w:tcPr>
            <w:tcW w:w="900" w:type="dxa"/>
            <w:vAlign w:val="bottom"/>
            <w:tcBorders>
              <w:bottom w:val="single" w:sz="8" w:color="auto"/>
            </w:tcBorders>
          </w:tcPr>
          <w:p>
            <w:pPr>
              <w:spacing w:after="0"/>
              <w:rPr>
                <w:sz w:val="15"/>
                <w:szCs w:val="15"/>
                <w:color w:val="auto"/>
              </w:rPr>
            </w:pPr>
          </w:p>
        </w:tc>
      </w:tr>
      <w:tr>
        <w:trPr>
          <w:trHeight w:val="223"/>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2019</w:t>
            </w:r>
          </w:p>
        </w:tc>
        <w:tc>
          <w:tcPr>
            <w:tcW w:w="28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36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Level 3</w:t>
            </w:r>
          </w:p>
        </w:tc>
      </w:tr>
      <w:tr>
        <w:trPr>
          <w:trHeight w:val="22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3"/>
        </w:trPr>
        <w:tc>
          <w:tcPr>
            <w:tcW w:w="5700" w:type="dxa"/>
            <w:vAlign w:val="bottom"/>
          </w:tcPr>
          <w:p>
            <w:pPr>
              <w:ind w:left="220"/>
              <w:spacing w:after="0"/>
              <w:rPr>
                <w:sz w:val="20"/>
                <w:szCs w:val="20"/>
                <w:color w:val="auto"/>
              </w:rPr>
            </w:pPr>
            <w:r>
              <w:rPr>
                <w:rFonts w:ascii="Arial" w:cs="Arial" w:eastAsia="Arial" w:hAnsi="Arial"/>
                <w:sz w:val="16"/>
                <w:szCs w:val="16"/>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3"/>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(14,938)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(14,938)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(12,985)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(12,985)</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7"/>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16"/>
        </w:trPr>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w w:val="99"/>
              </w:rPr>
              <w:t>Fair Value at Reporting Date Using</w:t>
            </w:r>
          </w:p>
        </w:tc>
        <w:tc>
          <w:tcPr>
            <w:tcW w:w="900" w:type="dxa"/>
            <w:vAlign w:val="bottom"/>
            <w:tcBorders>
              <w:bottom w:val="single" w:sz="8" w:color="auto"/>
            </w:tcBorders>
          </w:tcPr>
          <w:p>
            <w:pPr>
              <w:spacing w:after="0"/>
              <w:rPr>
                <w:sz w:val="24"/>
                <w:szCs w:val="24"/>
                <w:color w:val="auto"/>
              </w:rPr>
            </w:pPr>
          </w:p>
        </w:tc>
      </w:tr>
      <w:tr>
        <w:trPr>
          <w:trHeight w:val="223"/>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2018</w:t>
            </w:r>
          </w:p>
        </w:tc>
        <w:tc>
          <w:tcPr>
            <w:tcW w:w="28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36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Level 3</w:t>
            </w:r>
          </w:p>
        </w:tc>
      </w:tr>
      <w:tr>
        <w:trPr>
          <w:trHeight w:val="22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3"/>
        </w:trPr>
        <w:tc>
          <w:tcPr>
            <w:tcW w:w="5700" w:type="dxa"/>
            <w:vAlign w:val="bottom"/>
          </w:tcPr>
          <w:p>
            <w:pPr>
              <w:ind w:left="220"/>
              <w:spacing w:after="0"/>
              <w:rPr>
                <w:sz w:val="20"/>
                <w:szCs w:val="20"/>
                <w:color w:val="auto"/>
              </w:rPr>
            </w:pPr>
            <w:r>
              <w:rPr>
                <w:rFonts w:ascii="Arial" w:cs="Arial" w:eastAsia="Arial" w:hAnsi="Arial"/>
                <w:sz w:val="16"/>
                <w:szCs w:val="16"/>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(4,285)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3,969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3,969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7"/>
        </w:trPr>
        <w:tc>
          <w:tcPr>
            <w:tcW w:w="57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218" w:lineRule="exact"/>
        <w:rPr>
          <w:sz w:val="20"/>
          <w:szCs w:val="20"/>
          <w:color w:val="auto"/>
        </w:rPr>
      </w:pPr>
    </w:p>
    <w:p>
      <w:pPr>
        <w:ind w:left="500" w:right="1620"/>
        <w:spacing w:after="0" w:line="422" w:lineRule="auto"/>
        <w:rPr>
          <w:sz w:val="20"/>
          <w:szCs w:val="20"/>
          <w:color w:val="auto"/>
        </w:rPr>
      </w:pPr>
      <w:r>
        <w:rPr>
          <w:rFonts w:ascii="Arial" w:cs="Arial" w:eastAsia="Arial" w:hAnsi="Arial"/>
          <w:sz w:val="16"/>
          <w:szCs w:val="16"/>
          <w:color w:val="auto"/>
        </w:rPr>
        <w:t xml:space="preserve">There were no transfers between Levels 1 and 2 within the fair value hierarchy for the years ended December 31, 2019 and 2018. </w:t>
      </w:r>
      <w:r>
        <w:rPr>
          <w:rFonts w:ascii="Arial" w:cs="Arial" w:eastAsia="Arial" w:hAnsi="Arial"/>
          <w:sz w:val="16"/>
          <w:szCs w:val="16"/>
          <w:b w:val="1"/>
          <w:bCs w:val="1"/>
          <w:i w:val="1"/>
          <w:iCs w:val="1"/>
          <w:color w:val="auto"/>
        </w:rPr>
        <w:t>Assets that are Measured at Fair Value on a Nonrecurring Basis</w:t>
      </w:r>
    </w:p>
    <w:p>
      <w:pPr>
        <w:spacing w:after="0" w:line="1"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As described in Note 1. Summary of Business and Significant Accounting Policies, our impairment review of goodwill is performed annually, as of October 1 of each year. In addition, goodwill, property and equipment and intangible assets are reviewed for impairment if events and circumstances indicate that their carrying amounts may not be recoverable.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Financial Instruments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carrying value of our financial instruments including cash and cash equivalents, and accounts receivable approximates their fair values. The fair values of our senior secured notes due 2023 and term loans under our Amended and Restated Credit Agreement are determined based on quoted market prices for a similar liability when traded as an asset in an active market, a Level 2 input.</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fair value and carrying value of all our notes and term loans under our Amended and Restated Credit Agreement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2018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Fair Value at December 31,</w:t>
            </w: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3"/>
                <w:szCs w:val="13"/>
                <w:b w:val="1"/>
                <w:bCs w:val="1"/>
                <w:color w:val="auto"/>
              </w:rPr>
              <w:t>Carrying Value</w:t>
            </w:r>
            <w:r>
              <w:rPr>
                <w:rFonts w:ascii="Arial" w:cs="Arial" w:eastAsia="Arial" w:hAnsi="Arial"/>
                <w:sz w:val="8"/>
                <w:szCs w:val="8"/>
                <w:b w:val="1"/>
                <w:bCs w:val="1"/>
                <w:color w:val="auto"/>
              </w:rPr>
              <w:t>(1)</w:t>
            </w:r>
            <w:r>
              <w:rPr>
                <w:rFonts w:ascii="Arial" w:cs="Arial" w:eastAsia="Arial" w:hAnsi="Arial"/>
                <w:sz w:val="13"/>
                <w:szCs w:val="13"/>
                <w:b w:val="1"/>
                <w:bCs w:val="1"/>
                <w:color w:val="auto"/>
              </w:rPr>
              <w:t xml:space="preserve"> at December 31,</w:t>
            </w:r>
          </w:p>
        </w:tc>
      </w:tr>
      <w:tr>
        <w:trPr>
          <w:trHeight w:val="18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2018</w:t>
            </w: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 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485,106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520,000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483,317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525,514</w:t>
            </w:r>
          </w:p>
        </w:tc>
      </w:tr>
      <w:tr>
        <w:trPr>
          <w:trHeight w:val="233"/>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Term Loan B</w:t>
            </w:r>
          </w:p>
        </w:tc>
        <w:tc>
          <w:tcPr>
            <w:tcW w:w="260" w:type="dxa"/>
            <w:vAlign w:val="bottom"/>
          </w:tcPr>
          <w:p>
            <w:pPr>
              <w:spacing w:after="0"/>
              <w:rPr>
                <w:sz w:val="20"/>
                <w:szCs w:val="20"/>
                <w:color w:val="auto"/>
              </w:rPr>
            </w:pPr>
          </w:p>
        </w:tc>
        <w:tc>
          <w:tcPr>
            <w:tcW w:w="1000" w:type="dxa"/>
            <w:vAlign w:val="bottom"/>
          </w:tcPr>
          <w:p>
            <w:pPr>
              <w:jc w:val="right"/>
              <w:ind w:right="65"/>
              <w:spacing w:after="0"/>
              <w:rPr>
                <w:sz w:val="20"/>
                <w:szCs w:val="20"/>
                <w:color w:val="auto"/>
              </w:rPr>
            </w:pPr>
            <w:r>
              <w:rPr>
                <w:rFonts w:ascii="Arial" w:cs="Arial" w:eastAsia="Arial" w:hAnsi="Arial"/>
                <w:sz w:val="16"/>
                <w:szCs w:val="16"/>
                <w:color w:val="auto"/>
              </w:rPr>
              <w:t>1,856,100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1,798,223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85"/>
              <w:spacing w:after="0"/>
              <w:rPr>
                <w:sz w:val="20"/>
                <w:szCs w:val="20"/>
                <w:color w:val="auto"/>
              </w:rPr>
            </w:pPr>
            <w:r>
              <w:rPr>
                <w:rFonts w:ascii="Arial" w:cs="Arial" w:eastAsia="Arial" w:hAnsi="Arial"/>
                <w:sz w:val="16"/>
                <w:szCs w:val="16"/>
                <w:color w:val="auto"/>
              </w:rPr>
              <w:t>1,838,741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1,856,496</w:t>
            </w:r>
          </w:p>
        </w:tc>
      </w:tr>
      <w:tr>
        <w:trPr>
          <w:trHeight w:val="25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5.375 % Senior Secured Notes Due 2023</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543,536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529,799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530,000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530,000</w:t>
            </w:r>
          </w:p>
        </w:tc>
      </w:tr>
      <w:tr>
        <w:trPr>
          <w:trHeight w:val="224"/>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5.25% Senior Secured Notes Due 2023</w:t>
            </w:r>
          </w:p>
        </w:tc>
        <w:tc>
          <w:tcPr>
            <w:tcW w:w="260" w:type="dxa"/>
            <w:vAlign w:val="bottom"/>
          </w:tcPr>
          <w:p>
            <w:pPr>
              <w:spacing w:after="0"/>
              <w:rPr>
                <w:sz w:val="19"/>
                <w:szCs w:val="19"/>
                <w:color w:val="auto"/>
              </w:rPr>
            </w:pPr>
          </w:p>
        </w:tc>
        <w:tc>
          <w:tcPr>
            <w:tcW w:w="1000" w:type="dxa"/>
            <w:vAlign w:val="bottom"/>
          </w:tcPr>
          <w:p>
            <w:pPr>
              <w:jc w:val="right"/>
              <w:ind w:right="65"/>
              <w:spacing w:after="0"/>
              <w:rPr>
                <w:sz w:val="20"/>
                <w:szCs w:val="20"/>
                <w:color w:val="auto"/>
              </w:rPr>
            </w:pPr>
            <w:r>
              <w:rPr>
                <w:rFonts w:ascii="Arial" w:cs="Arial" w:eastAsia="Arial" w:hAnsi="Arial"/>
                <w:sz w:val="16"/>
                <w:szCs w:val="16"/>
                <w:color w:val="auto"/>
              </w:rPr>
              <w:t>514,670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495,248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85"/>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500,000</w:t>
            </w:r>
          </w:p>
        </w:tc>
      </w:tr>
    </w:tbl>
    <w:p>
      <w:pPr>
        <w:spacing w:after="0" w:line="12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w:t>
      </w:r>
    </w:p>
    <w:p>
      <w:pPr>
        <w:spacing w:after="0" w:line="11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Excludes net unamortized debt issuance costs.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the first quarter of 2019, we adopted Accounting Standards Codification ("ASC") 842, Leases, which replaced the previous accounting standard. The new lease standard is a right-of-use model, requiring most lessee agreements to be recorded on the balance sheet. The intent of the standard is to provide greater transparency about lessee obligations and activities. The primary impact to our financial statements is that most operating leases are recorded on our consolidated balance sheet and enhanced disclosures are required for both operating and finance leases. As permitted by ASC 842, our accounting policy is to evaluate lessee agreements with a minimum term greater than one year for recording on the balance sheet.</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adopted the standard using the modified retrospective approach, as of January 1, 2019. Prior year's financial results were not restated. On the adoption date, we recorded a right-of-use asset for $72 million in other assets, net, with a corresponding offset to other accrued liabilities and other noncurrent liabilities for $25 million and $47 million, respectively. There was no impact to retained deficit from adoption of the new standard.</w:t>
      </w:r>
    </w:p>
    <w:p>
      <w:pPr>
        <w:sectPr>
          <w:pgSz w:w="11900" w:h="16838" w:orient="portrait"/>
          <w:cols w:equalWidth="0" w:num="1">
            <w:col w:w="11420"/>
          </w:cols>
          <w:pgMar w:left="240" w:top="1003" w:right="2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84" w:name="page85"/>
    <w:bookmarkEnd w:id="84"/>
    <w:p>
      <w:pPr>
        <w:ind w:left="500"/>
        <w:spacing w:after="0"/>
        <w:rPr>
          <w:sz w:val="20"/>
          <w:szCs w:val="20"/>
          <w:color w:val="auto"/>
        </w:rPr>
      </w:pPr>
      <w:r>
        <w:rPr>
          <w:rFonts w:ascii="Arial" w:cs="Arial" w:eastAsia="Arial" w:hAnsi="Arial"/>
          <w:sz w:val="16"/>
          <w:szCs w:val="16"/>
          <w:color w:val="auto"/>
        </w:rPr>
        <w:t>The following table presents the components of lease expense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jc w:val="center"/>
              <w:ind w:right="104"/>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78"/>
        </w:trPr>
        <w:tc>
          <w:tcPr>
            <w:tcW w:w="9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7"/>
              </w:rPr>
              <w:t>December 31, 2019</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27,035</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Finance lease cost:</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right-of-use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7,073</w:t>
            </w:r>
          </w:p>
        </w:tc>
        <w:tc>
          <w:tcPr>
            <w:tcW w:w="0" w:type="dxa"/>
            <w:vAlign w:val="bottom"/>
          </w:tcPr>
          <w:p>
            <w:pPr>
              <w:spacing w:after="0"/>
              <w:rPr>
                <w:sz w:val="1"/>
                <w:szCs w:val="1"/>
                <w:color w:val="auto"/>
              </w:rPr>
            </w:pPr>
          </w:p>
        </w:tc>
      </w:tr>
      <w:tr>
        <w:trPr>
          <w:trHeight w:val="237"/>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on lease liabilities</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finance lease cost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7,526</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6"/>
                <w:szCs w:val="16"/>
                <w:color w:val="auto"/>
              </w:rPr>
              <w:t>The following table presents supplemental cash flow information related to leases (in thousands):</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9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9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104"/>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78"/>
        </w:trPr>
        <w:tc>
          <w:tcPr>
            <w:tcW w:w="9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7"/>
              </w:rPr>
              <w:t>December 31, 2019</w:t>
            </w: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920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used in operating leases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28,374</w:t>
            </w:r>
          </w:p>
        </w:tc>
        <w:tc>
          <w:tcPr>
            <w:tcW w:w="0" w:type="dxa"/>
            <w:vAlign w:val="bottom"/>
          </w:tcPr>
          <w:p>
            <w:pPr>
              <w:spacing w:after="0"/>
              <w:rPr>
                <w:sz w:val="1"/>
                <w:szCs w:val="1"/>
                <w:color w:val="auto"/>
              </w:rPr>
            </w:pPr>
          </w:p>
        </w:tc>
      </w:tr>
      <w:tr>
        <w:trPr>
          <w:trHeight w:val="233"/>
        </w:trPr>
        <w:tc>
          <w:tcPr>
            <w:tcW w:w="9200" w:type="dxa"/>
            <w:vAlign w:val="bottom"/>
          </w:tcPr>
          <w:p>
            <w:pPr>
              <w:ind w:left="120"/>
              <w:spacing w:after="0"/>
              <w:rPr>
                <w:sz w:val="20"/>
                <w:szCs w:val="20"/>
                <w:color w:val="auto"/>
              </w:rPr>
            </w:pPr>
            <w:r>
              <w:rPr>
                <w:rFonts w:ascii="Arial" w:cs="Arial" w:eastAsia="Arial" w:hAnsi="Arial"/>
                <w:sz w:val="16"/>
                <w:szCs w:val="16"/>
                <w:color w:val="auto"/>
              </w:rPr>
              <w:t>Operating cash flows used in finance leases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84"/>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53"/>
        </w:trPr>
        <w:tc>
          <w:tcPr>
            <w:tcW w:w="9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cash flows used in finance leases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6,731</w:t>
            </w:r>
          </w:p>
        </w:tc>
        <w:tc>
          <w:tcPr>
            <w:tcW w:w="0" w:type="dxa"/>
            <w:vAlign w:val="bottom"/>
          </w:tcPr>
          <w:p>
            <w:pPr>
              <w:spacing w:after="0"/>
              <w:rPr>
                <w:sz w:val="1"/>
                <w:szCs w:val="1"/>
                <w:color w:val="auto"/>
              </w:rPr>
            </w:pPr>
          </w:p>
        </w:tc>
      </w:tr>
      <w:tr>
        <w:trPr>
          <w:trHeight w:val="233"/>
        </w:trPr>
        <w:tc>
          <w:tcPr>
            <w:tcW w:w="92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9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27,116</w:t>
            </w:r>
          </w:p>
        </w:tc>
        <w:tc>
          <w:tcPr>
            <w:tcW w:w="0" w:type="dxa"/>
            <w:vAlign w:val="bottom"/>
          </w:tcPr>
          <w:p>
            <w:pPr>
              <w:spacing w:after="0"/>
              <w:rPr>
                <w:sz w:val="1"/>
                <w:szCs w:val="1"/>
                <w:color w:val="auto"/>
              </w:rPr>
            </w:pPr>
          </w:p>
        </w:tc>
      </w:tr>
      <w:tr>
        <w:trPr>
          <w:trHeight w:val="224"/>
        </w:trPr>
        <w:tc>
          <w:tcPr>
            <w:tcW w:w="920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84"/>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567"/>
        </w:trPr>
        <w:tc>
          <w:tcPr>
            <w:tcW w:w="9200" w:type="dxa"/>
            <w:vAlign w:val="bottom"/>
          </w:tcPr>
          <w:p>
            <w:pPr>
              <w:ind w:left="500"/>
              <w:spacing w:after="0"/>
              <w:rPr>
                <w:sz w:val="20"/>
                <w:szCs w:val="20"/>
                <w:color w:val="auto"/>
              </w:rPr>
            </w:pPr>
            <w:r>
              <w:rPr>
                <w:rFonts w:ascii="Arial" w:cs="Arial" w:eastAsia="Arial" w:hAnsi="Arial"/>
                <w:sz w:val="16"/>
                <w:szCs w:val="16"/>
                <w:color w:val="auto"/>
              </w:rPr>
              <w:t>The following table presents supplemental balance sheet information related to leases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9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Year Ended 12/31/2019</w:t>
            </w:r>
          </w:p>
        </w:tc>
        <w:tc>
          <w:tcPr>
            <w:tcW w:w="0" w:type="dxa"/>
            <w:vAlign w:val="bottom"/>
          </w:tcPr>
          <w:p>
            <w:pPr>
              <w:spacing w:after="0"/>
              <w:rPr>
                <w:sz w:val="1"/>
                <w:szCs w:val="1"/>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64,191</w:t>
            </w:r>
          </w:p>
        </w:tc>
        <w:tc>
          <w:tcPr>
            <w:tcW w:w="0" w:type="dxa"/>
            <w:vAlign w:val="bottom"/>
          </w:tcPr>
          <w:p>
            <w:pPr>
              <w:spacing w:after="0"/>
              <w:rPr>
                <w:sz w:val="1"/>
                <w:szCs w:val="1"/>
                <w:color w:val="auto"/>
              </w:rPr>
            </w:pP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accrued liabilities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21,932</w:t>
            </w:r>
          </w:p>
        </w:tc>
        <w:tc>
          <w:tcPr>
            <w:tcW w:w="0" w:type="dxa"/>
            <w:vAlign w:val="bottom"/>
          </w:tcPr>
          <w:p>
            <w:pPr>
              <w:spacing w:after="0"/>
              <w:rPr>
                <w:sz w:val="1"/>
                <w:szCs w:val="1"/>
                <w:color w:val="auto"/>
              </w:rPr>
            </w:pPr>
          </w:p>
        </w:tc>
      </w:tr>
      <w:tr>
        <w:trPr>
          <w:trHeight w:val="237"/>
        </w:trPr>
        <w:tc>
          <w:tcPr>
            <w:tcW w:w="9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49,970</w:t>
            </w:r>
          </w:p>
        </w:tc>
        <w:tc>
          <w:tcPr>
            <w:tcW w:w="0" w:type="dxa"/>
            <w:vAlign w:val="bottom"/>
          </w:tcPr>
          <w:p>
            <w:pPr>
              <w:spacing w:after="0"/>
              <w:rPr>
                <w:sz w:val="1"/>
                <w:szCs w:val="1"/>
                <w:color w:val="auto"/>
              </w:rPr>
            </w:pPr>
          </w:p>
        </w:tc>
      </w:tr>
      <w:tr>
        <w:trPr>
          <w:trHeight w:val="268"/>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71,902</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Finance Leases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depreciation</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accrued liabilities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finance lease liabilities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35,349</w:t>
            </w:r>
          </w:p>
        </w:tc>
      </w:tr>
      <w:tr>
        <w:trPr>
          <w:trHeight w:val="256"/>
        </w:trPr>
        <w:tc>
          <w:tcPr>
            <w:tcW w:w="8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(27,163)</w:t>
            </w:r>
          </w:p>
        </w:tc>
      </w:tr>
      <w:tr>
        <w:trPr>
          <w:trHeight w:val="237"/>
        </w:trPr>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8,186</w:t>
            </w:r>
          </w:p>
        </w:tc>
      </w:tr>
      <w:tr>
        <w:trPr>
          <w:trHeight w:val="27"/>
        </w:trPr>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5,804</w:t>
            </w:r>
          </w:p>
        </w:tc>
      </w:tr>
      <w:tr>
        <w:trPr>
          <w:trHeight w:val="256"/>
        </w:trPr>
        <w:tc>
          <w:tcPr>
            <w:tcW w:w="8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w:t>
            </w:r>
          </w:p>
        </w:tc>
      </w:tr>
      <w:tr>
        <w:trPr>
          <w:trHeight w:val="237"/>
        </w:trPr>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5,882</w:t>
            </w:r>
          </w:p>
        </w:tc>
      </w:tr>
      <w:tr>
        <w:trPr>
          <w:trHeight w:val="27"/>
        </w:trPr>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-702310</wp:posOffset>
            </wp:positionV>
            <wp:extent cx="724662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-351155</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220"/>
          </w:cols>
          <w:pgMar w:left="240" w:top="1019" w:right="239" w:bottom="1440" w:gutter="0" w:footer="0" w:header="0"/>
          <w:type w:val="continuous"/>
        </w:sectPr>
      </w:pPr>
    </w:p>
    <w:p>
      <w:pPr>
        <w:spacing w:after="0" w:line="15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other supplemental information related to leases: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2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December 31, 2019</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 (in years)</w:t>
            </w:r>
          </w:p>
        </w:tc>
        <w:tc>
          <w:tcPr>
            <w:tcW w:w="2000" w:type="dxa"/>
            <w:vAlign w:val="bottom"/>
            <w:shd w:val="clear" w:color="auto" w:fill="CCEEFF"/>
          </w:tcPr>
          <w:p>
            <w:pPr>
              <w:spacing w:after="0"/>
              <w:rPr>
                <w:sz w:val="19"/>
                <w:szCs w:val="19"/>
                <w:color w:val="auto"/>
              </w:rPr>
            </w:pPr>
          </w:p>
        </w:tc>
      </w:tr>
      <w:tr>
        <w:trPr>
          <w:trHeight w:val="233"/>
        </w:trPr>
        <w:tc>
          <w:tcPr>
            <w:tcW w:w="942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20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3"/>
        </w:trPr>
        <w:tc>
          <w:tcPr>
            <w:tcW w:w="9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3"/>
        </w:trPr>
        <w:tc>
          <w:tcPr>
            <w:tcW w:w="94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000" w:type="dxa"/>
            <w:vAlign w:val="bottom"/>
          </w:tcPr>
          <w:p>
            <w:pPr>
              <w:spacing w:after="0"/>
              <w:rPr>
                <w:sz w:val="20"/>
                <w:szCs w:val="20"/>
                <w:color w:val="auto"/>
              </w:rPr>
            </w:pPr>
          </w:p>
        </w:tc>
      </w:tr>
      <w:tr>
        <w:trPr>
          <w:trHeight w:val="253"/>
        </w:trPr>
        <w:tc>
          <w:tcPr>
            <w:tcW w:w="9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24"/>
        </w:trPr>
        <w:tc>
          <w:tcPr>
            <w:tcW w:w="942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000" w:type="dxa"/>
            <w:vAlign w:val="bottom"/>
          </w:tcPr>
          <w:p>
            <w:pPr>
              <w:jc w:val="right"/>
              <w:spacing w:after="0"/>
              <w:rPr>
                <w:sz w:val="20"/>
                <w:szCs w:val="20"/>
                <w:color w:val="auto"/>
              </w:rPr>
            </w:pPr>
            <w:r>
              <w:rPr>
                <w:rFonts w:ascii="Arial" w:cs="Arial" w:eastAsia="Arial" w:hAnsi="Arial"/>
                <w:sz w:val="16"/>
                <w:szCs w:val="16"/>
                <w:color w:val="auto"/>
              </w:rPr>
              <w:t>4.9 %</w:t>
            </w:r>
          </w:p>
        </w:tc>
      </w:tr>
    </w:tbl>
    <w:p>
      <w:pPr>
        <w:spacing w:after="0" w:line="200" w:lineRule="exact"/>
        <w:rPr>
          <w:sz w:val="20"/>
          <w:szCs w:val="20"/>
          <w:color w:val="auto"/>
        </w:rPr>
      </w:pPr>
    </w:p>
    <w:p>
      <w:pPr>
        <w:sectPr>
          <w:pgSz w:w="11900" w:h="16838" w:orient="portrait"/>
          <w:cols w:equalWidth="0" w:num="1">
            <w:col w:w="11420"/>
          </w:cols>
          <w:pgMar w:left="240" w:top="1019"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Lease Commitments</w:t>
      </w:r>
    </w:p>
    <w:p>
      <w:pPr>
        <w:spacing w:after="0" w:line="376"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lease certain facilities under long term operating leases.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 line basis over the term of the lease. We lease approximately 1.6 million square feet of office space in 93 locations in 48 countries. For the years ended December 31, 2019, 2018 and 2017, we recognized rent expense of $29 million, $30 million and $32 million, respectively.</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leases have remaining minimum terms that range between one and nine years. Some of our leases include options to extend for up to five additional years; others include options to terminate the agreement within three years. Future minimum lease payments under non-cancellable leases as of December 31, 2019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4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5"/>
                <w:szCs w:val="15"/>
                <w:color w:val="auto"/>
              </w:rPr>
            </w:pPr>
          </w:p>
        </w:tc>
        <w:tc>
          <w:tcPr>
            <w:tcW w:w="1420" w:type="dxa"/>
            <w:vAlign w:val="bottom"/>
          </w:tcPr>
          <w:p>
            <w:pPr>
              <w:jc w:val="right"/>
              <w:ind w:right="281"/>
              <w:spacing w:after="0"/>
              <w:rPr>
                <w:sz w:val="20"/>
                <w:szCs w:val="20"/>
                <w:color w:val="auto"/>
              </w:rPr>
            </w:pPr>
            <w:r>
              <w:rPr>
                <w:rFonts w:ascii="Arial" w:cs="Arial" w:eastAsia="Arial" w:hAnsi="Arial"/>
                <w:sz w:val="13"/>
                <w:szCs w:val="13"/>
                <w:b w:val="1"/>
                <w:bCs w:val="1"/>
                <w:color w:val="auto"/>
              </w:rPr>
              <w:t>Finance Leases</w:t>
            </w:r>
          </w:p>
        </w:tc>
      </w:tr>
      <w:tr>
        <w:trPr>
          <w:trHeight w:val="243"/>
        </w:trPr>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22,461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5,896</w:t>
            </w:r>
          </w:p>
        </w:tc>
      </w:tr>
      <w:tr>
        <w:trPr>
          <w:trHeight w:val="233"/>
        </w:trPr>
        <w:tc>
          <w:tcPr>
            <w:tcW w:w="77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16,679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108</w:t>
            </w:r>
          </w:p>
        </w:tc>
      </w:tr>
      <w:tr>
        <w:trPr>
          <w:trHeight w:val="25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13,319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r>
      <w:tr>
        <w:trPr>
          <w:trHeight w:val="233"/>
        </w:trPr>
        <w:tc>
          <w:tcPr>
            <w:tcW w:w="776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9,992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6</w:t>
            </w:r>
          </w:p>
        </w:tc>
      </w:tr>
      <w:tr>
        <w:trPr>
          <w:trHeight w:val="25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8,569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11,899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r>
      <w:tr>
        <w:trPr>
          <w:trHeight w:val="243"/>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82,919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6,022</w:t>
            </w:r>
          </w:p>
        </w:tc>
      </w:tr>
      <w:tr>
        <w:trPr>
          <w:trHeight w:val="237"/>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Imputed Interest</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(11,017)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(140)</w:t>
            </w:r>
          </w:p>
        </w:tc>
      </w:tr>
      <w:tr>
        <w:trPr>
          <w:trHeight w:val="268"/>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71,902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5,882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addition to the above, as of December 31, 2019, we have entered into an additional operating lease with future lease payments of $39 million that will commence in 2020 with a lease term of 10 years.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 and Stockholders’ Equity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Secondary Public Offerings and Share Repurchases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During the year ended December 31, 2018, certain of our stockholders sold an aggregate of 69,304,636 shares of our common stock through secondary public offerings. We did not offer any shares or receive any proceeds from these secondary public offerings. Following the secondary public offering of approximately 23,304,636 shares of common stock during the fourth quarter of 2018, existing stockholders affiliated with TPG and Silver Lake no longer held any shares of our common stock.</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February 2017, we announced the approval of a multi-year share repurchase program to purchase up to $500 million of Sabre's common stock outstanding. Repurchases under the program may take place in the open market or privately negotiated transactions. We repurchased 3,673,768 shares totaling $78 million, 1,075,255 shares totaling $26 million, and 5,779,769 shares totaling $109 million of our common stock during the years ended December 31, 2019, 2018, and 2017, respectively.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Common Stock Dividends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paid a quarterly cash dividend on our common stock of $0.14 per share, totaling $154 million, $0.14 per share, totaling $154 million, and $0.14 per share, totaling $155 million, during the years ended December 31, 2019, 2018 and 2017, respectively.</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board of directors has declared a cash dividend of $0.14 per share of our common stock, which will be paid on March 30, 2020 to stockholders of record as of March 20, 2020.</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Equity-Based Awards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As of December 31, 2019, our outstanding equity-based compensation plans and agreements include the Sovereign Holdings, Inc. Management Equity Incentive Plan (“Sovereign MEIP”), the Sovereign Holdings, Inc. 2012 Management Equity Incentive Plan (“Sovereign 2012 MEIP”), the Sabre Corporation 2014 Omnibus Incentive Compensation Plan (the “2014 Omnibus Plan”), the Sabre Corporation 2016 Omnibus Incentive Compensation Plan (the “2016 Omnibus Plan”), the Sabre Corporation 2019 Omnibus Incentive Compensation Plan ("the 2019 Omnibus Plan"), and the 2019 Director Equity Compensation Plan ("2019 Director Plan"). Our 2019 Omnibus Plan serves as a successor to the 2016 Omnibus Plan, the 2014 Omnibus Plan, the Sovereign MEIP and Sovereign 2012 MEIP and provides for the issuance of stock options, restricted shares, restricted stock units (“RSUs”), performance-based RSU awards (“PSUs”), cash incentive compensation and other stock-based awards. Our 2019 Director Plan provides for the issuance of RSUs, Deferred Stock Units ("DSUs"), and stock options to non-employee Directors. Outstanding awards under the 2016 Omnibus Plan, the 2014 Omnibus Plan, the Sovereign MEIP and Sovereign 2012 MEIP continue to be subject to the terms and conditions of their respective plan.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6" w:name="page87"/>
    <w:bookmarkEnd w:id="86"/>
    <w:p>
      <w:pPr>
        <w:jc w:val="both"/>
        <w:ind w:firstLine="486"/>
        <w:spacing w:after="0" w:line="248" w:lineRule="auto"/>
        <w:rPr>
          <w:sz w:val="20"/>
          <w:szCs w:val="20"/>
          <w:color w:val="auto"/>
        </w:rPr>
      </w:pPr>
      <w:r>
        <w:rPr>
          <w:rFonts w:ascii="Arial" w:cs="Arial" w:eastAsia="Arial" w:hAnsi="Arial"/>
          <w:sz w:val="16"/>
          <w:szCs w:val="16"/>
          <w:color w:val="auto"/>
        </w:rPr>
        <w:t>We initially reserved 12,500,000 shares of our common stock for issuance under our 2019 Omnibus Plan and 500,000 shares of our common stock for issuance under our 2019 Director Plan. We added 6,720,911 shares that were reserved but not issued under the Sovereign MEIP, Sovereign 2012 MEIP, 2014 Omnibus, and 2016 Omnibus Plans to the 2019 Omnibus Plan reserves, for a total of 19,220,911 authorized shares of common stock for issuance. Time-based options granted under the 2019, 2016, and 2014 Omnibus Plans generally vest over a four year period with 25% vesting at the end of year one and the remaining vesting quarterly thereafter. RSUs generally vest over a four year period with 25% vesting annually. PSUs generally vest over a four year period with 25% vesting annually dependent upon the achievement of certain company-based performance measures. Each reporting period, we assess the probability of achieving the performance measure and, if there is an adjustment, record the cumulative effect of the adjustment in the current reporting period. Options granted are exercisable for up to 10 years. Stock-based compensation expense totaled $67 million, $57 million and $45 million for the years ended December 31, 2019, 2018 and 2017, respectively.</w:t>
      </w:r>
    </w:p>
    <w:p>
      <w:pPr>
        <w:spacing w:after="0" w:line="9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fair value of the stock options granted was estimated at the date of grant using the Black-Scholes option pricing model with the following weighted-average assumptions: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2017</w:t>
            </w: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21.37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22.89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21.33</w:t>
            </w:r>
          </w:p>
        </w:tc>
      </w:tr>
      <w:tr>
        <w:trPr>
          <w:trHeight w:val="233"/>
        </w:trPr>
        <w:tc>
          <w:tcPr>
            <w:tcW w:w="6980" w:type="dxa"/>
            <w:vAlign w:val="bottom"/>
          </w:tcPr>
          <w:p>
            <w:pPr>
              <w:spacing w:after="0"/>
              <w:rPr>
                <w:sz w:val="20"/>
                <w:szCs w:val="20"/>
                <w:color w:val="auto"/>
              </w:rPr>
            </w:pPr>
            <w:r>
              <w:rPr>
                <w:rFonts w:ascii="Arial" w:cs="Arial" w:eastAsia="Arial" w:hAnsi="Arial"/>
                <w:sz w:val="16"/>
                <w:szCs w:val="16"/>
                <w:color w:val="auto"/>
              </w:rPr>
              <w:t>Average risk-free interest rate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53"/>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33"/>
        </w:trPr>
        <w:tc>
          <w:tcPr>
            <w:tcW w:w="6980" w:type="dxa"/>
            <w:vAlign w:val="bottom"/>
          </w:tcPr>
          <w:p>
            <w:pPr>
              <w:spacing w:after="0"/>
              <w:rPr>
                <w:sz w:val="20"/>
                <w:szCs w:val="20"/>
                <w:color w:val="auto"/>
              </w:rPr>
            </w:pPr>
            <w:r>
              <w:rPr>
                <w:rFonts w:ascii="Arial" w:cs="Arial" w:eastAsia="Arial" w:hAnsi="Arial"/>
                <w:sz w:val="16"/>
                <w:szCs w:val="16"/>
                <w:color w:val="auto"/>
              </w:rPr>
              <w:t>Implied volatility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23.17 %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22.02 %</w:t>
            </w:r>
          </w:p>
        </w:tc>
      </w:tr>
      <w:tr>
        <w:trPr>
          <w:trHeight w:val="253"/>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r>
    </w:tbl>
    <w:p>
      <w:pPr>
        <w:spacing w:after="0" w:line="200" w:lineRule="exact"/>
        <w:rPr>
          <w:sz w:val="20"/>
          <w:szCs w:val="20"/>
          <w:color w:val="auto"/>
        </w:rPr>
      </w:pPr>
    </w:p>
    <w:p>
      <w:pPr>
        <w:spacing w:after="0" w:line="261" w:lineRule="exact"/>
        <w:rPr>
          <w:sz w:val="20"/>
          <w:szCs w:val="20"/>
          <w:color w:val="auto"/>
        </w:rPr>
      </w:pPr>
    </w:p>
    <w:p>
      <w:pPr>
        <w:ind w:right="180" w:firstLine="486"/>
        <w:spacing w:after="0" w:line="260" w:lineRule="auto"/>
        <w:rPr>
          <w:sz w:val="20"/>
          <w:szCs w:val="20"/>
          <w:color w:val="auto"/>
        </w:rPr>
      </w:pPr>
      <w:r>
        <w:rPr>
          <w:rFonts w:ascii="Arial" w:cs="Arial" w:eastAsia="Arial" w:hAnsi="Arial"/>
          <w:sz w:val="16"/>
          <w:szCs w:val="16"/>
          <w:color w:val="auto"/>
        </w:rPr>
        <w:t>The following table summarizes the stock option award activities under our outstanding equity based compensation plans and agreements for the year ended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Weighted-Average</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6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left="197"/>
              <w:spacing w:after="0" w:line="122" w:lineRule="exact"/>
              <w:rPr>
                <w:sz w:val="20"/>
                <w:szCs w:val="20"/>
                <w:color w:val="auto"/>
              </w:rPr>
            </w:pPr>
            <w:r>
              <w:rPr>
                <w:rFonts w:ascii="Arial" w:cs="Arial" w:eastAsia="Arial" w:hAnsi="Arial"/>
                <w:sz w:val="13"/>
                <w:szCs w:val="13"/>
                <w:b w:val="1"/>
                <w:bCs w:val="1"/>
                <w:color w:val="auto"/>
                <w:w w:val="96"/>
              </w:rPr>
              <w:t>Remaining</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jc w:val="center"/>
              <w:ind w:right="148"/>
              <w:spacing w:after="0" w:line="122"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640" w:type="dxa"/>
            <w:vAlign w:val="bottom"/>
          </w:tcPr>
          <w:p>
            <w:pPr>
              <w:spacing w:after="0"/>
              <w:rPr>
                <w:sz w:val="10"/>
                <w:szCs w:val="10"/>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Exercise Price</w:t>
            </w:r>
          </w:p>
        </w:tc>
        <w:tc>
          <w:tcPr>
            <w:tcW w:w="98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jc w:val="center"/>
              <w:ind w:right="148"/>
              <w:spacing w:after="0" w:line="122" w:lineRule="exact"/>
              <w:rPr>
                <w:sz w:val="20"/>
                <w:szCs w:val="20"/>
                <w:color w:val="auto"/>
              </w:rPr>
            </w:pPr>
            <w:r>
              <w:rPr>
                <w:rFonts w:ascii="Arial" w:cs="Arial" w:eastAsia="Arial" w:hAnsi="Arial"/>
                <w:sz w:val="13"/>
                <w:szCs w:val="13"/>
                <w:b w:val="1"/>
                <w:bCs w:val="1"/>
                <w:color w:val="auto"/>
                <w:w w:val="96"/>
              </w:rPr>
              <w:t>Intrinsic Value</w:t>
            </w:r>
          </w:p>
        </w:tc>
        <w:tc>
          <w:tcPr>
            <w:tcW w:w="0" w:type="dxa"/>
            <w:vAlign w:val="bottom"/>
          </w:tcPr>
          <w:p>
            <w:pPr>
              <w:spacing w:after="0"/>
              <w:rPr>
                <w:sz w:val="1"/>
                <w:szCs w:val="1"/>
                <w:color w:val="auto"/>
              </w:rPr>
            </w:pPr>
          </w:p>
        </w:tc>
      </w:tr>
      <w:tr>
        <w:trPr>
          <w:trHeight w:val="172"/>
        </w:trPr>
        <w:tc>
          <w:tcPr>
            <w:tcW w:w="56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80" w:type="dxa"/>
            <w:vAlign w:val="bottom"/>
          </w:tcPr>
          <w:p>
            <w:pPr>
              <w:jc w:val="center"/>
              <w:ind w:left="177"/>
              <w:spacing w:after="0"/>
              <w:rPr>
                <w:sz w:val="20"/>
                <w:szCs w:val="20"/>
                <w:color w:val="auto"/>
              </w:rPr>
            </w:pPr>
            <w:r>
              <w:rPr>
                <w:rFonts w:ascii="Arial" w:cs="Arial" w:eastAsia="Arial" w:hAnsi="Arial"/>
                <w:sz w:val="13"/>
                <w:szCs w:val="13"/>
                <w:b w:val="1"/>
                <w:bCs w:val="1"/>
                <w:color w:val="auto"/>
                <w:w w:val="94"/>
              </w:rPr>
              <w:t>Term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8"/>
              <w:spacing w:after="0"/>
              <w:rPr>
                <w:sz w:val="20"/>
                <w:szCs w:val="20"/>
                <w:color w:val="auto"/>
              </w:rPr>
            </w:pPr>
            <w:r>
              <w:rPr>
                <w:rFonts w:ascii="Arial" w:cs="Arial" w:eastAsia="Arial" w:hAnsi="Arial"/>
                <w:sz w:val="13"/>
                <w:szCs w:val="13"/>
                <w:b w:val="1"/>
                <w:bCs w:val="1"/>
                <w:color w:val="auto"/>
                <w:w w:val="99"/>
              </w:rPr>
              <w:t xml:space="preserve">(in thousands) </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24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2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4,197,243</w:t>
            </w: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20.80</w:t>
            </w: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9,257</w:t>
            </w:r>
          </w:p>
        </w:tc>
        <w:tc>
          <w:tcPr>
            <w:tcW w:w="0" w:type="dxa"/>
            <w:vAlign w:val="bottom"/>
          </w:tcPr>
          <w:p>
            <w:pPr>
              <w:spacing w:after="0"/>
              <w:rPr>
                <w:sz w:val="1"/>
                <w:szCs w:val="1"/>
                <w:color w:val="auto"/>
              </w:rPr>
            </w:pPr>
          </w:p>
        </w:tc>
      </w:tr>
      <w:tr>
        <w:trPr>
          <w:trHeight w:val="233"/>
        </w:trPr>
        <w:tc>
          <w:tcPr>
            <w:tcW w:w="56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220" w:type="dxa"/>
            <w:vAlign w:val="bottom"/>
          </w:tcPr>
          <w:p>
            <w:pPr>
              <w:ind w:left="360"/>
              <w:spacing w:after="0"/>
              <w:rPr>
                <w:sz w:val="20"/>
                <w:szCs w:val="20"/>
                <w:color w:val="auto"/>
              </w:rPr>
            </w:pPr>
            <w:r>
              <w:rPr>
                <w:rFonts w:ascii="Arial" w:cs="Arial" w:eastAsia="Arial" w:hAnsi="Arial"/>
                <w:sz w:val="16"/>
                <w:szCs w:val="16"/>
                <w:color w:val="auto"/>
              </w:rPr>
              <w:t>1,288,430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(492,061)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Cancelled</w:t>
            </w: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(515,246)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21.87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4,478,366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6"/>
                <w:szCs w:val="16"/>
                <w:color w:val="auto"/>
              </w:rPr>
              <w:t>Vested and exercisable at December 31, 2019</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2,201,768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color w:val="auto"/>
              </w:rPr>
              <w:t>5,832</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11" w:lineRule="exact"/>
        <w:rPr>
          <w:sz w:val="20"/>
          <w:szCs w:val="20"/>
          <w:color w:val="auto"/>
        </w:rPr>
      </w:pPr>
    </w:p>
    <w:p>
      <w:pPr>
        <w:ind w:left="340" w:right="460" w:hanging="332"/>
        <w:spacing w:after="0" w:line="258"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Aggregate intrinsic value is calculated as the difference between the exercise price of the underlying stock options awards and the closing price of our common stock of $22.44 on December 31, 2019.</w:t>
      </w:r>
    </w:p>
    <w:p>
      <w:pPr>
        <w:spacing w:after="0" w:line="19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For the years ended December 31, 2019, 2018 and 2017, the total intrinsic value of stock options exercised totaled $4 million, $6 million and $19 million, respectively. The weighted-average fair values of options granted were $4.55, $4.58, and $3.67 during the years ended December 31, 2019, 2018 and 2017, respectively. As of December 31, 2019, $9 million in unrecognized compensation expense associated with stock options will be recognized over a weighted-average period of 2.7 years.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activities for our RSUs for the year ended December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2"/>
        </w:trPr>
        <w:tc>
          <w:tcPr>
            <w:tcW w:w="7980" w:type="dxa"/>
            <w:vAlign w:val="bottom"/>
          </w:tcPr>
          <w:p>
            <w:pPr>
              <w:spacing w:after="0"/>
              <w:rPr>
                <w:sz w:val="10"/>
                <w:szCs w:val="10"/>
                <w:color w:val="auto"/>
              </w:rPr>
            </w:pPr>
          </w:p>
        </w:tc>
        <w:tc>
          <w:tcPr>
            <w:tcW w:w="164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Quantity</w:t>
            </w:r>
          </w:p>
        </w:tc>
        <w:tc>
          <w:tcPr>
            <w:tcW w:w="220" w:type="dxa"/>
            <w:vAlign w:val="bottom"/>
          </w:tcPr>
          <w:p>
            <w:pPr>
              <w:spacing w:after="0"/>
              <w:rPr>
                <w:sz w:val="10"/>
                <w:szCs w:val="10"/>
                <w:color w:val="auto"/>
              </w:rPr>
            </w:pPr>
          </w:p>
        </w:tc>
        <w:tc>
          <w:tcPr>
            <w:tcW w:w="1540" w:type="dxa"/>
            <w:vAlign w:val="bottom"/>
          </w:tcPr>
          <w:p>
            <w:pPr>
              <w:jc w:val="center"/>
              <w:ind w:right="146"/>
              <w:spacing w:after="0" w:line="12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2"/>
        </w:trPr>
        <w:tc>
          <w:tcPr>
            <w:tcW w:w="79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4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2018</w:t>
            </w:r>
          </w:p>
        </w:tc>
        <w:tc>
          <w:tcPr>
            <w:tcW w:w="15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5,612,887</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33"/>
        </w:trPr>
        <w:tc>
          <w:tcPr>
            <w:tcW w:w="79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3,426,800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86"/>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(1,948,707)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Cancelled</w:t>
            </w:r>
          </w:p>
        </w:tc>
        <w:tc>
          <w:tcPr>
            <w:tcW w:w="15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(725,400)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6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2019</w:t>
            </w:r>
          </w:p>
        </w:tc>
        <w:tc>
          <w:tcPr>
            <w:tcW w:w="15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6,365,580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total fair value of RSUs vested, as of their respective vesting dates, was $47 million, $30 million, and $23 million during the years ended December 31, 2019, 2018 and 2017, respectively. As of December 31, 2019, approximately $101 million in unrecognized compensation expense associated with RSUs will be recognized over a weighted average period of 2.6 years.</w:t>
      </w:r>
    </w:p>
    <w:p>
      <w:pPr>
        <w:sectPr>
          <w:pgSz w:w="11900" w:h="16838" w:orient="portrait"/>
          <w:cols w:equalWidth="0" w:num="1">
            <w:col w:w="11420"/>
          </w:cols>
          <w:pgMar w:left="240" w:top="1019" w:right="2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type w:val="continuous"/>
        </w:sectPr>
      </w:pPr>
    </w:p>
    <w:bookmarkStart w:id="87" w:name="page88"/>
    <w:bookmarkEnd w:id="87"/>
    <w:p>
      <w:pPr>
        <w:ind w:left="500"/>
        <w:spacing w:after="0"/>
        <w:rPr>
          <w:sz w:val="20"/>
          <w:szCs w:val="20"/>
          <w:color w:val="auto"/>
        </w:rPr>
      </w:pPr>
      <w:r>
        <w:rPr>
          <w:rFonts w:ascii="Arial" w:cs="Arial" w:eastAsia="Arial" w:hAnsi="Arial"/>
          <w:sz w:val="16"/>
          <w:szCs w:val="16"/>
          <w:color w:val="auto"/>
        </w:rPr>
        <w:t>The following table summarizes the activities for our PSUs for the year ended December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2"/>
        </w:trPr>
        <w:tc>
          <w:tcPr>
            <w:tcW w:w="7980" w:type="dxa"/>
            <w:vAlign w:val="bottom"/>
          </w:tcPr>
          <w:p>
            <w:pPr>
              <w:spacing w:after="0"/>
              <w:rPr>
                <w:sz w:val="10"/>
                <w:szCs w:val="10"/>
                <w:color w:val="auto"/>
              </w:rPr>
            </w:pPr>
          </w:p>
        </w:tc>
        <w:tc>
          <w:tcPr>
            <w:tcW w:w="164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Quantity</w:t>
            </w:r>
          </w:p>
        </w:tc>
        <w:tc>
          <w:tcPr>
            <w:tcW w:w="220" w:type="dxa"/>
            <w:vAlign w:val="bottom"/>
          </w:tcPr>
          <w:p>
            <w:pPr>
              <w:spacing w:after="0"/>
              <w:rPr>
                <w:sz w:val="10"/>
                <w:szCs w:val="10"/>
                <w:color w:val="auto"/>
              </w:rPr>
            </w:pPr>
          </w:p>
        </w:tc>
        <w:tc>
          <w:tcPr>
            <w:tcW w:w="1540" w:type="dxa"/>
            <w:vAlign w:val="bottom"/>
          </w:tcPr>
          <w:p>
            <w:pPr>
              <w:jc w:val="center"/>
              <w:ind w:right="146"/>
              <w:spacing w:after="0" w:line="12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2"/>
        </w:trPr>
        <w:tc>
          <w:tcPr>
            <w:tcW w:w="79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4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2018</w:t>
            </w:r>
          </w:p>
        </w:tc>
        <w:tc>
          <w:tcPr>
            <w:tcW w:w="15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1,718,770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33"/>
        </w:trPr>
        <w:tc>
          <w:tcPr>
            <w:tcW w:w="79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1,210,331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86"/>
              <w:spacing w:after="0"/>
              <w:rPr>
                <w:sz w:val="20"/>
                <w:szCs w:val="20"/>
                <w:color w:val="auto"/>
              </w:rPr>
            </w:pPr>
            <w:r>
              <w:rPr>
                <w:rFonts w:ascii="Arial" w:cs="Arial" w:eastAsia="Arial" w:hAnsi="Arial"/>
                <w:sz w:val="16"/>
                <w:szCs w:val="16"/>
                <w:color w:val="auto"/>
              </w:rPr>
              <w:t>21.36</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(508,168)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Cancelled</w:t>
            </w:r>
          </w:p>
        </w:tc>
        <w:tc>
          <w:tcPr>
            <w:tcW w:w="15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(331,428)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6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2019</w:t>
            </w:r>
          </w:p>
        </w:tc>
        <w:tc>
          <w:tcPr>
            <w:tcW w:w="15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2,089,505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total fair value of PSUs vested, as of their respective vesting dates, was $11 million, $9 million and $14 million during the years ended December 31, 2019, 2018 and 2017, respectively. The recognition of compensation expense associated with PSUs is contingent upon the achievement of annual company-based performance measures. As of December 31, 2019, unrecognized compensation expense associated with PSUs totaled $14 million, $12 million and $6 million for the annual measurement periods ending December 31, 2020, 2021 and 2022,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expect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37"/>
        </w:trPr>
        <w:tc>
          <w:tcPr>
            <w:tcW w:w="7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3"/>
        </w:trPr>
        <w:tc>
          <w:tcPr>
            <w:tcW w:w="7160" w:type="dxa"/>
            <w:vAlign w:val="bottom"/>
          </w:tcPr>
          <w:p>
            <w:pPr>
              <w:ind w:left="26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164,312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340,921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249,576</w:t>
            </w:r>
          </w:p>
        </w:tc>
      </w:tr>
      <w:tr>
        <w:trPr>
          <w:trHeight w:val="246"/>
        </w:trPr>
        <w:tc>
          <w:tcPr>
            <w:tcW w:w="7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5,129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5,113</w:t>
            </w:r>
          </w:p>
        </w:tc>
      </w:tr>
      <w:tr>
        <w:trPr>
          <w:trHeight w:val="243"/>
        </w:trPr>
        <w:tc>
          <w:tcPr>
            <w:tcW w:w="7160" w:type="dxa"/>
            <w:vAlign w:val="bottom"/>
          </w:tcPr>
          <w:p>
            <w:pPr>
              <w:ind w:left="420"/>
              <w:spacing w:after="0"/>
              <w:rPr>
                <w:sz w:val="20"/>
                <w:szCs w:val="20"/>
                <w:color w:val="auto"/>
              </w:rPr>
            </w:pPr>
            <w:r>
              <w:rPr>
                <w:rFonts w:ascii="Arial" w:cs="Arial" w:eastAsia="Arial" w:hAnsi="Arial"/>
                <w:sz w:val="16"/>
                <w:szCs w:val="16"/>
                <w:color w:val="auto"/>
              </w:rPr>
              <w:t>Net income from continuing operations available to common stockholders, basic and 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160,358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335,792</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244,463</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3"/>
        </w:trPr>
        <w:tc>
          <w:tcPr>
            <w:tcW w:w="7160" w:type="dxa"/>
            <w:vAlign w:val="bottom"/>
          </w:tcPr>
          <w:p>
            <w:pPr>
              <w:ind w:left="260"/>
              <w:spacing w:after="0"/>
              <w:rPr>
                <w:sz w:val="20"/>
                <w:szCs w:val="20"/>
                <w:color w:val="auto"/>
              </w:rPr>
            </w:pPr>
            <w:r>
              <w:rPr>
                <w:rFonts w:ascii="Arial" w:cs="Arial" w:eastAsia="Arial" w:hAnsi="Arial"/>
                <w:sz w:val="16"/>
                <w:szCs w:val="16"/>
                <w:color w:val="auto"/>
              </w:rPr>
              <w:t>Basic weighted-average common shares outstanding</w:t>
            </w: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274,168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275,235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276,893</w:t>
            </w:r>
          </w:p>
        </w:tc>
      </w:tr>
      <w:tr>
        <w:trPr>
          <w:trHeight w:val="246"/>
        </w:trPr>
        <w:tc>
          <w:tcPr>
            <w:tcW w:w="7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 Dilutive effect of stock options and restricted stock awards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2,049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1,427</w:t>
            </w:r>
          </w:p>
        </w:tc>
      </w:tr>
      <w:tr>
        <w:trPr>
          <w:trHeight w:val="243"/>
        </w:trPr>
        <w:tc>
          <w:tcPr>
            <w:tcW w:w="7160" w:type="dxa"/>
            <w:vAlign w:val="bottom"/>
          </w:tcPr>
          <w:p>
            <w:pPr>
              <w:ind w:left="460"/>
              <w:spacing w:after="0"/>
              <w:rPr>
                <w:sz w:val="20"/>
                <w:szCs w:val="20"/>
                <w:color w:val="auto"/>
              </w:rPr>
            </w:pPr>
            <w:r>
              <w:rPr>
                <w:rFonts w:ascii="Arial" w:cs="Arial" w:eastAsia="Arial" w:hAnsi="Arial"/>
                <w:sz w:val="16"/>
                <w:szCs w:val="16"/>
                <w:color w:val="auto"/>
              </w:rPr>
              <w:t>Diluted weighted-average common shares outstanding</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276,217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277,518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278,320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from continuing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0.58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0.88</w:t>
            </w: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0.58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0.88</w:t>
            </w:r>
          </w:p>
        </w:tc>
      </w:tr>
    </w:tbl>
    <w:p>
      <w:pPr>
        <w:spacing w:after="0" w:line="21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Basic earnings per share are based on the weighted-average number of common shares outstanding during each period. Diluted earnings per share are based on the weighted-average number of common shares outstanding plus the effect of all dilutive common stock equivalents during each period. The calculation of diluted weighted-average shares excludes the impact of 3 million, 3 million and 5 million of anti-dilutive common stock equivalents for the years ended December 31, 2019</w:t>
      </w:r>
      <w:r>
        <w:rPr>
          <w:rFonts w:ascii="Arial" w:cs="Arial" w:eastAsia="Arial" w:hAnsi="Arial"/>
          <w:sz w:val="18"/>
          <w:szCs w:val="18"/>
          <w:color w:val="auto"/>
        </w:rPr>
        <w:t>,</w:t>
      </w:r>
      <w:r>
        <w:rPr>
          <w:rFonts w:ascii="Arial" w:cs="Arial" w:eastAsia="Arial" w:hAnsi="Arial"/>
          <w:sz w:val="16"/>
          <w:szCs w:val="16"/>
          <w:color w:val="auto"/>
        </w:rPr>
        <w:t xml:space="preserve"> 2018 and 2017,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Pension and Other Postretirement Benefit Plans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sponsor the Sabre Inc. 401(k) Savings Plan (“401(k) Plan”), which is a tax qualified defined contribution plan that allows tax deferred savings by eligible employees to provide funds for their retirement. We make a matching contribution equal to 100% of each pre-tax dollar contributed by the participant on the first 6% of eligible compensation. We recognized expenses related to the 401(k) Plan of approximately $23 million, $22 million and $25 million for the years ended December 31, 2019, 2018 and 2017, respectively.</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sponsor the Sabre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other jurisdictions.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7" w:right="239" w:bottom="1440" w:gutter="0" w:footer="0" w:header="0"/>
        </w:sectPr>
      </w:pPr>
    </w:p>
    <w:bookmarkStart w:id="88" w:name="page89"/>
    <w:bookmarkEnd w:id="88"/>
    <w:p>
      <w:pPr>
        <w:ind w:left="500"/>
        <w:spacing w:after="0"/>
        <w:rPr>
          <w:sz w:val="20"/>
          <w:szCs w:val="20"/>
          <w:color w:val="auto"/>
        </w:rPr>
      </w:pPr>
      <w:r>
        <w:rPr>
          <w:rFonts w:ascii="Arial" w:cs="Arial" w:eastAsia="Arial" w:hAnsi="Arial"/>
          <w:sz w:val="16"/>
          <w:szCs w:val="16"/>
          <w:color w:val="auto"/>
        </w:rPr>
        <w:t>The following tables provide a reconciliation of the changes in the LPP’s benefit obligations and fair value of assets during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2018, and the unfunded status as of December 31, 2019 and 2018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3"/>
                <w:szCs w:val="13"/>
                <w:b w:val="1"/>
                <w:bCs w:val="1"/>
                <w:color w:val="auto"/>
              </w:rPr>
              <w:t>Year Ended December 31,</w:t>
            </w:r>
          </w:p>
        </w:tc>
      </w:tr>
      <w:tr>
        <w:trPr>
          <w:trHeight w:val="223"/>
        </w:trPr>
        <w:tc>
          <w:tcPr>
            <w:tcW w:w="8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30"/>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Change in benefit obligation: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8160" w:type="dxa"/>
            <w:vAlign w:val="bottom"/>
          </w:tcPr>
          <w:p>
            <w:pPr>
              <w:ind w:left="160"/>
              <w:spacing w:after="0"/>
              <w:rPr>
                <w:sz w:val="20"/>
                <w:szCs w:val="20"/>
                <w:color w:val="auto"/>
              </w:rPr>
            </w:pPr>
            <w:r>
              <w:rPr>
                <w:rFonts w:ascii="Arial" w:cs="Arial" w:eastAsia="Arial" w:hAnsi="Arial"/>
                <w:sz w:val="16"/>
                <w:szCs w:val="16"/>
                <w:color w:val="auto"/>
              </w:rPr>
              <w:t>Benefit obligation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(428,216)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(459,439)</w:t>
            </w:r>
          </w:p>
        </w:tc>
      </w:tr>
      <w:tr>
        <w:trPr>
          <w:trHeight w:val="253"/>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cost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(18,324)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(17,090)</w:t>
            </w:r>
          </w:p>
        </w:tc>
      </w:tr>
      <w:tr>
        <w:trPr>
          <w:trHeight w:val="233"/>
        </w:trPr>
        <w:tc>
          <w:tcPr>
            <w:tcW w:w="8160" w:type="dxa"/>
            <w:vAlign w:val="bottom"/>
          </w:tcPr>
          <w:p>
            <w:pPr>
              <w:ind w:left="340"/>
              <w:spacing w:after="0"/>
              <w:rPr>
                <w:sz w:val="20"/>
                <w:szCs w:val="20"/>
                <w:color w:val="auto"/>
              </w:rPr>
            </w:pPr>
            <w:r>
              <w:rPr>
                <w:rFonts w:ascii="Arial" w:cs="Arial" w:eastAsia="Arial" w:hAnsi="Arial"/>
                <w:sz w:val="16"/>
                <w:szCs w:val="16"/>
                <w:color w:val="auto"/>
              </w:rPr>
              <w:t>Actuarial (loss) gain, net</w:t>
            </w:r>
          </w:p>
        </w:tc>
        <w:tc>
          <w:tcPr>
            <w:tcW w:w="3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(47,632)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18,529</w:t>
            </w:r>
          </w:p>
        </w:tc>
      </w:tr>
      <w:tr>
        <w:trPr>
          <w:trHeight w:val="253"/>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30,736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29,784</w:t>
            </w:r>
          </w:p>
        </w:tc>
      </w:tr>
      <w:tr>
        <w:trPr>
          <w:trHeight w:val="230"/>
        </w:trPr>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Benefit obligation at December 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(463,436)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(428,216)</w:t>
            </w:r>
          </w:p>
        </w:tc>
      </w:tr>
      <w:tr>
        <w:trPr>
          <w:trHeight w:val="230"/>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Change in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8160" w:type="dxa"/>
            <w:vAlign w:val="bottom"/>
          </w:tcPr>
          <w:p>
            <w:pPr>
              <w:ind w:left="160"/>
              <w:spacing w:after="0"/>
              <w:rPr>
                <w:sz w:val="20"/>
                <w:szCs w:val="20"/>
                <w:color w:val="auto"/>
              </w:rPr>
            </w:pPr>
            <w:r>
              <w:rPr>
                <w:rFonts w:ascii="Arial" w:cs="Arial" w:eastAsia="Arial" w:hAnsi="Arial"/>
                <w:sz w:val="16"/>
                <w:szCs w:val="16"/>
                <w:color w:val="auto"/>
              </w:rPr>
              <w:t>Fair value of assets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312,455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347,773</w:t>
            </w:r>
          </w:p>
        </w:tc>
      </w:tr>
      <w:tr>
        <w:trPr>
          <w:trHeight w:val="253"/>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Actual return on plan assets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54,945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(25,333)</w:t>
            </w:r>
          </w:p>
        </w:tc>
      </w:tr>
      <w:tr>
        <w:trPr>
          <w:trHeight w:val="233"/>
        </w:trPr>
        <w:tc>
          <w:tcPr>
            <w:tcW w:w="8160" w:type="dxa"/>
            <w:vAlign w:val="bottom"/>
          </w:tcPr>
          <w:p>
            <w:pPr>
              <w:ind w:left="340"/>
              <w:spacing w:after="0"/>
              <w:rPr>
                <w:sz w:val="20"/>
                <w:szCs w:val="20"/>
                <w:color w:val="auto"/>
              </w:rPr>
            </w:pPr>
            <w:r>
              <w:rPr>
                <w:rFonts w:ascii="Arial" w:cs="Arial" w:eastAsia="Arial" w:hAnsi="Arial"/>
                <w:sz w:val="16"/>
                <w:szCs w:val="16"/>
                <w:color w:val="auto"/>
              </w:rPr>
              <w:t>Employer contributions</w:t>
            </w:r>
          </w:p>
        </w:tc>
        <w:tc>
          <w:tcPr>
            <w:tcW w:w="36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19,800</w:t>
            </w:r>
          </w:p>
        </w:tc>
      </w:tr>
      <w:tr>
        <w:trPr>
          <w:trHeight w:val="253"/>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(30,736)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(29,785)</w:t>
            </w:r>
          </w:p>
        </w:tc>
      </w:tr>
      <w:tr>
        <w:trPr>
          <w:trHeight w:val="230"/>
        </w:trPr>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Fair value of assets at December 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338,264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312,455</w:t>
            </w:r>
          </w:p>
        </w:tc>
      </w:tr>
      <w:tr>
        <w:trPr>
          <w:trHeight w:val="268"/>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Unfunded status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(125,172)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(115,761)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actuarial loss, net of $48 million for the year ended December 31, 2019 is attributable to a decrease in the discount rate. The actuarial gain, net of $19 million for the year ended December 31, 2018, is attributable to an increase in the discount rate.</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net benefit obligation of $125 million and $116 million as of December 31, 2019 and 2018, respectively, is included in other noncurrent liabilities in our consolidated balance sheets.</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amounts recognized in accumulated other comprehensive income (loss) associated with the LPP, net of deferred taxes of $42 million and $40 million as of December 31, 2019 and 2018, respectively, are as follows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223"/>
        </w:trPr>
        <w:tc>
          <w:tcPr>
            <w:tcW w:w="8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r>
      <w:tr>
        <w:trPr>
          <w:trHeight w:val="243"/>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(154,608)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(151,444)</w:t>
            </w:r>
          </w:p>
        </w:tc>
      </w:tr>
      <w:tr>
        <w:trPr>
          <w:trHeight w:val="237"/>
        </w:trPr>
        <w:tc>
          <w:tcPr>
            <w:tcW w:w="8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Prior service credit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10,210</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11,322</w:t>
            </w:r>
          </w:p>
        </w:tc>
      </w:tr>
      <w:tr>
        <w:trPr>
          <w:trHeight w:val="268"/>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(144,398)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(140,122)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following table provides the components of net periodic benefit costs associated with the LPP and the principal assumptions used in the measurement of the LPP benefit obligations and net benefit costs for the three years ended December 31, 2019, 2018 and 2017 (in thousands):</w:t>
      </w:r>
    </w:p>
    <w:p>
      <w:pPr>
        <w:sectPr>
          <w:pgSz w:w="11900" w:h="16838" w:orient="portrait"/>
          <w:cols w:equalWidth="0" w:num="1">
            <w:col w:w="11420"/>
          </w:cols>
          <w:pgMar w:left="240" w:top="1019"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7220585"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2058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19050</wp:posOffset>
            </wp:positionV>
            <wp:extent cx="722058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19050</wp:posOffset>
            </wp:positionV>
            <wp:extent cx="7220585"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Weighted-average discount rate used to measure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45085</wp:posOffset>
            </wp:positionV>
            <wp:extent cx="722058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assumptions used to determine net benefit cost:</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27940</wp:posOffset>
            </wp:positionV>
            <wp:extent cx="722058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Expected return on plan assets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24955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2017</w:t>
            </w:r>
          </w:p>
        </w:tc>
      </w:tr>
      <w:tr>
        <w:trPr>
          <w:trHeight w:val="224"/>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18,324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17,090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18,731</w:t>
            </w:r>
          </w:p>
        </w:tc>
      </w:tr>
      <w:tr>
        <w:trPr>
          <w:trHeight w:val="243"/>
        </w:trPr>
        <w:tc>
          <w:tcPr>
            <w:tcW w:w="260" w:type="dxa"/>
            <w:vAlign w:val="bottom"/>
          </w:tcPr>
          <w:p>
            <w:pPr>
              <w:spacing w:after="0"/>
              <w:rPr>
                <w:sz w:val="21"/>
                <w:szCs w:val="21"/>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(18,510)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(18,790)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(20,934)</w:t>
            </w:r>
          </w:p>
        </w:tc>
      </w:tr>
      <w:tr>
        <w:trPr>
          <w:trHeight w:val="243"/>
        </w:trPr>
        <w:tc>
          <w:tcPr>
            <w:tcW w:w="260" w:type="dxa"/>
            <w:vAlign w:val="bottom"/>
          </w:tcPr>
          <w:p>
            <w:pPr>
              <w:spacing w:after="0"/>
              <w:rPr>
                <w:sz w:val="21"/>
                <w:szCs w:val="21"/>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(1,432)</w:t>
            </w:r>
          </w:p>
        </w:tc>
      </w:tr>
      <w:tr>
        <w:trPr>
          <w:trHeight w:val="256"/>
        </w:trPr>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6,516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7,362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6,517</w:t>
            </w:r>
          </w:p>
        </w:tc>
      </w:tr>
      <w:tr>
        <w:trPr>
          <w:trHeight w:val="237"/>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4,898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2,882</w:t>
            </w:r>
          </w:p>
        </w:tc>
      </w:tr>
      <w:tr>
        <w:trPr>
          <w:trHeight w:val="27"/>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940" w:type="dxa"/>
            <w:vAlign w:val="bottom"/>
          </w:tcPr>
          <w:p>
            <w:pPr>
              <w:jc w:val="right"/>
              <w:ind w:right="339"/>
              <w:spacing w:after="0"/>
              <w:rPr>
                <w:sz w:val="20"/>
                <w:szCs w:val="20"/>
                <w:color w:val="auto"/>
              </w:rPr>
            </w:pPr>
            <w:r>
              <w:rPr>
                <w:rFonts w:ascii="Arial" w:cs="Arial" w:eastAsia="Arial" w:hAnsi="Arial"/>
                <w:sz w:val="16"/>
                <w:szCs w:val="16"/>
                <w:color w:val="auto"/>
              </w:rPr>
              <w:t>3.53 %</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4.41 %</w:t>
            </w:r>
          </w:p>
        </w:tc>
        <w:tc>
          <w:tcPr>
            <w:tcW w:w="940" w:type="dxa"/>
            <w:vAlign w:val="bottom"/>
          </w:tcPr>
          <w:p>
            <w:pPr>
              <w:jc w:val="right"/>
              <w:spacing w:after="0"/>
              <w:rPr>
                <w:sz w:val="20"/>
                <w:szCs w:val="20"/>
                <w:color w:val="auto"/>
              </w:rPr>
            </w:pPr>
            <w:r>
              <w:rPr>
                <w:rFonts w:ascii="Arial" w:cs="Arial" w:eastAsia="Arial" w:hAnsi="Arial"/>
                <w:sz w:val="16"/>
                <w:szCs w:val="16"/>
                <w:color w:val="auto"/>
              </w:rPr>
              <w:t>3.81 %</w:t>
            </w:r>
          </w:p>
        </w:tc>
      </w:tr>
      <w:tr>
        <w:trPr>
          <w:trHeight w:val="459"/>
        </w:trPr>
        <w:tc>
          <w:tcPr>
            <w:tcW w:w="940" w:type="dxa"/>
            <w:vAlign w:val="bottom"/>
          </w:tcPr>
          <w:p>
            <w:pPr>
              <w:jc w:val="right"/>
              <w:ind w:right="339"/>
              <w:spacing w:after="0"/>
              <w:rPr>
                <w:sz w:val="20"/>
                <w:szCs w:val="20"/>
                <w:color w:val="auto"/>
              </w:rPr>
            </w:pPr>
            <w:r>
              <w:rPr>
                <w:rFonts w:ascii="Arial" w:cs="Arial" w:eastAsia="Arial" w:hAnsi="Arial"/>
                <w:sz w:val="16"/>
                <w:szCs w:val="16"/>
                <w:color w:val="auto"/>
              </w:rPr>
              <w:t>4.41 %</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3.81 %</w:t>
            </w:r>
          </w:p>
        </w:tc>
        <w:tc>
          <w:tcPr>
            <w:tcW w:w="940" w:type="dxa"/>
            <w:vAlign w:val="bottom"/>
          </w:tcPr>
          <w:p>
            <w:pPr>
              <w:jc w:val="right"/>
              <w:spacing w:after="0"/>
              <w:rPr>
                <w:sz w:val="20"/>
                <w:szCs w:val="20"/>
                <w:color w:val="auto"/>
              </w:rPr>
            </w:pPr>
            <w:r>
              <w:rPr>
                <w:rFonts w:ascii="Arial" w:cs="Arial" w:eastAsia="Arial" w:hAnsi="Arial"/>
                <w:sz w:val="16"/>
                <w:szCs w:val="16"/>
                <w:color w:val="auto"/>
              </w:rPr>
              <w:t>4.36 %</w:t>
            </w:r>
          </w:p>
        </w:tc>
      </w:tr>
      <w:tr>
        <w:trPr>
          <w:trHeight w:val="243"/>
        </w:trPr>
        <w:tc>
          <w:tcPr>
            <w:tcW w:w="940" w:type="dxa"/>
            <w:vAlign w:val="bottom"/>
          </w:tcPr>
          <w:p>
            <w:pPr>
              <w:jc w:val="right"/>
              <w:ind w:right="339"/>
              <w:spacing w:after="0"/>
              <w:rPr>
                <w:sz w:val="20"/>
                <w:szCs w:val="20"/>
                <w:color w:val="auto"/>
              </w:rPr>
            </w:pPr>
            <w:r>
              <w:rPr>
                <w:rFonts w:ascii="Arial" w:cs="Arial" w:eastAsia="Arial" w:hAnsi="Arial"/>
                <w:sz w:val="16"/>
                <w:szCs w:val="16"/>
                <w:color w:val="auto"/>
              </w:rPr>
              <w:t>5.75 %</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5.75 %</w:t>
            </w:r>
          </w:p>
        </w:tc>
        <w:tc>
          <w:tcPr>
            <w:tcW w:w="940" w:type="dxa"/>
            <w:vAlign w:val="bottom"/>
          </w:tcPr>
          <w:p>
            <w:pPr>
              <w:jc w:val="right"/>
              <w:spacing w:after="0"/>
              <w:rPr>
                <w:sz w:val="20"/>
                <w:szCs w:val="20"/>
                <w:color w:val="auto"/>
              </w:rPr>
            </w:pPr>
            <w:r>
              <w:rPr>
                <w:rFonts w:ascii="Arial" w:cs="Arial" w:eastAsia="Arial" w:hAnsi="Arial"/>
                <w:sz w:val="16"/>
                <w:szCs w:val="16"/>
                <w:color w:val="auto"/>
              </w:rPr>
              <w:t>6.50 %</w:t>
            </w:r>
          </w:p>
        </w:tc>
      </w:tr>
    </w:tbl>
    <w:p>
      <w:pPr>
        <w:spacing w:after="0" w:line="200" w:lineRule="exact"/>
        <w:rPr>
          <w:sz w:val="20"/>
          <w:szCs w:val="20"/>
          <w:color w:val="auto"/>
        </w:rPr>
      </w:pPr>
    </w:p>
    <w:p>
      <w:pPr>
        <w:sectPr>
          <w:pgSz w:w="11900" w:h="16838" w:orient="portrait"/>
          <w:cols w:equalWidth="0" w:num="2">
            <w:col w:w="6760" w:space="720"/>
            <w:col w:w="3940"/>
          </w:cols>
          <w:pgMar w:left="240" w:top="10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type w:val="continuous"/>
        </w:sectPr>
      </w:pPr>
    </w:p>
    <w:bookmarkStart w:id="89" w:name="page90"/>
    <w:bookmarkEnd w:id="89"/>
    <w:p>
      <w:pPr>
        <w:jc w:val="both"/>
        <w:ind w:firstLine="486"/>
        <w:spacing w:after="0" w:line="260" w:lineRule="auto"/>
        <w:rPr>
          <w:sz w:val="20"/>
          <w:szCs w:val="20"/>
          <w:color w:val="auto"/>
        </w:rPr>
      </w:pPr>
      <w:r>
        <w:rPr>
          <w:rFonts w:ascii="Arial" w:cs="Arial" w:eastAsia="Arial" w:hAnsi="Arial"/>
          <w:sz w:val="16"/>
          <w:szCs w:val="16"/>
          <w:color w:val="auto"/>
        </w:rPr>
        <w:t>The following table provides the pre-tax amounts recognized in other comprehensive income (loss), including the amortization of the actuarial loss and prior service credit, associated with the LPP for the years ended December 31, 2019, 2018 and 2017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00" w:type="dxa"/>
            <w:vAlign w:val="bottom"/>
          </w:tcPr>
          <w:p>
            <w:pPr>
              <w:ind w:left="20"/>
              <w:spacing w:after="0"/>
              <w:rPr>
                <w:sz w:val="20"/>
                <w:szCs w:val="20"/>
                <w:color w:val="auto"/>
              </w:rPr>
            </w:pPr>
            <w:r>
              <w:rPr>
                <w:rFonts w:ascii="Arial" w:cs="Arial" w:eastAsia="Arial" w:hAnsi="Arial"/>
                <w:sz w:val="13"/>
                <w:szCs w:val="13"/>
                <w:b w:val="1"/>
                <w:bCs w:val="1"/>
                <w:color w:val="auto"/>
              </w:rPr>
              <w:t>Obligations Recognized in</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r>
      <w:tr>
        <w:trPr>
          <w:trHeight w:val="24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11,196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25,595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679</w:t>
            </w:r>
          </w:p>
        </w:tc>
      </w:tr>
      <w:tr>
        <w:trPr>
          <w:trHeight w:val="233"/>
        </w:trPr>
        <w:tc>
          <w:tcPr>
            <w:tcW w:w="6800" w:type="dxa"/>
            <w:vAlign w:val="bottom"/>
          </w:tcPr>
          <w:p>
            <w:pPr>
              <w:ind w:left="20"/>
              <w:spacing w:after="0"/>
              <w:rPr>
                <w:sz w:val="20"/>
                <w:szCs w:val="20"/>
                <w:color w:val="auto"/>
              </w:rPr>
            </w:pPr>
            <w:r>
              <w:rPr>
                <w:rFonts w:ascii="Arial" w:cs="Arial" w:eastAsia="Arial" w:hAnsi="Arial"/>
                <w:sz w:val="16"/>
                <w:szCs w:val="16"/>
                <w:color w:val="auto"/>
              </w:rPr>
              <w:t>Amortization of actuarial loss</w:t>
            </w:r>
          </w:p>
        </w:tc>
        <w:tc>
          <w:tcPr>
            <w:tcW w:w="3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(6,516)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(7,362)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(6,517)</w:t>
            </w:r>
          </w:p>
        </w:tc>
      </w:tr>
      <w:tr>
        <w:trPr>
          <w:trHeight w:val="25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1,432</w:t>
            </w:r>
          </w:p>
        </w:tc>
      </w:tr>
      <w:tr>
        <w:trPr>
          <w:trHeight w:val="230"/>
        </w:trPr>
        <w:tc>
          <w:tcPr>
            <w:tcW w:w="6800" w:type="dxa"/>
            <w:vAlign w:val="bottom"/>
          </w:tcPr>
          <w:p>
            <w:pPr>
              <w:ind w:left="20"/>
              <w:spacing w:after="0"/>
              <w:rPr>
                <w:sz w:val="20"/>
                <w:szCs w:val="20"/>
                <w:color w:val="auto"/>
              </w:rPr>
            </w:pPr>
            <w:r>
              <w:rPr>
                <w:rFonts w:ascii="Arial" w:cs="Arial" w:eastAsia="Arial" w:hAnsi="Arial"/>
                <w:sz w:val="16"/>
                <w:szCs w:val="16"/>
                <w:color w:val="auto"/>
              </w:rPr>
              <w:t>Total loss (income) recognized in other comprehensive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6,112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19,665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(4,406)</w:t>
            </w:r>
          </w:p>
        </w:tc>
      </w:tr>
      <w:tr>
        <w:trPr>
          <w:trHeight w:val="21"/>
        </w:trPr>
        <w:tc>
          <w:tcPr>
            <w:tcW w:w="68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recognized in net periodic benefit cost and other comprehensive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11,010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23,895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(1,524)</w:t>
            </w:r>
          </w:p>
        </w:tc>
      </w:tr>
    </w:tbl>
    <w:p>
      <w:pPr>
        <w:spacing w:after="0" w:line="21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Mutual Fund</w:t>
      </w:r>
      <w:r>
        <w:rPr>
          <w:rFonts w:ascii="Arial" w:cs="Arial" w:eastAsia="Arial" w:hAnsi="Arial"/>
          <w:sz w:val="16"/>
          <w:szCs w:val="16"/>
          <w:color w:val="auto"/>
        </w:rPr>
        <w:t>—The fair value of our mutual funds are estimated by using market quotes as of the last day of the period.</w:t>
      </w:r>
    </w:p>
    <w:p>
      <w:pPr>
        <w:spacing w:after="0" w:line="113" w:lineRule="exact"/>
        <w:rPr>
          <w:sz w:val="20"/>
          <w:szCs w:val="20"/>
          <w:color w:val="auto"/>
        </w:rPr>
      </w:pPr>
    </w:p>
    <w:p>
      <w:pPr>
        <w:jc w:val="both"/>
        <w:ind w:right="20" w:firstLine="486"/>
        <w:spacing w:after="0" w:line="281" w:lineRule="auto"/>
        <w:rPr>
          <w:sz w:val="20"/>
          <w:szCs w:val="20"/>
          <w:color w:val="auto"/>
        </w:rPr>
      </w:pPr>
      <w:r>
        <w:rPr>
          <w:rFonts w:ascii="Arial" w:cs="Arial" w:eastAsia="Arial" w:hAnsi="Arial"/>
          <w:sz w:val="16"/>
          <w:szCs w:val="16"/>
          <w:i w:val="1"/>
          <w:iCs w:val="1"/>
          <w:color w:val="auto"/>
        </w:rPr>
        <w:t>Common Collective Trusts</w:t>
      </w:r>
      <w:r>
        <w:rPr>
          <w:rFonts w:ascii="Arial" w:cs="Arial" w:eastAsia="Arial" w:hAnsi="Arial"/>
          <w:sz w:val="16"/>
          <w:szCs w:val="16"/>
          <w:color w:val="auto"/>
        </w:rPr>
        <w:t>—The fair value of our common collective trusts are estimated by using market quotes as of the last day of the period,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securities and quoted prices in non-active markets.</w:t>
      </w:r>
    </w:p>
    <w:p>
      <w:pPr>
        <w:spacing w:after="0" w:line="55"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—The fair value of our real estate funds are derived from the fair value of the underlying real estate assets held by the funds. These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are initially valued at cost and are reviewed periodically utilizing available market data to determine if the assets held should be adjusted.</w:t>
      </w:r>
    </w:p>
    <w:p>
      <w:pPr>
        <w:spacing w:after="0" w:line="7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40% global equities, 15% real estate assets, 15% diversified credit and 30% liability hedging fixed income. It is recognized that the investment management of the LPP assets has a direct effect on the achievement of its goal. As defined in Note 10. Fair Value Measurements, the following tables present the fair value of the LPP assets as of December 31,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Fair Value Measurements at December 31, 2019</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Quoted Prices in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right="380"/>
              <w:spacing w:after="0" w:line="122"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420" w:type="dxa"/>
            <w:vAlign w:val="bottom"/>
            <w:gridSpan w:val="4"/>
          </w:tcPr>
          <w:p>
            <w:pPr>
              <w:jc w:val="center"/>
              <w:ind w:right="340"/>
              <w:spacing w:after="0" w:line="122" w:lineRule="exact"/>
              <w:rPr>
                <w:sz w:val="20"/>
                <w:szCs w:val="20"/>
                <w:color w:val="auto"/>
              </w:rPr>
            </w:pPr>
            <w:r>
              <w:rPr>
                <w:rFonts w:ascii="Arial" w:cs="Arial" w:eastAsia="Arial" w:hAnsi="Arial"/>
                <w:sz w:val="13"/>
                <w:szCs w:val="13"/>
                <w:b w:val="1"/>
                <w:bCs w:val="1"/>
                <w:color w:val="auto"/>
                <w:w w:val="96"/>
              </w:rPr>
              <w:t>Significant</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right="380"/>
              <w:spacing w:after="0" w:line="122"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0"/>
                <w:szCs w:val="10"/>
                <w:color w:val="auto"/>
              </w:rPr>
            </w:pPr>
          </w:p>
        </w:tc>
        <w:tc>
          <w:tcPr>
            <w:tcW w:w="1420" w:type="dxa"/>
            <w:vAlign w:val="bottom"/>
            <w:gridSpan w:val="4"/>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420" w:type="dxa"/>
            <w:vAlign w:val="bottom"/>
            <w:gridSpan w:val="4"/>
          </w:tcPr>
          <w:p>
            <w:pPr>
              <w:jc w:val="center"/>
              <w:ind w:right="360"/>
              <w:spacing w:after="0" w:line="122"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0"/>
                <w:szCs w:val="10"/>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4"/>
                <w:szCs w:val="14"/>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8"/>
              </w:rPr>
              <w:t>(Level 3)</w:t>
            </w:r>
          </w:p>
        </w:tc>
        <w:tc>
          <w:tcPr>
            <w:tcW w:w="3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Global equity securities</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7"/>
              <w:spacing w:after="0"/>
              <w:rPr>
                <w:sz w:val="20"/>
                <w:szCs w:val="20"/>
                <w:color w:val="auto"/>
              </w:rPr>
            </w:pPr>
            <w:r>
              <w:rPr>
                <w:rFonts w:ascii="Arial" w:cs="Arial" w:eastAsia="Arial" w:hAnsi="Arial"/>
                <w:sz w:val="16"/>
                <w:szCs w:val="16"/>
                <w:color w:val="auto"/>
              </w:rPr>
              <w:t>323,810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42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323,810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mutual fund</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rPr>
              <w:t>4,506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4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4,506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color w:val="auto"/>
              </w:rPr>
              <w:t>9,948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9,948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 at fair value</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6"/>
                <w:szCs w:val="16"/>
                <w:color w:val="auto"/>
              </w:rPr>
              <w:t>4,506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6"/>
                <w:szCs w:val="16"/>
                <w:color w:val="auto"/>
              </w:rPr>
              <w:t>323,810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6"/>
                <w:szCs w:val="16"/>
                <w:color w:val="auto"/>
              </w:rPr>
              <w:t>9,948</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338,264</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rPr>
              <w:t>Fair Value Measurements at December 31, 2018</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Quoted Prices in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right="400"/>
              <w:spacing w:after="0" w:line="122"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20" w:type="dxa"/>
            <w:vAlign w:val="bottom"/>
            <w:gridSpan w:val="4"/>
          </w:tcPr>
          <w:p>
            <w:pPr>
              <w:jc w:val="center"/>
              <w:ind w:right="360"/>
              <w:spacing w:after="0" w:line="122"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Active Markets for</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right="400"/>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20" w:type="dxa"/>
            <w:vAlign w:val="bottom"/>
            <w:gridSpan w:val="4"/>
          </w:tcPr>
          <w:p>
            <w:pPr>
              <w:jc w:val="center"/>
              <w:ind w:right="36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420" w:type="dxa"/>
            <w:vAlign w:val="bottom"/>
            <w:gridSpan w:val="4"/>
          </w:tcPr>
          <w:p>
            <w:pPr>
              <w:jc w:val="center"/>
              <w:ind w:right="360"/>
              <w:spacing w:after="0" w:line="122"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0"/>
                <w:szCs w:val="10"/>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4"/>
                <w:szCs w:val="14"/>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4"/>
              </w:rPr>
              <w:t>(Level 3)</w:t>
            </w:r>
          </w:p>
        </w:tc>
        <w:tc>
          <w:tcPr>
            <w:tcW w:w="3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6"/>
                <w:szCs w:val="16"/>
                <w:color w:val="auto"/>
              </w:rPr>
              <w:t>Fixed income securities</w:t>
            </w:r>
          </w:p>
        </w:tc>
        <w:tc>
          <w:tcPr>
            <w:tcW w:w="220" w:type="dxa"/>
            <w:vAlign w:val="bottom"/>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7"/>
              <w:spacing w:after="0"/>
              <w:rPr>
                <w:sz w:val="20"/>
                <w:szCs w:val="20"/>
                <w:color w:val="auto"/>
              </w:rPr>
            </w:pPr>
            <w:r>
              <w:rPr>
                <w:rFonts w:ascii="Arial" w:cs="Arial" w:eastAsia="Arial" w:hAnsi="Arial"/>
                <w:sz w:val="16"/>
                <w:szCs w:val="16"/>
                <w:color w:val="auto"/>
              </w:rPr>
              <w:t>181,156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4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181,156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0" w:type="dxa"/>
            <w:vAlign w:val="bottom"/>
            <w:shd w:val="clear" w:color="auto" w:fill="CCEEFF"/>
          </w:tcPr>
          <w:p>
            <w:pPr>
              <w:spacing w:after="0"/>
              <w:rPr>
                <w:sz w:val="21"/>
                <w:szCs w:val="21"/>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equity securities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108,152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108,152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Money market mutual fund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67"/>
              <w:spacing w:after="0"/>
              <w:rPr>
                <w:sz w:val="20"/>
                <w:szCs w:val="20"/>
                <w:color w:val="auto"/>
              </w:rPr>
            </w:pPr>
            <w:r>
              <w:rPr>
                <w:rFonts w:ascii="Arial" w:cs="Arial" w:eastAsia="Arial" w:hAnsi="Arial"/>
                <w:sz w:val="16"/>
                <w:szCs w:val="16"/>
                <w:color w:val="auto"/>
              </w:rPr>
              <w:t>2,311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2,311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6"/>
                <w:szCs w:val="16"/>
                <w:color w:val="auto"/>
              </w:rPr>
              <w:t>20,836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20,836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880" w:type="dxa"/>
            <w:vAlign w:val="bottom"/>
          </w:tcPr>
          <w:p>
            <w:pPr>
              <w:ind w:left="400"/>
              <w:spacing w:after="0"/>
              <w:rPr>
                <w:sz w:val="20"/>
                <w:szCs w:val="20"/>
                <w:color w:val="auto"/>
              </w:rPr>
            </w:pPr>
            <w:r>
              <w:rPr>
                <w:rFonts w:ascii="Arial" w:cs="Arial" w:eastAsia="Arial" w:hAnsi="Arial"/>
                <w:sz w:val="16"/>
                <w:szCs w:val="16"/>
                <w:color w:val="auto"/>
              </w:rPr>
              <w:t>Total assets at fair value</w:t>
            </w:r>
          </w:p>
        </w:tc>
        <w:tc>
          <w:tcPr>
            <w:tcW w:w="220" w:type="dxa"/>
            <w:vAlign w:val="bottom"/>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7"/>
              <w:spacing w:after="0"/>
              <w:rPr>
                <w:sz w:val="20"/>
                <w:szCs w:val="20"/>
                <w:color w:val="auto"/>
              </w:rPr>
            </w:pPr>
            <w:r>
              <w:rPr>
                <w:rFonts w:ascii="Arial" w:cs="Arial" w:eastAsia="Arial" w:hAnsi="Arial"/>
                <w:sz w:val="16"/>
                <w:szCs w:val="16"/>
                <w:color w:val="auto"/>
              </w:rPr>
              <w:t>2,311</w:t>
            </w:r>
          </w:p>
        </w:tc>
        <w:tc>
          <w:tcPr>
            <w:tcW w:w="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7"/>
              <w:spacing w:after="0"/>
              <w:rPr>
                <w:sz w:val="20"/>
                <w:szCs w:val="20"/>
                <w:color w:val="auto"/>
              </w:rPr>
            </w:pPr>
            <w:r>
              <w:rPr>
                <w:rFonts w:ascii="Arial" w:cs="Arial" w:eastAsia="Arial" w:hAnsi="Arial"/>
                <w:sz w:val="16"/>
                <w:szCs w:val="16"/>
                <w:color w:val="auto"/>
              </w:rPr>
              <w:t>289,308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7"/>
              <w:spacing w:after="0"/>
              <w:rPr>
                <w:sz w:val="20"/>
                <w:szCs w:val="20"/>
                <w:color w:val="auto"/>
              </w:rPr>
            </w:pPr>
            <w:r>
              <w:rPr>
                <w:rFonts w:ascii="Arial" w:cs="Arial" w:eastAsia="Arial" w:hAnsi="Arial"/>
                <w:sz w:val="16"/>
                <w:szCs w:val="16"/>
                <w:color w:val="auto"/>
              </w:rPr>
              <w:t>20,836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312,455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90" w:name="page91"/>
    <w:bookmarkEnd w:id="90"/>
    <w:p>
      <w:pPr>
        <w:ind w:left="500"/>
        <w:spacing w:after="0"/>
        <w:rPr>
          <w:sz w:val="20"/>
          <w:szCs w:val="20"/>
          <w:color w:val="auto"/>
        </w:rPr>
      </w:pPr>
      <w:r>
        <w:rPr>
          <w:rFonts w:ascii="Arial" w:cs="Arial" w:eastAsia="Arial" w:hAnsi="Arial"/>
          <w:sz w:val="16"/>
          <w:szCs w:val="16"/>
          <w:color w:val="auto"/>
        </w:rPr>
        <w:t>The following table provides a rollforward of plan assets valued using significant unobservable inputs (level 3),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Real Estate</w:t>
            </w:r>
          </w:p>
        </w:tc>
      </w:tr>
      <w:tr>
        <w:trPr>
          <w:trHeight w:val="24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at December 31, 2017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19,455</w:t>
            </w: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307</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distributions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Advisory fee</w:t>
            </w:r>
          </w:p>
        </w:tc>
        <w:tc>
          <w:tcPr>
            <w:tcW w:w="2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(198)</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845</w:t>
            </w: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Unrealized gain</w:t>
            </w:r>
          </w:p>
        </w:tc>
        <w:tc>
          <w:tcPr>
            <w:tcW w:w="28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717</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realized gain</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r>
      <w:tr>
        <w:trPr>
          <w:trHeight w:val="227"/>
        </w:trPr>
        <w:tc>
          <w:tcPr>
            <w:tcW w:w="9820" w:type="dxa"/>
            <w:vAlign w:val="bottom"/>
          </w:tcPr>
          <w:p>
            <w:pPr>
              <w:ind w:left="20"/>
              <w:spacing w:after="0"/>
              <w:rPr>
                <w:sz w:val="20"/>
                <w:szCs w:val="20"/>
                <w:color w:val="auto"/>
              </w:rPr>
            </w:pPr>
            <w:r>
              <w:rPr>
                <w:rFonts w:ascii="Arial" w:cs="Arial" w:eastAsia="Arial" w:hAnsi="Arial"/>
                <w:sz w:val="16"/>
                <w:szCs w:val="16"/>
                <w:color w:val="auto"/>
              </w:rPr>
              <w:t>Ending balance at December 31, 2018</w:t>
            </w:r>
          </w:p>
        </w:tc>
        <w:tc>
          <w:tcPr>
            <w:tcW w:w="28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20,836</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Contributions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331</w:t>
            </w: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Net distributions</w:t>
            </w:r>
          </w:p>
        </w:tc>
        <w:tc>
          <w:tcPr>
            <w:tcW w:w="2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(11,235)</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Advisory fee</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771</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loss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r>
      <w:tr>
        <w:trPr>
          <w:trHeight w:val="237"/>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realized loss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r>
      <w:tr>
        <w:trPr>
          <w:trHeight w:val="262"/>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at December 31, 2019</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9,948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contributed $2 million and $20 million to fund our defined benefit pension plans during the years ended December 31, 2019 and 2018, respectively. Annual contributions to our defined benefit pension plans in the United States, Canada, and other jurisdictions are based on several factors that may vary from year to year. Our funding practice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$17 million in contributions to our defined benefit pension plans in 2020.</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2020.</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expect the LPP to make the following estimated future benefit payments (in thousands):</w:t>
      </w:r>
    </w:p>
    <w:p>
      <w:pPr>
        <w:spacing w:after="0" w:line="197" w:lineRule="exact"/>
        <w:rPr>
          <w:sz w:val="20"/>
          <w:szCs w:val="20"/>
          <w:color w:val="auto"/>
        </w:rPr>
      </w:pPr>
    </w:p>
    <w:tbl>
      <w:tblPr>
        <w:tblLayout w:type="fixed"/>
        <w:tblInd w:w="1780" w:type="dxa"/>
        <w:tblCellMar>
          <w:top w:w="0" w:type="dxa"/>
          <w:left w:w="0" w:type="dxa"/>
          <w:bottom w:w="0" w:type="dxa"/>
          <w:right w:w="0" w:type="dxa"/>
        </w:tblCellMar>
      </w:tblPr>
      <w:tr>
        <w:trPr>
          <w:trHeight w:val="178"/>
        </w:trPr>
        <w:tc>
          <w:tcPr>
            <w:tcW w:w="6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Amount</w:t>
            </w:r>
          </w:p>
        </w:tc>
      </w:tr>
      <w:tr>
        <w:trPr>
          <w:trHeight w:val="24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30,729</w:t>
            </w:r>
          </w:p>
        </w:tc>
      </w:tr>
      <w:tr>
        <w:trPr>
          <w:trHeight w:val="233"/>
        </w:trPr>
        <w:tc>
          <w:tcPr>
            <w:tcW w:w="6280" w:type="dxa"/>
            <w:vAlign w:val="bottom"/>
          </w:tcPr>
          <w:p>
            <w:pPr>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31,864</w:t>
            </w:r>
          </w:p>
        </w:tc>
      </w:tr>
      <w:tr>
        <w:trPr>
          <w:trHeight w:val="25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32,304</w:t>
            </w:r>
          </w:p>
        </w:tc>
      </w:tr>
      <w:tr>
        <w:trPr>
          <w:trHeight w:val="233"/>
        </w:trPr>
        <w:tc>
          <w:tcPr>
            <w:tcW w:w="6280" w:type="dxa"/>
            <w:vAlign w:val="bottom"/>
          </w:tcPr>
          <w:p>
            <w:pPr>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31,067</w:t>
            </w:r>
          </w:p>
        </w:tc>
      </w:tr>
      <w:tr>
        <w:trPr>
          <w:trHeight w:val="25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35,036</w:t>
            </w:r>
          </w:p>
        </w:tc>
      </w:tr>
      <w:tr>
        <w:trPr>
          <w:trHeight w:val="224"/>
        </w:trPr>
        <w:tc>
          <w:tcPr>
            <w:tcW w:w="6280" w:type="dxa"/>
            <w:vAlign w:val="bottom"/>
          </w:tcPr>
          <w:p>
            <w:pPr>
              <w:spacing w:after="0"/>
              <w:rPr>
                <w:sz w:val="20"/>
                <w:szCs w:val="20"/>
                <w:color w:val="auto"/>
              </w:rPr>
            </w:pPr>
            <w:r>
              <w:rPr>
                <w:rFonts w:ascii="Arial" w:cs="Arial" w:eastAsia="Arial" w:hAnsi="Arial"/>
                <w:sz w:val="16"/>
                <w:szCs w:val="16"/>
                <w:color w:val="auto"/>
              </w:rPr>
              <w:t>2025-2029</w:t>
            </w:r>
          </w:p>
        </w:tc>
        <w:tc>
          <w:tcPr>
            <w:tcW w:w="320" w:type="dxa"/>
            <w:vAlign w:val="bottom"/>
          </w:tcPr>
          <w:p>
            <w:pPr>
              <w:spacing w:after="0"/>
              <w:rPr>
                <w:sz w:val="19"/>
                <w:szCs w:val="19"/>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170,880</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560"/>
        <w:spacing w:after="0"/>
        <w:rPr>
          <w:sz w:val="20"/>
          <w:szCs w:val="20"/>
          <w:color w:val="auto"/>
        </w:rPr>
      </w:pPr>
      <w:r>
        <w:rPr>
          <w:rFonts w:ascii="Arial" w:cs="Arial" w:eastAsia="Arial" w:hAnsi="Arial"/>
          <w:sz w:val="16"/>
          <w:szCs w:val="16"/>
          <w:b w:val="1"/>
          <w:bCs w:val="1"/>
          <w:color w:val="auto"/>
        </w:rPr>
        <w:t>16. Commitments and Contingencies</w:t>
      </w:r>
    </w:p>
    <w:p>
      <w:pPr>
        <w:spacing w:after="0" w:line="167" w:lineRule="exact"/>
        <w:rPr>
          <w:sz w:val="20"/>
          <w:szCs w:val="20"/>
          <w:color w:val="auto"/>
        </w:rPr>
      </w:pPr>
    </w:p>
    <w:p>
      <w:pPr>
        <w:jc w:val="center"/>
        <w:ind w:right="8580"/>
        <w:spacing w:after="0"/>
        <w:rPr>
          <w:sz w:val="20"/>
          <w:szCs w:val="20"/>
          <w:color w:val="auto"/>
        </w:rPr>
      </w:pPr>
      <w:r>
        <w:rPr>
          <w:rFonts w:ascii="Arial" w:cs="Arial" w:eastAsia="Arial" w:hAnsi="Arial"/>
          <w:sz w:val="16"/>
          <w:szCs w:val="16"/>
          <w:b w:val="1"/>
          <w:bCs w:val="1"/>
          <w:color w:val="auto"/>
        </w:rPr>
        <w:t>Purchase Commitments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the ordinary course of business, we make various commitments in connection with the purchase of goods and services from specific suppliers. We have outstanding commitments of approximately $2.6 billion, which includes commitments outstanding as of December 31, 2019 and a commitment entered into in January 2020. These purchase commitments extend through 2030.</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ectPr>
          <w:pgSz w:w="11900" w:h="16838" w:orient="portrait"/>
          <w:cols w:equalWidth="0" w:num="1">
            <w:col w:w="11420"/>
          </w:cols>
          <w:pgMar w:left="240" w:top="1019"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type w:val="continuous"/>
        </w:sectPr>
      </w:pPr>
    </w:p>
    <w:bookmarkStart w:id="91" w:name="page92"/>
    <w:bookmarkEnd w:id="91"/>
    <w:p>
      <w:pPr>
        <w:ind w:left="500"/>
        <w:spacing w:after="0"/>
        <w:rPr>
          <w:sz w:val="20"/>
          <w:szCs w:val="20"/>
          <w:color w:val="auto"/>
        </w:rPr>
      </w:pPr>
      <w:r>
        <w:rPr>
          <w:rFonts w:ascii="Arial" w:cs="Arial" w:eastAsia="Arial" w:hAnsi="Arial"/>
          <w:sz w:val="16"/>
          <w:szCs w:val="16"/>
          <w:b w:val="1"/>
          <w:bCs w:val="1"/>
          <w:i w:val="1"/>
          <w:iCs w:val="1"/>
          <w:color w:val="auto"/>
        </w:rPr>
        <w:t>Antitrust Litigation and Investigations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Airways Antitrust Litigation</w:t>
      </w:r>
    </w:p>
    <w:p>
      <w:pPr>
        <w:spacing w:after="0" w:line="129"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 relating to Section 2. The claims that were not dismissed are claims brought under Section 1 of the Sherman Act, relating to our contracts with US Airways, which US Airways claims contain anticompetitive provisions, and an alleged conspiracy with the other GDSs, allegedly to maintain the industry structure and not to compete for content. We strongly deny all of the allegations made by US Airways.</w:t>
      </w:r>
    </w:p>
    <w:p>
      <w:pPr>
        <w:spacing w:after="0" w:line="2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Sabre filed summary judgment motions in April 2014. In January 2015, the court issued an order granting Sabre's summary judgment motions in part, eliminating a majority of US Airways' alleged damages and rejecting its request for injunctive relief by which US Airways sought to bar Sabre from enforcing certain provisions in our contracts. In September 2015, the court also dismissed US Airways' claim for declaratory relief. In February 2017, US Airways sought reconsideration of the court's opinion dismissing the claim for declaratory relief, which the court denied in March 2017.</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 We continue to believe that our business practices and contract terms are lawful.</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Based on the jury’s verdict, in March 2017 the court entered final judgment in favor of US Airways in the amount of $15 million, which is three times the jury’s award of $5 million as required by the Sherman Act. As a result of the jury's verdict, US Airways was also entitled to receive reasonable attorneys’ fees and costs under the Sherman Act. As such, it filed a motion seeking approximately $125 million in attorneys’ fees and costs, the amount of which we strongly dispute. In January 2018, the court denied US Airways' motion seeking attorneys' fees and costs, without prejudice.</w:t>
      </w:r>
    </w:p>
    <w:p>
      <w:pPr>
        <w:spacing w:after="0" w:line="9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In the fourth quarter of 2016, we accrued a loss of $32 million, which represented the court's final judgment of $15 million, plus our estimate of $17 million for US Airways' reasonable attorneys’ fees, expenses and costs.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April 2017, we filed an appeal with the United States Court of Appeals for the Second Circuit seeking a reversal of the judgment. US Airways also filed a counter-appeal challenging earlier court orders, including the above-referenced orders dismissing and/or issuing summary judgment as to portions of its claims and damages. In connection with this appeal, we posted an appellate bond equal to the aggregate amount of the $15 million judgment entered plus interest, which stayed the judgment pending the appeal. The Second Circuit heard oral arguments on this matter in December 2018.</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September 2019, the Second Circuit issued its Order and Opinion. The Second Circuit vacated the judgment with respect to US Airways’ claim under Section 1, reversed the trial court’s dismissal of US Airways’ claims relating to Section 2, and remanded the case to district court for a new trial. In addition, the Second Circuit affirmed the trial court’s ruling limiting US Airways’ damages. The judgment in our favor on US Airways' conspiracy claim remains intact. The lawsuit has been remanded to federal court in the Southern District of New York for further proceedings. Currently, no trial date has been set.</w:t>
      </w:r>
    </w:p>
    <w:p>
      <w:pPr>
        <w:spacing w:after="0" w:line="9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As a result of the Second Circuit’s opinion, we believe that the claims associated with this case are not probable; therefore, in the third quarter of 2019, we reversed our previously accrued loss of $32 million and do not have any losses accrued for this matter as of December 31, 2019.</w:t>
      </w:r>
    </w:p>
    <w:p>
      <w:pPr>
        <w:spacing w:after="0" w:line="8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including any changes to our business that may be required as a result of the litigation. If favorable resolution of the matter is not reached upon remand, any monetary damages are subject to trebling under the antitrust laws and US Airways would be eligible to be reimbursed by us for its reasonable costs and attorneys’ fees. Depending on the amount of any such judgment, if we do not have sufficient cash on hand, we may be required to seek private or public financing. Depending on the outcome of the litigation, any of these consequences could have a material adverse effect on our business, financial condition and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Department of Justice Lawsuit on Farelogix Acquisition</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August 20, 2019, the DOJ filed a complaint in federal court in the District of Delaware, seeking a permanent injunction to prevent Sabre from acquiring Farelogix, Inc. ("Farelogix"), alleging that the proposed acquisition is likely to substantially lessen competition in violation of federal antitrust law. Sabre disputes the government's allegations and believes the acquisition is pro-competitive and ultimately will be completed. The trial concluded on February 6, 2020 and the trial court has not yet issued its decision. Sabre and Farelogix have extended the termination date of their acquisition agreement to April 30, 2020, allowing time to resolve the challenge by the DOJ. In addition, the CMA has referred its review of the acquisition for a Phase 2 investigation and has published its provisional findings of competition concerns. Under the acquisition agreement, as amended, we have agreed to advance certain attorneys’ fees incurred by Farelogix in responding to certain governmental reviews of the acquisition and in defending against certain antitrust proceedings, which have totaled $20 million for the year ended December 31, 2019. These advances will be applied against the purchase price upon closing. The acquisition agreement, as amended, contains certain customary termination rights, including the right of either party to terminate the acquisition agreement if the acquisition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16"/>
          <w:szCs w:val="16"/>
          <w:color w:val="auto"/>
        </w:rPr>
        <w:t>has not occurred by April 30, 2020. We could be obligated to pay Farelogix up to an additional $25 million, either in the form of additional advances or in the form of a termination fee depending on the circumstances.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European Commission’s Directorate-General for Competition ("EC") Investigation</w:t>
      </w:r>
    </w:p>
    <w:p>
      <w:pPr>
        <w:spacing w:after="0" w:line="129"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On November 23, 2018, the EC announced that it has opened an investigation of us and another GDS to assess whether our respective agreements with airlines and travel agents may restrict competition in breach of European Union antitrust rules. We are fully cooperating with the EC’s investigation and are unable to make any prediction regarding its outcome at this time. There is no legal deadline for the EC to bring an antitrust investigation to an end, and the duration of the investigation is uncertain. Depending on the findings of the EC, the outcome of the investigation could have a material adverse effect on our business, financial condition and results of operations. We may incur significant fees, costs and expenses for as long as this investigation is ongoing. We intend to vigorously defend against any allegations of anticompetitive activity by the EC.</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Department of Justice Investigation</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May 19, 2011, we received a civil investigative demand ("CID") from the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for several years; however, we have not been notified that this matter is closed.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The DIT has continued to issue further tax assessments on a similar basis for subsequent years; however, the tax assessments for assessment years ending March 2007 and later are no longer material. We appealed the tax assessments for assessment years ending March 1998 through March 2006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Our case has been listed for hearing with the Supreme Court, and it has not yet been presented. We have appealed the tax assessments for the assessment years ended March 2013 to March 2016 with the ITAT and no trial date has been set for these subsequent years.</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Delhi High Court. No hearing date has been set. The DIT also assessed taxes on a similar basis for assessment years ending March 2006 through March 2016 and appeals for assessment years ending March 2006 through 2016 are pending before the ITAT.</w:t>
      </w:r>
    </w:p>
    <w:p>
      <w:pPr>
        <w:spacing w:after="0" w:line="1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If the DIT were to fully prevail on every claim against us, including SAPPL, we could be subject to taxes, interest and penalties of approximately $45 million as of December 31, 2019.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93" w:name="page94"/>
    <w:bookmarkEnd w:id="93"/>
    <w:p>
      <w:pPr>
        <w:ind w:left="500"/>
        <w:spacing w:after="0"/>
        <w:rPr>
          <w:sz w:val="20"/>
          <w:szCs w:val="20"/>
          <w:color w:val="auto"/>
        </w:rPr>
      </w:pPr>
      <w:r>
        <w:rPr>
          <w:rFonts w:ascii="Arial" w:cs="Arial" w:eastAsia="Arial" w:hAnsi="Arial"/>
          <w:sz w:val="16"/>
          <w:szCs w:val="16"/>
          <w:b w:val="1"/>
          <w:bCs w:val="1"/>
          <w:color w:val="auto"/>
        </w:rPr>
        <w:t>Other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Air Berlin</w:t>
      </w:r>
    </w:p>
    <w:p>
      <w:pPr>
        <w:spacing w:after="0" w:line="129"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November 2017, in connection with Air Berlin’s insolvency proceedings, we requested that Air Berlin make an election under the German Insolvency Act on whether to perform or terminate its contract with us. In January 2018, Air Berlin notified us by letter that it was exercising its right under the German Insolvency Act to terminate its contract with us. In addition, Air Berlin’s letter alleged various breaches by us of the contract and asserted that it had suffered a significant amount of damages associated with its claims. Air Berlin has not commenced any formal action with respect to its claims. We believe that losses associated with these claims are neither probable nor estimable and therefore have not accrued any losses as of December 31, 2019. We may incur significant fees, costs and expenses for as long as this matter is ongoing. We intend to vigorously defend against these claims.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SynXis Central Reservation System</w:t>
      </w:r>
    </w:p>
    <w:p>
      <w:pPr>
        <w:spacing w:after="0" w:line="129"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As previously disclosed, we became aware of an incident involving unauthorized access to payment information contained in a subset of hotel reservations processed through the Sabre Hospitality Solutions SynXis Central Reservation System (the “HS Central Reservation System”). Our investigation was supported by third party experts, including a leading cybersecurity firm. Our investigation determined that an unauthorized party: obtained access to account credentials that permitted access to a subset of hotel reservations processed through the HS Central Reservation System; used the account credentials to view a credit card summary page on the HS Central Reservation System and access payment card information (although we use encryption, this credential had the right to see unencrypted card data); and first obtained access to payment card information and some other reservation information on August 10, 2016. The last access to payment card information was on March 9, 2017. The unauthorized party was able to access information for certain hotel reservations, including cardholder name; payment card number; card expiration date; and, for a subset of reservations, card security code. The unauthorized party was also able, in some cases, to access certain information such as guest name(s), email, phone number, address, and other information if provided to the HS Central Reservation System. Information such as Social Security, passport, or driver’s license number was not accessed. The investigation did not uncover forensic evidence that the unauthorized party removed any information from the system, but it is a possibility. We took successful measures to ensure this unauthorized access to the HS Central Reservation System was stopped and is no longer possible. There is no indication that any of our systems beyond the HS Central Reservation System, such as Sabre’s Airline Solutions and Travel Network platforms, were affected or accessed by the unauthorized party. We notified law enforcement and the payment card brands and engaged a payment card industry data ("PCI") forensic investigator to investigate this incident at the payment card brands' request. We have notified customers and other companies that use or interact with, directly or indirectly, the HS Central Reservation System about the incident. We are also cooperating with various governmental authorities that are investigating this incident. Separately, in November 2017, Sabre Hospitality Solutions observed a pattern of activity that, after further investigation, led it to believe that an unauthorized party improperly obtained access to certain hotel user credentials for purposes of accessing the HS Central Reservation System. We deactivated the compromised accounts and notified law enforcement of this activity. We also notified the payment card brands, and at their request, we have engaged a PCI forensic investigator to investigate this incident. We have not found any evidence of a breach of the network security of the HS Central Reservation System, and we believe that the number of affected reservations represents only a fraction of 1% of the bookings in the HS Central Reservation System. Although the costs related to these incidents, including any associated penalties assessed by any governmental authority or payment card brand or indemnification obligations to our customers, as well as any other impacts or remediation related to this incident, may be material, it is not possible at this time to determine whether we will incur, or to reasonably estimate the amount of, any liabilities in connection with them. We maintain insurance that covers certain aspects of cyber risks, and we continue to work with our insurance carriers in these matters.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29"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believe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 refund claims. These receivables have inherent audit and collection risks unique to the specific jurisdictions that evaluate our refund claims. Our most significant VAT receivable is in Greece. As of December 31, 2019, we have approximately $22 million in VAT receivables for which refund claims have been filed with the Greek government. Although we have paid these amounts and believe we are entitled to a refund, the Greek tax authorities have challenged our position. In Greece, as in other jurisdictions, we intend to vigorously defend our positions against any claims that are not insignificant, including through litigation when necessary. As of December 31, 2019, we do not believe that an adverse outcome is probable with respect to the claims of the Greek tax authorities or any other jurisdiction; as a result, we have not accrued any material amounts for exposure related to such contingencies or adverse decisions. Nevertheless, we may incur expenses in future periods related to such matters, including litigation costs and possible pre-payment of a portion of any assessed tax amount to defend our position, and if our positions are ultimately rejected, it could have a material impact to our results of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17. Segment Information</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 Effective the first quarter of 2018, our business has three reportable segments: (i) Travel Network, (ii) Airline Solutions and (iii) Hospitality Solutions. In conjunction with this change, we have modified the methodology we have historically used to allocate shared corporate technology costs. Each segment now reflects a portion of our shared corporate costs that historically were not allocated to a business unit, based on relative consumption of shared technology infrastructure costs and defined revenue metrics. These changes have no impact on our consolidated results of operations, but result in a decrease of individual segment profitability only.</w:t>
      </w:r>
    </w:p>
    <w:p>
      <w:pPr>
        <w:spacing w:after="0" w:line="10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CODM utilizes Adjusted Gross Profit, Adjusted Operating Income and Adjusted EBITDA as the measures of profitability to evaluate performance of our segments and allocate resources. Corporate includes a technology organization that provides development and support activities to our segments. The majority of costs associated with our technology organization are allocated to the segments primarily based on the segments' usage of resources. Benefit expenses, facility costs and depreciation expense on the corporate headquarters building are allocated to the segments based on headcount. Unallocated corporate costs include certain shared expenses such as accounting, finance, human resources, legal, corporate systems, amortization of acquired intangible assets, impairment and related charges, stock-based compensation, restructuring charges, legal reserves and other items not identifiable with one of our segments.</w:t>
      </w:r>
    </w:p>
    <w:p>
      <w:pPr>
        <w:spacing w:after="0" w:line="10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 The majority of the intersegment revenues and cost of revenues are fees charged by Travel Network to Hospitality Solutions for airline trips booked through our GDS.</w:t>
      </w:r>
    </w:p>
    <w:p>
      <w:pPr>
        <w:spacing w:after="0" w:line="28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CODM does not review total assets by segment as operating evaluations and resource allocation decisions are not made on the basis of total assets by segment.</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performance of our segments is evaluated primarily on Adjusted Gross Profit, Adjusted Operating Income and Adjusted EBITDA which are not recognized terms under GAAP. Our uses of Adjusted Gross Profit, Adjusted Operating Income and Adjusted EBITDA have limitations as analytical tools, and should not be considered in isolation or as a substitute for analysis of our results as reported under GAAP.</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define Adjusted Gross Profit as operating income adjusted for selling, general and administrative expenses, impairment and related charges, the cost of revenue portion of depreciation and amortization, restructuring and other costs, amortization of upfront incentive compensation, and stock-based compensation included in cost of revenue.</w:t>
      </w:r>
    </w:p>
    <w:p>
      <w:pPr>
        <w:spacing w:after="0" w:line="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define Adjusted Operating Income as operating income adjusted for joint venture equity income, impairment and related charges, acquisition-related amortization, restructuring and other costs, acquisition-related costs, litigation costs, net, and stock-based compensation.</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define Adjusted EBITDA as income from continuing operations adjusted for impairment and related charges, depreciation and amortization of property and equipment, amortization of capitalized implementation costs, acquisition-related amortization, amortization of upfront incentive consideration, interest expense, net, loss on extinguishment of debt, other, net, restructuring and other costs, acquisition-related costs, litigation costs, net, stock-based compensation and provision for income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95" w:name="page96"/>
    <w:bookmarkEnd w:id="95"/>
    <w:p>
      <w:pPr>
        <w:ind w:left="500"/>
        <w:spacing w:after="0"/>
        <w:rPr>
          <w:sz w:val="20"/>
          <w:szCs w:val="20"/>
          <w:color w:val="auto"/>
        </w:rPr>
      </w:pPr>
      <w:r>
        <w:rPr>
          <w:rFonts w:ascii="Arial" w:cs="Arial" w:eastAsia="Arial" w:hAnsi="Arial"/>
          <w:sz w:val="16"/>
          <w:szCs w:val="16"/>
          <w:color w:val="auto"/>
        </w:rPr>
        <w:t>Segment information for the years ended December 31, 2019, 2018 and 2017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Travel Network</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2,882,662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2,806,194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2,550,470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Airline Solutions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840,338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822,747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816,008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Hospitality Solutions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292,880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273,079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258,352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Eliminations</w:t>
            </w:r>
          </w:p>
        </w:tc>
        <w:tc>
          <w:tcPr>
            <w:tcW w:w="30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(40,892)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(35,064)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3,974,988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3,866,956</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3,598,484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Adjusted Gross Profit (Loss)</w:t>
            </w:r>
            <w:r>
              <w:rPr>
                <w:rFonts w:ascii="Arial" w:cs="Arial" w:eastAsia="Arial" w:hAnsi="Arial"/>
                <w:sz w:val="21"/>
                <w:szCs w:val="21"/>
                <w:color w:val="auto"/>
                <w:vertAlign w:val="superscript"/>
              </w:rPr>
              <w:t>(a)</w:t>
            </w:r>
          </w:p>
        </w:tc>
        <w:tc>
          <w:tcPr>
            <w:tcW w:w="3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Travel Network</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1,016,695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1,098,052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1,071,249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Airline Solutions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326,610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355,079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366,255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Hospitality Solutions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64,842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83,333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88,477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w:t>
            </w:r>
          </w:p>
        </w:tc>
        <w:tc>
          <w:tcPr>
            <w:tcW w:w="30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(15,056)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60"/>
              <w:spacing w:after="0"/>
              <w:rPr>
                <w:sz w:val="20"/>
                <w:szCs w:val="20"/>
                <w:color w:val="auto"/>
              </w:rPr>
            </w:pPr>
            <w:r>
              <w:rPr>
                <w:rFonts w:ascii="Arial" w:cs="Arial" w:eastAsia="Arial" w:hAnsi="Arial"/>
                <w:sz w:val="16"/>
                <w:szCs w:val="16"/>
                <w:color w:val="auto"/>
              </w:rPr>
              <w:t>Total</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1,391,806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1,521,408</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1,500,186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 xml:space="preserve">Adjusted Operating Income (Loss) </w:t>
            </w:r>
            <w:r>
              <w:rPr>
                <w:rFonts w:ascii="Arial" w:cs="Arial" w:eastAsia="Arial" w:hAnsi="Arial"/>
                <w:sz w:val="21"/>
                <w:szCs w:val="21"/>
                <w:color w:val="auto"/>
                <w:vertAlign w:val="superscript"/>
              </w:rPr>
              <w:t>(b)</w:t>
            </w: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Travel Network</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648,838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755,811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746,625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Airline Solutions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80,428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111,146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137,932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Hospitality Solutions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9,670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w:t>
            </w:r>
          </w:p>
        </w:tc>
        <w:tc>
          <w:tcPr>
            <w:tcW w:w="30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(194,226)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(178,406)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(188,078)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60"/>
              <w:spacing w:after="0"/>
              <w:rPr>
                <w:sz w:val="20"/>
                <w:szCs w:val="20"/>
                <w:color w:val="auto"/>
              </w:rPr>
            </w:pPr>
            <w:r>
              <w:rPr>
                <w:rFonts w:ascii="Arial" w:cs="Arial" w:eastAsia="Arial" w:hAnsi="Arial"/>
                <w:sz w:val="16"/>
                <w:szCs w:val="16"/>
                <w:color w:val="auto"/>
              </w:rPr>
              <w:t>Total</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513,408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701,432</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706,149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(c)</w:t>
            </w:r>
          </w:p>
        </w:tc>
        <w:tc>
          <w:tcPr>
            <w:tcW w:w="3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Travel Network</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852,856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951,709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923,615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Airline Solutions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251,442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293,577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296,437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Hospitality Solutions</w:t>
            </w:r>
          </w:p>
        </w:tc>
        <w:tc>
          <w:tcPr>
            <w:tcW w:w="3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31,466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52,824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segments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1,135,764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1,298,110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1,262,836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(189,404)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(173,720)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946,360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1,124,390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1,078,571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Depreciation and amortization</w:t>
            </w:r>
          </w:p>
        </w:tc>
        <w:tc>
          <w:tcPr>
            <w:tcW w:w="3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Travel Network</w:t>
            </w:r>
          </w:p>
        </w:tc>
        <w:tc>
          <w:tcPr>
            <w:tcW w:w="3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121,083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118,276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109,579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Airline Solutions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171,014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182,431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158,505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Hospitality Solutions</w:t>
            </w:r>
          </w:p>
        </w:tc>
        <w:tc>
          <w:tcPr>
            <w:tcW w:w="30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53,098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460"/>
              <w:spacing w:after="0"/>
              <w:rPr>
                <w:sz w:val="20"/>
                <w:szCs w:val="20"/>
                <w:color w:val="auto"/>
              </w:rPr>
            </w:pPr>
            <w:r>
              <w:rPr>
                <w:rFonts w:ascii="Arial" w:cs="Arial" w:eastAsia="Arial" w:hAnsi="Arial"/>
                <w:sz w:val="16"/>
                <w:szCs w:val="16"/>
                <w:color w:val="auto"/>
              </w:rPr>
              <w:t>Total segments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345,195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340,650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301,198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w:t>
            </w:r>
          </w:p>
        </w:tc>
        <w:tc>
          <w:tcPr>
            <w:tcW w:w="30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69,426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72,694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99,673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60"/>
              <w:spacing w:after="0"/>
              <w:rPr>
                <w:sz w:val="20"/>
                <w:szCs w:val="20"/>
                <w:color w:val="auto"/>
              </w:rPr>
            </w:pPr>
            <w:r>
              <w:rPr>
                <w:rFonts w:ascii="Arial" w:cs="Arial" w:eastAsia="Arial" w:hAnsi="Arial"/>
                <w:sz w:val="16"/>
                <w:szCs w:val="16"/>
                <w:color w:val="auto"/>
              </w:rPr>
              <w:t>Total</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414,621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413,344</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400,871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20"/>
              <w:spacing w:after="0"/>
              <w:rPr>
                <w:sz w:val="20"/>
                <w:szCs w:val="20"/>
                <w:color w:val="auto"/>
              </w:rPr>
            </w:pPr>
            <w:r>
              <w:rPr>
                <w:rFonts w:ascii="Arial" w:cs="Arial" w:eastAsia="Arial" w:hAnsi="Arial"/>
                <w:sz w:val="16"/>
                <w:szCs w:val="16"/>
                <w:color w:val="auto"/>
              </w:rPr>
              <w:t>Travel Network</w:t>
            </w:r>
          </w:p>
        </w:tc>
        <w:tc>
          <w:tcPr>
            <w:tcW w:w="3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64,943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90,881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Airline Solutions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37,062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98,374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116,948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Hospitality Solutions</w:t>
            </w:r>
          </w:p>
        </w:tc>
        <w:tc>
          <w:tcPr>
            <w:tcW w:w="3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39,160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43,443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segments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63,966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202,477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251,272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51,200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81,463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65,165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115,166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283,940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316,437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279"/>
              <w:spacing w:after="0"/>
              <w:rPr>
                <w:sz w:val="20"/>
                <w:szCs w:val="20"/>
                <w:color w:val="auto"/>
              </w:rPr>
            </w:pPr>
            <w:r>
              <w:rPr>
                <w:rFonts w:ascii="Arial" w:cs="Arial" w:eastAsia="Arial" w:hAnsi="Arial"/>
                <w:sz w:val="16"/>
                <w:szCs w:val="16"/>
                <w:color w:val="auto"/>
              </w:rPr>
              <w:t>94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41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27"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(a)  The following table sets forth the reconciliation of Adjusted Gross Profit to operating income in our statement of operations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50"/>
        </w:trPr>
        <w:tc>
          <w:tcPr>
            <w:tcW w:w="7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Gross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1,391,806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1,521,408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1,500,186</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Less adjustments: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576,568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513,526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510,075</w:t>
            </w:r>
          </w:p>
        </w:tc>
      </w:tr>
      <w:tr>
        <w:trPr>
          <w:trHeight w:val="243"/>
        </w:trPr>
        <w:tc>
          <w:tcPr>
            <w:tcW w:w="7160" w:type="dxa"/>
            <w:vAlign w:val="bottom"/>
          </w:tcPr>
          <w:p>
            <w:pPr>
              <w:ind w:left="220"/>
              <w:spacing w:after="0"/>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(7)</w:t>
            </w:r>
          </w:p>
        </w:tc>
        <w:tc>
          <w:tcPr>
            <w:tcW w:w="280" w:type="dxa"/>
            <w:vAlign w:val="bottom"/>
          </w:tcPr>
          <w:p>
            <w:pPr>
              <w:spacing w:after="0"/>
              <w:rPr>
                <w:sz w:val="21"/>
                <w:szCs w:val="21"/>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81,112</w:t>
            </w:r>
          </w:p>
        </w:tc>
      </w:tr>
      <w:tr>
        <w:trPr>
          <w:trHeight w:val="24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revenue adjustments: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7160" w:type="dxa"/>
            <w:vAlign w:val="bottom"/>
          </w:tcPr>
          <w:p>
            <w:pPr>
              <w:ind w:left="46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340,889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341,653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317,812</w:t>
            </w:r>
          </w:p>
        </w:tc>
      </w:tr>
      <w:tr>
        <w:trPr>
          <w:trHeight w:val="243"/>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82,935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77,622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67,411</w:t>
            </w:r>
          </w:p>
        </w:tc>
      </w:tr>
      <w:tr>
        <w:trPr>
          <w:trHeight w:val="243"/>
        </w:trPr>
        <w:tc>
          <w:tcPr>
            <w:tcW w:w="7160" w:type="dxa"/>
            <w:vAlign w:val="bottom"/>
          </w:tcPr>
          <w:p>
            <w:pPr>
              <w:ind w:left="46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280" w:type="dxa"/>
            <w:vAlign w:val="bottom"/>
          </w:tcPr>
          <w:p>
            <w:pPr>
              <w:spacing w:after="0"/>
              <w:rPr>
                <w:sz w:val="21"/>
                <w:szCs w:val="21"/>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12,604</w:t>
            </w:r>
          </w:p>
        </w:tc>
      </w:tr>
      <w:tr>
        <w:trPr>
          <w:trHeight w:val="243"/>
        </w:trPr>
        <w:tc>
          <w:tcPr>
            <w:tcW w:w="7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27,997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26,591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17,732</w:t>
            </w:r>
          </w:p>
        </w:tc>
      </w:tr>
      <w:tr>
        <w:trPr>
          <w:trHeight w:val="230"/>
        </w:trPr>
        <w:tc>
          <w:tcPr>
            <w:tcW w:w="71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363,417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562,016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493,440</w:t>
            </w:r>
          </w:p>
        </w:tc>
      </w:tr>
      <w:tr>
        <w:trPr>
          <w:trHeight w:val="27"/>
        </w:trPr>
        <w:tc>
          <w:tcPr>
            <w:tcW w:w="7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(b)  The following table sets forth the reconciliation of Adjusted Operating Income to operating income in our statement of operations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50"/>
        </w:trPr>
        <w:tc>
          <w:tcPr>
            <w:tcW w:w="7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513,408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701,432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706,149</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Less adjustments: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3"/>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Joint venture equity income</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2,580</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(7)</w:t>
            </w:r>
          </w:p>
        </w:tc>
        <w:tc>
          <w:tcPr>
            <w:tcW w:w="320" w:type="dxa"/>
            <w:vAlign w:val="bottom"/>
          </w:tcPr>
          <w:p>
            <w:pPr>
              <w:spacing w:after="0"/>
              <w:rPr>
                <w:sz w:val="21"/>
                <w:szCs w:val="21"/>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81,112</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(1c)</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64,604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68,008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95,860</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320" w:type="dxa"/>
            <w:vAlign w:val="bottom"/>
          </w:tcPr>
          <w:p>
            <w:pPr>
              <w:spacing w:after="0"/>
              <w:rPr>
                <w:sz w:val="21"/>
                <w:szCs w:val="21"/>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23,975</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41,037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3,266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3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(35,507)</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66,885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57,263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44,689</w:t>
            </w:r>
          </w:p>
        </w:tc>
      </w:tr>
      <w:tr>
        <w:trPr>
          <w:trHeight w:val="230"/>
        </w:trPr>
        <w:tc>
          <w:tcPr>
            <w:tcW w:w="71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363,417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562,016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493,440</w:t>
            </w:r>
          </w:p>
        </w:tc>
      </w:tr>
      <w:tr>
        <w:trPr>
          <w:trHeight w:val="27"/>
        </w:trPr>
        <w:tc>
          <w:tcPr>
            <w:tcW w:w="7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tab/>
        <w:t>The following table sets forth the reconciliation of Adjusted EBITDA to income from continuing operations in our statement of operations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37"/>
        </w:trPr>
        <w:tc>
          <w:tcPr>
            <w:tcW w:w="7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946,360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1,124,390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1,078,571</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Less adjustments: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81,112</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(1a)</w:t>
            </w:r>
          </w:p>
        </w:tc>
        <w:tc>
          <w:tcPr>
            <w:tcW w:w="32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310,573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303,612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264,880</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(1b)</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39,444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41,724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40,131</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(1c)</w:t>
            </w:r>
          </w:p>
        </w:tc>
        <w:tc>
          <w:tcPr>
            <w:tcW w:w="32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68,008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95,860</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82,935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77,622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67,411</w:t>
            </w:r>
          </w:p>
        </w:tc>
      </w:tr>
      <w:tr>
        <w:trPr>
          <w:trHeight w:val="240"/>
        </w:trPr>
        <w:tc>
          <w:tcPr>
            <w:tcW w:w="716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156,391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157,017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153,925</w:t>
            </w:r>
          </w:p>
        </w:tc>
      </w:tr>
      <w:tr>
        <w:trPr>
          <w:trHeight w:val="246"/>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1,012</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2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9,432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(36,530)</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23,975</w:t>
            </w:r>
          </w:p>
        </w:tc>
      </w:tr>
      <w:tr>
        <w:trPr>
          <w:trHeight w:val="243"/>
        </w:trPr>
        <w:tc>
          <w:tcPr>
            <w:tcW w:w="7160" w:type="dxa"/>
            <w:vAlign w:val="bottom"/>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32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41,037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(24,579)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(35,507)</w:t>
            </w:r>
          </w:p>
        </w:tc>
      </w:tr>
      <w:tr>
        <w:trPr>
          <w:trHeight w:val="240"/>
        </w:trPr>
        <w:tc>
          <w:tcPr>
            <w:tcW w:w="716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66,885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57,263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44,689</w:t>
            </w:r>
          </w:p>
        </w:tc>
      </w:tr>
      <w:tr>
        <w:trPr>
          <w:trHeight w:val="246"/>
        </w:trPr>
        <w:tc>
          <w:tcPr>
            <w:tcW w:w="7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income taxes</w:t>
            </w:r>
            <w:r>
              <w:rPr>
                <w:rFonts w:ascii="Arial" w:cs="Arial" w:eastAsia="Arial" w:hAnsi="Arial"/>
                <w:sz w:val="21"/>
                <w:szCs w:val="21"/>
                <w:color w:val="auto"/>
                <w:vertAlign w:val="superscript"/>
              </w:rPr>
              <w:t>(8)</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35,326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57,492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128,037</w:t>
            </w:r>
          </w:p>
        </w:tc>
      </w:tr>
      <w:tr>
        <w:trPr>
          <w:trHeight w:val="230"/>
        </w:trPr>
        <w:tc>
          <w:tcPr>
            <w:tcW w:w="716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164,312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340,921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249,576</w:t>
            </w:r>
          </w:p>
        </w:tc>
      </w:tr>
      <w:tr>
        <w:trPr>
          <w:trHeight w:val="27"/>
        </w:trPr>
        <w:tc>
          <w:tcPr>
            <w:tcW w:w="7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10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________________________</w:t>
      </w:r>
    </w:p>
    <w:p>
      <w:pPr>
        <w:sectPr>
          <w:pgSz w:w="11900" w:h="16838" w:orient="portrait"/>
          <w:cols w:equalWidth="0" w:num="1">
            <w:col w:w="11380"/>
          </w:cols>
          <w:pgMar w:left="240" w:top="1073" w:right="27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73" w:right="279" w:bottom="1440" w:gutter="0" w:footer="0" w:header="0"/>
          <w:type w:val="continuous"/>
        </w:sectPr>
      </w:pPr>
    </w:p>
    <w:bookmarkStart w:id="97" w:name="page98"/>
    <w:bookmarkEnd w:id="97"/>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Depreciation and amortization expenses (see Note 1. Summary of Business and Significant Accounting Policies for associated asset lives):</w:t>
      </w:r>
    </w:p>
    <w:p>
      <w:pPr>
        <w:spacing w:after="0" w:line="1" w:lineRule="exact"/>
        <w:rPr>
          <w:rFonts w:ascii="Arial" w:cs="Arial" w:eastAsia="Arial" w:hAnsi="Arial"/>
          <w:sz w:val="14"/>
          <w:szCs w:val="14"/>
          <w:color w:val="auto"/>
        </w:rPr>
      </w:pPr>
    </w:p>
    <w:p>
      <w:pPr>
        <w:ind w:left="960" w:hanging="304"/>
        <w:spacing w:after="0"/>
        <w:tabs>
          <w:tab w:leader="none" w:pos="9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1" w:lineRule="exact"/>
        <w:rPr>
          <w:rFonts w:ascii="Arial" w:cs="Arial" w:eastAsia="Arial" w:hAnsi="Arial"/>
          <w:sz w:val="14"/>
          <w:szCs w:val="14"/>
          <w:color w:val="auto"/>
        </w:rPr>
      </w:pPr>
    </w:p>
    <w:p>
      <w:pPr>
        <w:ind w:left="980" w:hanging="324"/>
        <w:spacing w:after="0" w:line="241" w:lineRule="auto"/>
        <w:tabs>
          <w:tab w:leader="none" w:pos="967" w:val="left"/>
        </w:tabs>
        <w:numPr>
          <w:ilvl w:val="1"/>
          <w:numId w:val="37"/>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ind w:left="980" w:hanging="324"/>
        <w:spacing w:after="0" w:line="241" w:lineRule="auto"/>
        <w:tabs>
          <w:tab w:leader="none" w:pos="972" w:val="left"/>
        </w:tabs>
        <w:numPr>
          <w:ilvl w:val="1"/>
          <w:numId w:val="37"/>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jc w:val="both"/>
        <w:ind w:left="34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ten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 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164" w:lineRule="exact"/>
        <w:rPr>
          <w:rFonts w:ascii="Arial" w:cs="Arial" w:eastAsia="Arial" w:hAnsi="Arial"/>
          <w:sz w:val="14"/>
          <w:szCs w:val="14"/>
          <w:color w:val="auto"/>
        </w:rPr>
      </w:pPr>
    </w:p>
    <w:p>
      <w:pPr>
        <w:jc w:val="both"/>
        <w:ind w:left="340" w:hanging="332"/>
        <w:spacing w:after="0" w:line="248"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2019, Other, net primarily includes foreign exchange gains and losses related to the remeasurement of foreign currency denominated balances included in our consolidated balance sheets into the relevant functional currency. In 2018, we recognized an expense of $5 million related to our liability under the TRA offset by a gain of $8 million on the sale of an investment. In 2017, we recognized a benefit of $60 million due to a reduction to our liability under the TRA primarily due to a provisional adjustment resulting from the enactment of TCJA which reduced the U.S. corporate income tax rate (see Note 7. Income Taxes), offset by a loss of $15 million related to debt modification costs associated with a debt refinancing. In addition, all periods presented include foreign exchange gains and losses related to the remeasurement of foreign currency denominated balances included in our consolidated balance sheets into the relevant functional currency.</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 We recorded $25 million in charges associated with an announced action to reduce our workforce in 2017. These reductions aligned our operations with business needs and implemented an ongoing cost and organizational structure consistent with our expected growth needs and opportunities.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the 2019 acquisition of Radixx and the 2018 agreement to acquire Farelogix, which is anticipated to close in 2020. See Note 3. Acquisitions.</w:t>
      </w:r>
    </w:p>
    <w:p>
      <w:pPr>
        <w:jc w:val="both"/>
        <w:ind w:left="340" w:hanging="332"/>
        <w:spacing w:after="0" w:line="242"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and other foreign non-income tax contingency matters. In 2019, we recognized the reversal of our previously accrued loss related to US Airways legal matter for $32 million. In 2018, we recorded non-income tax expense of $5 million for tax, penalties and interest associated with certain non-income tax claims for historical periods regarding permanent establishment in a foreign jurisdiction. In 2017, we recorded a $43 million reimbursement, net of accrued legal and related expenses, from a settlement with our insurance carriers with respect to the American Airlines litigation. See Note 16. Commitments and Contingencies.</w:t>
      </w:r>
    </w:p>
    <w:p>
      <w:pPr>
        <w:spacing w:after="0" w:line="160"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Impairment and related charges represents an $81 million impairment charge recorded in 2017 associated with net capitalized contract costs related to an Airline Solutions' customer based on our analysis of the recoverability of such amounts. See Note 4. Impairment and Related Charges for additional information.</w:t>
      </w:r>
    </w:p>
    <w:p>
      <w:pPr>
        <w:ind w:left="340" w:hanging="332"/>
        <w:spacing w:after="0" w:line="258"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2018, the provision for income taxes includes a benefit of $27 million related to the enactment of the TCJA for deferred taxes and foreign tax effects. In 2017, provision for income taxes includes a provisional impact of $47 million recognized as a result of the enactment of the TCJA in December 2017. See Note 7. Income Taxes.</w:t>
      </w:r>
    </w:p>
    <w:p>
      <w:pPr>
        <w:spacing w:after="0" w:line="13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Network, this fee is in the form of a transaction fee for bookings on our GDS; for Airline Solutions and Hospitality Solutions, this fee is a recurring usage-based fee for the use of our SaaS and hosted systems, as well as implementation fees and professional service fees. Transaction-based revenue accounted for approximately 94%, 95% and 95% of our Travel Network revenue for each of the years ended December 31, 2019, 2018 and 2017. Transaction-based revenue accounted for approximately 80%, 81% and 74% for the years ended December 31, 2019, 2018 and 2017, respectively, of our Airline Solutions revenue. Transaction-based revenue accounted for approximately 80%, 81% and 83% for the years ended December 31, 2019, 2018 and 2017, respectively, of our Hospitality Solutions revenue. All joint venture equity income relates to Travel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22" w:right="239" w:bottom="1440" w:gutter="0" w:footer="0" w:header="0"/>
        </w:sectPr>
      </w:pPr>
    </w:p>
    <w:bookmarkStart w:id="98" w:name="page99"/>
    <w:bookmarkEnd w:id="98"/>
    <w:p>
      <w:pPr>
        <w:jc w:val="both"/>
        <w:ind w:firstLine="486"/>
        <w:spacing w:after="0" w:line="251" w:lineRule="auto"/>
        <w:rPr>
          <w:sz w:val="20"/>
          <w:szCs w:val="20"/>
          <w:color w:val="auto"/>
        </w:rPr>
      </w:pPr>
      <w:r>
        <w:rPr>
          <w:rFonts w:ascii="Arial" w:cs="Arial" w:eastAsia="Arial" w:hAnsi="Arial"/>
          <w:sz w:val="16"/>
          <w:szCs w:val="16"/>
          <w:color w:val="auto"/>
        </w:rPr>
        <w:t>Our revenues and long-lived assets, excluding goodwill and intangible assets, by geographic region are summarized below. Revenue of our Travel Network business is attributed to countries based on the location of the travel supplier. For Airline Solutions and Hospitality Solutions, revenue is attributed to countries based on the location of the customer. The majority of our revenues and long-lived assets are derived from the United States, Europe, and Asia-Pacific ("APAC")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w w:val="95"/>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 xml:space="preserve">United States </w:t>
            </w:r>
            <w:r>
              <w:rPr>
                <w:rFonts w:ascii="Arial" w:cs="Arial" w:eastAsia="Arial" w:hAnsi="Arial"/>
                <w:sz w:val="21"/>
                <w:szCs w:val="21"/>
                <w:color w:val="auto"/>
                <w:vertAlign w:val="superscript"/>
              </w:rPr>
              <w:t>(1)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1,306,450</w:t>
            </w: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1,346,895</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1,340,893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913,245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928,533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777,406</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APAC</w:t>
            </w:r>
          </w:p>
        </w:tc>
        <w:tc>
          <w:tcPr>
            <w:tcW w:w="28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822,679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820,711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715,740</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932,614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770,817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764,445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140" w:type="dxa"/>
            <w:vAlign w:val="bottom"/>
          </w:tcPr>
          <w:p>
            <w:pPr>
              <w:ind w:left="4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3,974,988</w:t>
            </w: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3,866,956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3,598,484</w:t>
            </w: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w:t>
            </w: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440" w:type="dxa"/>
            <w:vAlign w:val="bottom"/>
            <w:gridSpan w:val="4"/>
          </w:tcPr>
          <w:p>
            <w:pPr>
              <w:spacing w:after="0"/>
              <w:rPr>
                <w:sz w:val="20"/>
                <w:szCs w:val="20"/>
                <w:color w:val="auto"/>
              </w:rPr>
            </w:pPr>
            <w:r>
              <w:rPr>
                <w:rFonts w:ascii="Arial" w:cs="Arial" w:eastAsia="Arial" w:hAnsi="Arial"/>
                <w:sz w:val="14"/>
                <w:szCs w:val="14"/>
                <w:color w:val="auto"/>
              </w:rPr>
              <w:t>(1)  United States includes revenue related to Canada and Mexico in 2018 and 2017 that is reflected in 'All Other' in 2019.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Long-lived assets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 xml:space="preserve">United States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622,034</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773,739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APAC</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11,521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6,573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5,644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140" w:type="dxa"/>
            <w:vAlign w:val="bottom"/>
          </w:tcPr>
          <w:p>
            <w:pPr>
              <w:ind w:left="440"/>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641,722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790,372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United States includes long-lived assets related to Canada and Mexico in 2018 and 2017 that is reflected in 'All Other' in 2019.</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Quarterly Financial Information (Unaudited)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our quarterly financial results for the years ended December 31, 2019 and 2018 is presented below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Year Ended December 31, 2019</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8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b w:val="1"/>
                <w:bCs w:val="1"/>
                <w:color w:val="auto"/>
              </w:rPr>
              <w:t>First Quarter</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2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Third Quarter</w:t>
            </w:r>
          </w:p>
        </w:tc>
        <w:tc>
          <w:tcPr>
            <w:tcW w:w="180" w:type="dxa"/>
            <w:vAlign w:val="bottom"/>
          </w:tcPr>
          <w:p>
            <w:pPr>
              <w:spacing w:after="0"/>
              <w:rPr>
                <w:sz w:val="15"/>
                <w:szCs w:val="15"/>
                <w:color w:val="auto"/>
              </w:rPr>
            </w:pPr>
          </w:p>
        </w:tc>
        <w:tc>
          <w:tcPr>
            <w:tcW w:w="1220" w:type="dxa"/>
            <w:vAlign w:val="bottom"/>
          </w:tcPr>
          <w:p>
            <w:pPr>
              <w:jc w:val="right"/>
              <w:ind w:right="181"/>
              <w:spacing w:after="0"/>
              <w:rPr>
                <w:sz w:val="20"/>
                <w:szCs w:val="20"/>
                <w:color w:val="auto"/>
              </w:rPr>
            </w:pPr>
            <w:r>
              <w:rPr>
                <w:rFonts w:ascii="Arial" w:cs="Arial" w:eastAsia="Arial" w:hAnsi="Arial"/>
                <w:sz w:val="13"/>
                <w:szCs w:val="13"/>
                <w:b w:val="1"/>
                <w:bCs w:val="1"/>
                <w:color w:val="auto"/>
              </w:rPr>
              <w:t>Fourth Quarter</w:t>
            </w:r>
          </w:p>
        </w:tc>
      </w:tr>
      <w:tr>
        <w:trPr>
          <w:trHeight w:val="24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1,049,361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1,000,006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984,199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941,422</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110,407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81,913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113,460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57,637</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59,214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28,094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65,180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11,824</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(Loss) income from discontinued operations, net of tax</w:t>
            </w:r>
          </w:p>
        </w:tc>
        <w:tc>
          <w:tcPr>
            <w:tcW w:w="2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(1,068)</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57,762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29,444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64,584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10,756</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56,850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27,838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10,091</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5500" w:type="dxa"/>
            <w:vAlign w:val="bottom"/>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0.04</w:t>
            </w:r>
          </w:p>
        </w:tc>
      </w:tr>
      <w:tr>
        <w:trPr>
          <w:trHeight w:val="253"/>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0.04</w:t>
            </w:r>
          </w:p>
        </w:tc>
      </w:tr>
      <w:tr>
        <w:trPr>
          <w:trHeight w:val="682"/>
        </w:trPr>
        <w:tc>
          <w:tcPr>
            <w:tcW w:w="5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Year Ended December 31, 2018</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b w:val="1"/>
                <w:bCs w:val="1"/>
                <w:color w:val="auto"/>
              </w:rPr>
              <w:t>First Quarter</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2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Third Quarter</w:t>
            </w:r>
          </w:p>
        </w:tc>
        <w:tc>
          <w:tcPr>
            <w:tcW w:w="180" w:type="dxa"/>
            <w:vAlign w:val="bottom"/>
          </w:tcPr>
          <w:p>
            <w:pPr>
              <w:spacing w:after="0"/>
              <w:rPr>
                <w:sz w:val="15"/>
                <w:szCs w:val="15"/>
                <w:color w:val="auto"/>
              </w:rPr>
            </w:pPr>
          </w:p>
        </w:tc>
        <w:tc>
          <w:tcPr>
            <w:tcW w:w="1220" w:type="dxa"/>
            <w:vAlign w:val="bottom"/>
          </w:tcPr>
          <w:p>
            <w:pPr>
              <w:jc w:val="right"/>
              <w:ind w:right="181"/>
              <w:spacing w:after="0"/>
              <w:rPr>
                <w:sz w:val="20"/>
                <w:szCs w:val="20"/>
                <w:color w:val="auto"/>
              </w:rPr>
            </w:pPr>
            <w:r>
              <w:rPr>
                <w:rFonts w:ascii="Arial" w:cs="Arial" w:eastAsia="Arial" w:hAnsi="Arial"/>
                <w:sz w:val="13"/>
                <w:szCs w:val="13"/>
                <w:b w:val="1"/>
                <w:bCs w:val="1"/>
                <w:color w:val="auto"/>
              </w:rPr>
              <w:t>Fourth Quarter</w:t>
            </w:r>
          </w:p>
        </w:tc>
      </w:tr>
      <w:tr>
        <w:trPr>
          <w:trHeight w:val="24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988,369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984,376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970,283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923,928</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165,401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138,833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136,763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121,019</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90,449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92,565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70,879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87,028</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(Loss) income from discontinued operations, net of tax</w:t>
            </w:r>
          </w:p>
        </w:tc>
        <w:tc>
          <w:tcPr>
            <w:tcW w:w="2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(1,478)</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89,242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93,325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74,543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85,550</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87,880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92,246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73,005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84,400</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0.31</w:t>
            </w:r>
          </w:p>
        </w:tc>
      </w:tr>
      <w:tr>
        <w:trPr>
          <w:trHeight w:val="25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0.30</w:t>
            </w:r>
          </w:p>
        </w:tc>
      </w:tr>
    </w:tbl>
    <w:p>
      <w:pPr>
        <w:spacing w:after="0" w:line="200" w:lineRule="exact"/>
        <w:rPr>
          <w:sz w:val="20"/>
          <w:szCs w:val="20"/>
          <w:color w:val="auto"/>
        </w:rPr>
      </w:pPr>
    </w:p>
    <w:p>
      <w:pPr>
        <w:sectPr>
          <w:pgSz w:w="11900" w:h="16838" w:orient="portrait"/>
          <w:cols w:equalWidth="0" w:num="1">
            <w:col w:w="11420"/>
          </w:cols>
          <w:pgMar w:left="240" w:top="10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3"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19. Subsequent Events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travel industry continues to be adversely affected by the global health crisis due to the outbreak of the coronavirus (COVID-19) in January 2020, especially as it relates to air travel to and from Asia. We expect a material impact to our consolidated financial results in the first quarter of 2020. Given the uncertainties surrounding the duration of the outbreak and its impact on global travel, we cannot reasonably estimate the related financial impact to our full-year 2020 financial results; however, we expect the impact will be material.</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 Integrated Framework issued by the Committee of Sponsoring Organizations of the Treadway Commission (2013 framework). Based on our evaluation, we concluded that our internal control over financial reporting is effective as of December 31, 2019.</w:t>
      </w:r>
    </w:p>
    <w:p>
      <w:pPr>
        <w:spacing w:after="0" w:line="95" w:lineRule="exact"/>
        <w:rPr>
          <w:sz w:val="20"/>
          <w:szCs w:val="20"/>
          <w:color w:val="auto"/>
        </w:rPr>
      </w:pPr>
    </w:p>
    <w:p>
      <w:pPr>
        <w:jc w:val="both"/>
        <w:ind w:firstLine="486"/>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independent registered public accounting firm, Ernst &amp; Young LLP, has issued an attestation report on the effectiveness of our internal control over financial reporting as of December 31, 2019, which is included in </w:t>
      </w:r>
      <w:hyperlink w:anchor="page52">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There have been no changes in our internal control over financial reporting (as this term is defined in Exchange Act Rule 13a-15(f)) during the year ended December 31, 2019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information set forth under the following headings of our definitive Proxy Statement for our 2020 annual meeting of stockholders (the “2020 Proxy Statement”) is incorporated in this Item 10 by reference:</w:t>
      </w:r>
    </w:p>
    <w:p>
      <w:pPr>
        <w:spacing w:after="0" w:line="88" w:lineRule="exact"/>
        <w:rPr>
          <w:sz w:val="20"/>
          <w:szCs w:val="20"/>
          <w:color w:val="auto"/>
        </w:rPr>
      </w:pPr>
    </w:p>
    <w:p>
      <w:pPr>
        <w:ind w:left="820" w:hanging="326"/>
        <w:spacing w:after="0" w:line="260" w:lineRule="auto"/>
        <w:tabs>
          <w:tab w:leader="none" w:pos="8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Information Regarding Nominees for Director” under “Proposal 1. Election of Directors,” which identifies our directors and nominees for our Board of Directors.</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information—Delinquent Section 16(a) Reports.”</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“Corporate Governance—Other Corporate Governance Practices and Policies—Code of Business Ethics,” which describes our Code of Business Ethics.</w:t>
      </w:r>
    </w:p>
    <w:p>
      <w:pPr>
        <w:spacing w:after="0" w:line="87"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“Corporate Governance—Stockholder Nominations for Directors” and "Other Information—Proxy Access Nominations and Annual Meeting Advance Notice Requirements" which describe the procedures by which stockholders may nominate candidates for election to our Board of Directors.</w:t>
      </w:r>
    </w:p>
    <w:p>
      <w:pPr>
        <w:spacing w:after="0" w:line="87"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“Corporate Governance—Board Committees—Audit Committee," which identifies members of the Audit Committee of our Board of Directors and audit committee financial experts.</w:t>
      </w:r>
    </w:p>
    <w:p>
      <w:pPr>
        <w:spacing w:after="0" w:line="196" w:lineRule="exact"/>
        <w:rPr>
          <w:sz w:val="20"/>
          <w:szCs w:val="20"/>
          <w:color w:val="auto"/>
        </w:rPr>
      </w:pPr>
    </w:p>
    <w:p>
      <w:pPr>
        <w:jc w:val="both"/>
        <w:ind w:firstLine="486"/>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regarding our executive officers is reported under the caption “Information About Our Executive Officers” in </w:t>
      </w:r>
      <w:hyperlink w:anchor="page3">
        <w:r>
          <w:rPr>
            <w:rFonts w:ascii="Arial" w:cs="Arial" w:eastAsia="Arial" w:hAnsi="Arial"/>
            <w:sz w:val="16"/>
            <w:szCs w:val="16"/>
            <w:u w:val="single" w:color="auto"/>
            <w:color w:val="0000FF"/>
          </w:rPr>
          <w:t>Part 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information set forth under the headings “Compensation Discussion and Analysis,” “Executive Compensation,” “Proposal 1. Election of Directors— Director Compensation Program” and “Corporate Governance—Compensation Committee Interlocks and Insider Participation” of the 2020 Proxy Statement is incorporated in this Item 11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information set forth under the heading “Security Ownership of Certain Beneficial Owners and Management” of the 2020 Proxy Statement is incorporated in this Item 12 by reference.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Compensation Plan Information</w:t>
      </w:r>
    </w:p>
    <w:p>
      <w:pPr>
        <w:spacing w:after="0" w:line="1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following table gives information about our common stock that may be issued upon the exercise of options, warrants and rights under all of our equity compensation plans as of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7"/>
              </w:rPr>
              <w:t>Number of securities</w:t>
            </w:r>
          </w:p>
        </w:tc>
      </w:tr>
      <w:tr>
        <w:trPr>
          <w:trHeight w:val="135"/>
        </w:trPr>
        <w:tc>
          <w:tcPr>
            <w:tcW w:w="5640" w:type="dxa"/>
            <w:vAlign w:val="bottom"/>
          </w:tcPr>
          <w:p>
            <w:pPr>
              <w:spacing w:after="0"/>
              <w:rPr>
                <w:sz w:val="11"/>
                <w:szCs w:val="11"/>
                <w:color w:val="auto"/>
              </w:rPr>
            </w:pP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Number of securities to be</w:t>
            </w:r>
          </w:p>
        </w:tc>
        <w:tc>
          <w:tcPr>
            <w:tcW w:w="120" w:type="dxa"/>
            <w:vAlign w:val="bottom"/>
          </w:tcPr>
          <w:p>
            <w:pPr>
              <w:spacing w:after="0"/>
              <w:rPr>
                <w:sz w:val="11"/>
                <w:szCs w:val="11"/>
                <w:color w:val="auto"/>
              </w:rPr>
            </w:pPr>
          </w:p>
        </w:tc>
        <w:tc>
          <w:tcPr>
            <w:tcW w:w="1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Weighted average exercise</w:t>
            </w:r>
          </w:p>
        </w:tc>
        <w:tc>
          <w:tcPr>
            <w:tcW w:w="1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remaining available for future</w:t>
            </w:r>
          </w:p>
        </w:tc>
      </w:tr>
      <w:tr>
        <w:trPr>
          <w:trHeight w:val="135"/>
        </w:trPr>
        <w:tc>
          <w:tcPr>
            <w:tcW w:w="5640" w:type="dxa"/>
            <w:vAlign w:val="bottom"/>
          </w:tcPr>
          <w:p>
            <w:pPr>
              <w:spacing w:after="0"/>
              <w:rPr>
                <w:sz w:val="11"/>
                <w:szCs w:val="11"/>
                <w:color w:val="auto"/>
              </w:rPr>
            </w:pP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issued upon exercise of</w:t>
            </w:r>
          </w:p>
        </w:tc>
        <w:tc>
          <w:tcPr>
            <w:tcW w:w="1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price of outstanding options</w:t>
            </w:r>
          </w:p>
        </w:tc>
        <w:tc>
          <w:tcPr>
            <w:tcW w:w="1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issuance under equity</w:t>
            </w:r>
          </w:p>
        </w:tc>
      </w:tr>
      <w:tr>
        <w:trPr>
          <w:trHeight w:val="178"/>
        </w:trPr>
        <w:tc>
          <w:tcPr>
            <w:tcW w:w="564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 options (a)</w:t>
            </w:r>
          </w:p>
        </w:tc>
        <w:tc>
          <w:tcPr>
            <w:tcW w:w="120" w:type="dxa"/>
            <w:vAlign w:val="bottom"/>
          </w:tcPr>
          <w:p>
            <w:pPr>
              <w:spacing w:after="0"/>
              <w:rPr>
                <w:sz w:val="15"/>
                <w:szCs w:val="15"/>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(b)</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 plans (c)</w:t>
            </w:r>
          </w:p>
        </w:tc>
      </w:tr>
      <w:tr>
        <w:trPr>
          <w:trHeight w:val="24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84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12,933,451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6"/>
                <w:szCs w:val="16"/>
                <w:color w:val="auto"/>
              </w:rPr>
              <w:t>21.46</w:t>
            </w:r>
          </w:p>
        </w:tc>
        <w:tc>
          <w:tcPr>
            <w:tcW w:w="1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6"/>
                <w:szCs w:val="16"/>
                <w:color w:val="auto"/>
              </w:rPr>
              <w:t>19,120,881</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8" w:lineRule="exact"/>
        <w:rPr>
          <w:sz w:val="20"/>
          <w:szCs w:val="20"/>
          <w:color w:val="auto"/>
        </w:rPr>
      </w:pPr>
    </w:p>
    <w:p>
      <w:pPr>
        <w:jc w:val="both"/>
        <w:ind w:left="340" w:hanging="332"/>
        <w:spacing w:after="0" w:line="247"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shares of common stock to be issued upon the exercise of outstanding options under our 2019 Omnibus Plan, 2016 Omnibus Plan, 2014 Omnibus Plan, the Sovereign 2012 MEIP, and the Sovereign MEIP. Also includes 8,455,085 restricted share units under our 2019 Omnibus Plan, 2016 Omnibus Plan, and 2014 Omnibus Plan (including shares that may be issued pursuant to outstanding performance-based restricted share units, assuming the target award is met; actual shares may vary, depending on actual performance).</w:t>
      </w:r>
    </w:p>
    <w:p>
      <w:pPr>
        <w:spacing w:after="0" w:line="39" w:lineRule="exact"/>
        <w:rPr>
          <w:rFonts w:ascii="Arial" w:cs="Arial" w:eastAsia="Arial" w:hAnsi="Arial"/>
          <w:sz w:val="14"/>
          <w:szCs w:val="14"/>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restricted share units which do not have an exercise price.</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securities reflected in column (a).</w:t>
      </w:r>
    </w:p>
    <w:p>
      <w:pPr>
        <w:spacing w:after="0" w:line="3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 xml:space="preserve">Sabre Corporation 2019 Omnibus Incentive Compensation Plan. </w:t>
      </w:r>
      <w:r>
        <w:rPr>
          <w:rFonts w:ascii="Arial" w:cs="Arial" w:eastAsia="Arial" w:hAnsi="Arial"/>
          <w:sz w:val="16"/>
          <w:szCs w:val="16"/>
          <w:color w:val="auto"/>
        </w:rPr>
        <w:t>The 2019 Omnibus Plan serves as a successor to the 2016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restricted stock units ("RSUs") performance-based RSU awards ("PSUs"), cash incentive compensation and other stock-based awards.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Sabre Corporation 2019 Director Plan</w:t>
      </w:r>
      <w:r>
        <w:rPr>
          <w:rFonts w:ascii="Arial" w:cs="Arial" w:eastAsia="Arial" w:hAnsi="Arial"/>
          <w:sz w:val="16"/>
          <w:szCs w:val="16"/>
          <w:color w:val="auto"/>
        </w:rPr>
        <w:t>. The plan provides for the issuance of RSUs, DSUs, and stock options to non-employee Directors.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i w:val="1"/>
          <w:iCs w:val="1"/>
          <w:color w:val="auto"/>
        </w:rPr>
        <w:t xml:space="preserve">Sabre Corporation 2016 Omnibus Incentive Compensation Plan. </w:t>
      </w:r>
      <w:r>
        <w:rPr>
          <w:rFonts w:ascii="Arial" w:cs="Arial" w:eastAsia="Arial" w:hAnsi="Arial"/>
          <w:sz w:val="16"/>
          <w:szCs w:val="16"/>
          <w:color w:val="auto"/>
        </w:rPr>
        <w:t>The 2016 Omnibus Plan serves as a successor to the 2014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RSUs, PSUs, cash incentive compensation and other stock-based awards. All shares available for future grants, along with shares that were covered by prior awards of stock options granted under the 2016 Omnibus Plan that were forfeited or otherwise expire unexercised or without issuance of</w:t>
      </w:r>
    </w:p>
    <w:p>
      <w:pPr>
        <w:sectPr>
          <w:pgSz w:w="11900" w:h="16838" w:orient="portrait"/>
          <w:cols w:equalWidth="0" w:num="1">
            <w:col w:w="11420"/>
          </w:cols>
          <w:pgMar w:left="240" w:top="1215"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101" w:name="page102"/>
    <w:bookmarkEnd w:id="101"/>
    <w:p>
      <w:pPr>
        <w:jc w:val="both"/>
        <w:spacing w:after="0" w:line="260" w:lineRule="auto"/>
        <w:rPr>
          <w:sz w:val="20"/>
          <w:szCs w:val="20"/>
          <w:color w:val="auto"/>
        </w:rPr>
      </w:pPr>
      <w:r>
        <w:rPr>
          <w:rFonts w:ascii="Arial" w:cs="Arial" w:eastAsia="Arial" w:hAnsi="Arial"/>
          <w:sz w:val="16"/>
          <w:szCs w:val="16"/>
          <w:color w:val="auto"/>
        </w:rPr>
        <w:t>Sabre Corporation common stock, have been transferred to the 2019 Omnibus Plan. Therefore, as of December 31, 2019, no shares remained available for future grants under the 2016 Omnibus Plan.</w:t>
      </w:r>
    </w:p>
    <w:p>
      <w:pPr>
        <w:spacing w:after="0" w:line="7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i w:val="1"/>
          <w:iCs w:val="1"/>
          <w:color w:val="auto"/>
        </w:rPr>
        <w:t>Sabre Corporation 2014 Omnibus Incentive Compensation Plan</w:t>
      </w:r>
      <w:r>
        <w:rPr>
          <w:rFonts w:ascii="Arial" w:cs="Arial" w:eastAsia="Arial" w:hAnsi="Arial"/>
          <w:sz w:val="16"/>
          <w:szCs w:val="16"/>
          <w:color w:val="auto"/>
        </w:rPr>
        <w:t>. The 2014 Omnibus Plan serves as successor to the Sovereign MEIP and Sovereign</w:t>
      </w:r>
      <w:r>
        <w:rPr>
          <w:rFonts w:ascii="Arial" w:cs="Arial" w:eastAsia="Arial" w:hAnsi="Arial"/>
          <w:sz w:val="16"/>
          <w:szCs w:val="16"/>
          <w:i w:val="1"/>
          <w:iCs w:val="1"/>
          <w:color w:val="auto"/>
        </w:rPr>
        <w:t xml:space="preserve"> </w:t>
      </w:r>
      <w:r>
        <w:rPr>
          <w:rFonts w:ascii="Arial" w:cs="Arial" w:eastAsia="Arial" w:hAnsi="Arial"/>
          <w:sz w:val="16"/>
          <w:szCs w:val="16"/>
          <w:color w:val="auto"/>
        </w:rPr>
        <w:t>2012 MEIP and provides for the issuance of stock options, restricted shares, RSUs, PSUs, cash incentive compensation and other stock-based awards. All shares available for future grants, along with shares that were covered by prior awards of stock options granted under the 2014 Omnibus Plan that were forfeited or otherwise expire unexercised or without issuance of Sabre Corporation common stock, have been transferred to the 2016 Omnibus Plan and then to the 2019 Omnibus Plan. Therefore, as of December 31, 2019, no shares remained available for future grants under the 2014 Omnibus Plan.</w:t>
      </w:r>
    </w:p>
    <w:p>
      <w:pPr>
        <w:spacing w:after="0" w:line="7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i w:val="1"/>
          <w:iCs w:val="1"/>
          <w:color w:val="auto"/>
        </w:rPr>
        <w:t>Sovereign Holdings, Inc. Management Equity Incentive Plan</w:t>
      </w:r>
      <w:r>
        <w:rPr>
          <w:rFonts w:ascii="Arial" w:cs="Arial" w:eastAsia="Arial" w:hAnsi="Arial"/>
          <w:sz w:val="16"/>
          <w:szCs w:val="16"/>
          <w:color w:val="auto"/>
        </w:rPr>
        <w:t>. Under the Sovereign MEIP, key employees and, in certain circumstances, the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and consultants, of Sabre and its affiliates may be granted stock options.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Sovereign 2012 MEIP, which have subsequently been transferred to the 2014 Omnibus Plan, then to the 2016 Omnibus Plan and then to the 2019 Omnibus Plan. Therefore, as of December 31, 2019, no shares remained available for future grants under the Sovereign MEIP.</w:t>
      </w:r>
    </w:p>
    <w:p>
      <w:pPr>
        <w:spacing w:after="0" w:line="7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i w:val="1"/>
          <w:iCs w:val="1"/>
          <w:color w:val="auto"/>
        </w:rPr>
        <w:t xml:space="preserve">Sovereign Holdings, Inc. 2012 Management Equity Incentive Plan. </w:t>
      </w:r>
      <w:r>
        <w:rPr>
          <w:rFonts w:ascii="Arial" w:cs="Arial" w:eastAsia="Arial" w:hAnsi="Arial"/>
          <w:sz w:val="16"/>
          <w:szCs w:val="16"/>
          <w:color w:val="auto"/>
        </w:rPr>
        <w:t>Under the Sovereign 2012 MEIP, key employees and, in certain circumstances,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service providers and consultants, of Sabre and its affiliates may be granted stock options, restricted shares, RSUs, PSUs and other stock-based awards.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2014 Omnibus Plan, then to the 2016 Omnibus Plan and then to the 2019 Omnibus Plan. Therefore, as of December 31, 2019, no shares remained available for future grants under the Sovereign 2012 MEIP.</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information set forth under the headings “Certain Relationships and Related Party Transactions” and “Corporate Governance—Board Composition and Director Independence” of the 2020 Proxy Statement is incorporated in this Item 13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information set forth under the headings “Principal Accounting Firm Fees” and “Audit Committee Approval of Audit and Non-Audit Services” under “Proposal 2. Ratification of Independent Auditors” of the 2020 Proxy Statement is incorporated in this Item 14 by reference.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9"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97"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are set forth under</w:t>
      </w:r>
      <w:r>
        <w:rPr>
          <w:rFonts w:ascii="Arial" w:cs="Arial" w:eastAsia="Arial" w:hAnsi="Arial"/>
          <w:sz w:val="16"/>
          <w:szCs w:val="16"/>
          <w:i w:val="1"/>
          <w:iCs w:val="1"/>
          <w:color w:val="auto"/>
        </w:rPr>
        <w:t xml:space="preserve"> </w:t>
      </w:r>
      <w:hyperlink w:anchor="page52">
        <w:r>
          <w:rPr>
            <w:rFonts w:ascii="Arial" w:cs="Arial" w:eastAsia="Arial" w:hAnsi="Arial"/>
            <w:sz w:val="16"/>
            <w:szCs w:val="16"/>
            <w:u w:val="single" w:color="auto"/>
            <w:color w:val="0000FF"/>
          </w:rPr>
          <w:t>Item 8</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Annual Report on Form 10-K.</w:t>
      </w:r>
    </w:p>
    <w:p>
      <w:pPr>
        <w:spacing w:after="0" w:line="113" w:lineRule="exact"/>
        <w:rPr>
          <w:rFonts w:ascii="Arial" w:cs="Arial" w:eastAsia="Arial" w:hAnsi="Arial"/>
          <w:sz w:val="16"/>
          <w:szCs w:val="16"/>
          <w:i w:val="1"/>
          <w:iCs w:val="1"/>
          <w:color w:val="auto"/>
        </w:rPr>
      </w:pPr>
    </w:p>
    <w:p>
      <w:pPr>
        <w:ind w:left="820" w:hanging="326"/>
        <w:spacing w:after="0" w:line="281"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hyperlink w:anchor="page111">
        <w:r>
          <w:rPr>
            <w:rFonts w:ascii="Arial" w:cs="Arial" w:eastAsia="Arial" w:hAnsi="Arial"/>
            <w:sz w:val="16"/>
            <w:szCs w:val="16"/>
            <w:u w:val="single" w:color="auto"/>
            <w:color w:val="0000FF"/>
          </w:rPr>
          <w:t>Schedule II Valuation and Qualifying Accounts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as part of this Annual Report on Form 10-K and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read in conjunction with the financial statements and notes thereto contained in </w:t>
      </w:r>
      <w:hyperlink w:anchor="page52">
        <w:r>
          <w:rPr>
            <w:rFonts w:ascii="Arial" w:cs="Arial" w:eastAsia="Arial" w:hAnsi="Arial"/>
            <w:sz w:val="16"/>
            <w:szCs w:val="16"/>
            <w:u w:val="single" w:color="auto"/>
            <w:color w:val="0000FF"/>
          </w:rPr>
          <w:t>Item 8</w:t>
        </w:r>
      </w:hyperlink>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right="20" w:firstLine="486"/>
        <w:spacing w:after="0" w:line="260" w:lineRule="auto"/>
        <w:rPr>
          <w:sz w:val="20"/>
          <w:szCs w:val="20"/>
          <w:color w:val="auto"/>
        </w:rPr>
      </w:pPr>
      <w:r>
        <w:rPr>
          <w:rFonts w:ascii="Arial" w:cs="Arial" w:eastAsia="Arial" w:hAnsi="Arial"/>
          <w:sz w:val="16"/>
          <w:szCs w:val="16"/>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80" w:lineRule="exact"/>
        <w:rPr>
          <w:rFonts w:ascii="Arial" w:cs="Arial" w:eastAsia="Arial" w:hAnsi="Arial"/>
          <w:sz w:val="16"/>
          <w:szCs w:val="16"/>
          <w:color w:val="auto"/>
        </w:rPr>
      </w:pPr>
    </w:p>
    <w:p>
      <w:pPr>
        <w:ind w:left="820" w:hanging="326"/>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103" w:name="page104"/>
    <w:bookmarkEnd w:id="103"/>
    <w:p>
      <w:pPr>
        <w:ind w:left="340"/>
        <w:spacing w:after="0"/>
        <w:rPr>
          <w:sz w:val="20"/>
          <w:szCs w:val="20"/>
          <w:color w:val="auto"/>
        </w:rPr>
      </w:pPr>
      <w:r>
        <w:rPr>
          <w:rFonts w:ascii="Arial" w:cs="Arial" w:eastAsia="Arial" w:hAnsi="Arial"/>
          <w:sz w:val="16"/>
          <w:szCs w:val="16"/>
          <w:b w:val="1"/>
          <w:bCs w:val="1"/>
          <w:color w:val="auto"/>
        </w:rPr>
        <w:t>Exhibit</w:t>
      </w:r>
    </w:p>
    <w:p>
      <w:pPr>
        <w:jc w:val="right"/>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7975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3.44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3.54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3.55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3.56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10.3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3373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59" w:lineRule="exact"/>
        <w:rPr>
          <w:sz w:val="20"/>
          <w:szCs w:val="20"/>
          <w:color w:val="auto"/>
        </w:rPr>
      </w:pPr>
    </w:p>
    <w:p>
      <w:pPr>
        <w:jc w:val="both"/>
        <w:ind w:right="180"/>
        <w:spacing w:after="0" w:line="225"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Asset Purchase Agreement, dated as of January 23, 2015 by and among Expedia Inc., Sabre GLBL Inc., Travelocity.com LP and certain</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affiliates of Sabre GLBL Inc. and Travelocity.com LP (incorporated by reference to Exhibit 2.1 of Sabre Corporation’s Current Report on</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Form 8-K filed with the Securities and Exchange Commission on January 26, 2015).</w:t>
        </w:r>
      </w:hyperlink>
    </w:p>
    <w:p>
      <w:pPr>
        <w:spacing w:after="0" w:line="23"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Share Purchase Agreement, dated as of May 14, 2015 by and between Abacus International Holdings Ltd and Sabre Technology</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Enterprises II Ltd. (incorporated by reference to Exhibit 2.1 of Sabre’s Corporation Current Report on Form 8-K filed with the Securities and</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Exchange Commission on May 14, 2015).</w:t>
        </w:r>
      </w:hyperlink>
    </w:p>
    <w:p>
      <w:pPr>
        <w:spacing w:after="0" w:line="23" w:lineRule="exact"/>
        <w:rPr>
          <w:rFonts w:ascii="Arial" w:cs="Arial" w:eastAsia="Arial" w:hAnsi="Arial"/>
          <w:sz w:val="16"/>
          <w:szCs w:val="16"/>
          <w:u w:val="single" w:color="auto"/>
          <w:color w:val="0000FF"/>
        </w:rPr>
      </w:pPr>
    </w:p>
    <w:p>
      <w:pPr>
        <w:ind w:right="520"/>
        <w:spacing w:after="0" w:line="232" w:lineRule="auto"/>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Fourth Amended and Restated Certificate of Incorporation of Sabre Corporation (incorporated by reference to Exhibit 3.1 of Sabre’s</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Corporation Current Report on Form 8-K filed with the Securities and Exchange Commission on April 24, 2014).</w:t>
        </w:r>
      </w:hyperlink>
    </w:p>
    <w:p>
      <w:pPr>
        <w:spacing w:after="0" w:line="22" w:lineRule="exact"/>
        <w:rPr>
          <w:sz w:val="20"/>
          <w:szCs w:val="20"/>
          <w:color w:val="auto"/>
        </w:rPr>
      </w:pPr>
    </w:p>
    <w:p>
      <w:pPr>
        <w:ind w:right="640"/>
        <w:spacing w:after="0" w:line="242" w:lineRule="auto"/>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Fourth Amended and Restated Certificate of Incorporation of Sabre Corporation (incorporated by reference to Exhibit 3.1 of Sabre</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Corporation’s Current Report on Form 8-K filed with the Securities and Exchange Commission on April 24, 2019).</w:t>
        </w:r>
      </w:hyperlink>
    </w:p>
    <w:p>
      <w:pPr>
        <w:spacing w:after="0" w:line="34" w:lineRule="exact"/>
        <w:rPr>
          <w:sz w:val="20"/>
          <w:szCs w:val="20"/>
          <w:color w:val="auto"/>
        </w:rPr>
      </w:pPr>
    </w:p>
    <w:p>
      <w:pPr>
        <w:ind w:right="440"/>
        <w:spacing w:after="0" w:line="232" w:lineRule="auto"/>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Fourth Amended and Restated Bylaws of Sabre Corporation (incorporated by reference to Exhibit 3.2 of Sabre Corporation's Current</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Report on Form 8-K filed with the Securities and Exchange Commission on May 25, 2018).</w:t>
        </w:r>
      </w:hyperlink>
    </w:p>
    <w:p>
      <w:pPr>
        <w:spacing w:after="0" w:line="22" w:lineRule="exact"/>
        <w:rPr>
          <w:sz w:val="20"/>
          <w:szCs w:val="20"/>
          <w:color w:val="auto"/>
        </w:rPr>
      </w:pPr>
    </w:p>
    <w:p>
      <w:pPr>
        <w:ind w:right="60"/>
        <w:spacing w:after="0" w:line="242" w:lineRule="auto"/>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Fifth Amended and Restated Bylaws of Sabre Corporation (incorporated by reference to Exhibit 3.2 of Sabre Corporation’s Current Report</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on Form 8-K filed with the Securities and Exchange Commission on April 24, 2019).</w:t>
        </w:r>
      </w:hyperlink>
    </w:p>
    <w:p>
      <w:pPr>
        <w:spacing w:after="0" w:line="34" w:lineRule="exact"/>
        <w:rPr>
          <w:sz w:val="20"/>
          <w:szCs w:val="20"/>
          <w:color w:val="auto"/>
        </w:rPr>
      </w:pPr>
    </w:p>
    <w:p>
      <w:pPr>
        <w:ind w:right="20"/>
        <w:spacing w:after="0" w:line="242" w:lineRule="auto"/>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Sixth Amended and Restated Bylaws of Sabre Corporation (incorporated by reference to Exhibit 3.1 of Sabre Corporation's Current Report</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on Form 8-K filed with the Securities and Exchange Commission on February 6, 2020).</w:t>
        </w:r>
      </w:hyperlink>
    </w:p>
    <w:p>
      <w:pPr>
        <w:spacing w:after="0" w:line="34" w:lineRule="exact"/>
        <w:rPr>
          <w:sz w:val="20"/>
          <w:szCs w:val="20"/>
          <w:color w:val="auto"/>
        </w:rPr>
      </w:pPr>
    </w:p>
    <w:p>
      <w:pPr>
        <w:ind w:right="140"/>
        <w:spacing w:after="0" w:line="225" w:lineRule="auto"/>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Indenture, dated as of April 14, 2015, among Sabre GLBL Inc., each of the guarantors party thereto and Wells Fargo Bank, National</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Association, as trustee and collateral agent. (incorporated by reference to Exhibit 4.1 of Sabre’s Corporation Current Report on Form 8-K</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filed with the Securities and Exchange Commission on April 15, 2015).</w:t>
        </w:r>
      </w:hyperlink>
    </w:p>
    <w:p>
      <w:pPr>
        <w:spacing w:after="0" w:line="50"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Form of 5.375% Senior Secured Notes due 2023 (included in Exhibit 4.2).</w:t>
        </w:r>
      </w:hyperlink>
    </w:p>
    <w:p>
      <w:pPr>
        <w:spacing w:after="0" w:line="32" w:lineRule="exact"/>
        <w:rPr>
          <w:rFonts w:ascii="Arial" w:cs="Arial" w:eastAsia="Arial" w:hAnsi="Arial"/>
          <w:sz w:val="16"/>
          <w:szCs w:val="16"/>
          <w:u w:val="single" w:color="auto"/>
          <w:color w:val="0000FF"/>
        </w:rPr>
      </w:pPr>
    </w:p>
    <w:p>
      <w:pPr>
        <w:jc w:val="both"/>
        <w:ind w:right="140"/>
        <w:spacing w:after="0" w:line="225" w:lineRule="auto"/>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Indenture, dated as of November 9, 2015, among Sabre GLBL Inc., each of the guarantors party thereto and Wells Fargo Bank, National</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Association, as trustee and collateral agent. (incorporated by reference to Exhibit 4.1 of Sabre’s Corporation Current Report on Form 8-K</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filed with the Securities and Exchange Commission on November 9 2015).</w:t>
        </w:r>
      </w:hyperlink>
    </w:p>
    <w:p>
      <w:pPr>
        <w:spacing w:after="0" w:line="50"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Form of 5.250% Senior Secured Notes due 2023 (included in Exhibit 4.4).</w:t>
        </w:r>
      </w:hyperlink>
    </w:p>
    <w:p>
      <w:pPr>
        <w:spacing w:after="0" w:line="32" w:lineRule="exact"/>
        <w:rPr>
          <w:rFonts w:ascii="Arial" w:cs="Arial" w:eastAsia="Arial" w:hAnsi="Arial"/>
          <w:sz w:val="16"/>
          <w:szCs w:val="16"/>
          <w:u w:val="single" w:color="auto"/>
          <w:color w:val="0000FF"/>
        </w:rPr>
      </w:pPr>
    </w:p>
    <w:p>
      <w:pPr>
        <w:spacing w:after="0"/>
        <w:rPr>
          <w:rFonts w:ascii="Arial" w:cs="Arial" w:eastAsia="Arial" w:hAnsi="Arial"/>
          <w:sz w:val="16"/>
          <w:szCs w:val="16"/>
          <w:color w:val="0000FF"/>
        </w:rPr>
      </w:pPr>
      <w:hyperlink w:anchor="page112">
        <w:r>
          <w:rPr>
            <w:rFonts w:ascii="Arial" w:cs="Arial" w:eastAsia="Arial" w:hAnsi="Arial"/>
            <w:sz w:val="16"/>
            <w:szCs w:val="16"/>
            <w:u w:val="single" w:color="auto"/>
            <w:color w:val="0000FF"/>
          </w:rPr>
          <w:t>Description of Sabre Corporation’s Securities Registered Pursuant to Section 12 of the Securities Exchange Act of 1934</w:t>
        </w:r>
      </w:hyperlink>
      <w:r>
        <w:rPr>
          <w:rFonts w:ascii="Arial" w:cs="Arial" w:eastAsia="Arial" w:hAnsi="Arial"/>
          <w:sz w:val="16"/>
          <w:szCs w:val="16"/>
          <w:color w:val="000000"/>
        </w:rPr>
        <w:t>.</w:t>
      </w:r>
    </w:p>
    <w:p>
      <w:pPr>
        <w:spacing w:after="0" w:line="59" w:lineRule="exact"/>
        <w:rPr>
          <w:rFonts w:ascii="Arial" w:cs="Arial" w:eastAsia="Arial" w:hAnsi="Arial"/>
          <w:sz w:val="16"/>
          <w:szCs w:val="16"/>
          <w:u w:val="single" w:color="auto"/>
          <w:color w:val="0000FF"/>
        </w:rPr>
      </w:pPr>
    </w:p>
    <w:p>
      <w:pPr>
        <w:ind w:right="300"/>
        <w:spacing w:after="0" w:line="225" w:lineRule="auto"/>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Loan Agreement, dated March 29, 2007, between Sabre Headquarters, LLC, as borrower, and JPMorgan Chase Bank, N.A., as lender</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(incorporated by reference to Exhibit 10.1 of Sabre Corporation’s Registration Statement on Form S-1 filed with the Securities and</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Exchange Commission on January 21, 2014).</w:t>
        </w:r>
      </w:hyperlink>
    </w:p>
    <w:p>
      <w:pPr>
        <w:spacing w:after="0" w:line="23" w:lineRule="exact"/>
        <w:rPr>
          <w:rFonts w:ascii="Arial" w:cs="Arial" w:eastAsia="Arial" w:hAnsi="Arial"/>
          <w:sz w:val="16"/>
          <w:szCs w:val="16"/>
          <w:u w:val="single" w:color="auto"/>
          <w:color w:val="0000FF"/>
        </w:rPr>
      </w:pPr>
    </w:p>
    <w:p>
      <w:pPr>
        <w:ind w:right="140"/>
        <w:spacing w:after="0" w:line="222"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Amendment and Restatement Agreement, dated as of February 19, 2013, among Sabre Inc., Sabre Holdings Corporation, the subsidiary</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guarantors party thereto, the lenders party thereto, Deutsche Bank AG New York Branch, as administrative agent and Bank of America,</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N.A. as successor administrative agent (incorporated by reference to Exhibit 10.2 of Sabre Corporation’s Amendment No. 1 to the</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Registration Statement on Form S-1 filed with the Securities and Exchange Commission on March 10, 2014).</w:t>
        </w:r>
      </w:hyperlink>
    </w:p>
    <w:p>
      <w:pPr>
        <w:spacing w:after="0" w:line="22" w:lineRule="exact"/>
        <w:rPr>
          <w:rFonts w:ascii="Arial" w:cs="Arial" w:eastAsia="Arial" w:hAnsi="Arial"/>
          <w:sz w:val="16"/>
          <w:szCs w:val="16"/>
          <w:u w:val="single" w:color="auto"/>
          <w:color w:val="0000FF"/>
        </w:rPr>
      </w:pPr>
    </w:p>
    <w:p>
      <w:pPr>
        <w:ind w:right="200"/>
        <w:spacing w:after="0" w:line="225"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Amended and Restated Guaranty, dated as of February 19, 2013, among Sabre Holdings Corporation, certain subsidiaries of Sabre Inc.</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from time to time party thereto and Bank of America, N.A., as administrative agent (incorporated by reference to Exhibit 10.3 of Sabre</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Corporation’s Registration Statement on Form S-1 filed with the Securities and Exchange Commission on January 21, 2014).</w:t>
        </w:r>
      </w:hyperlink>
    </w:p>
    <w:p>
      <w:pPr>
        <w:spacing w:after="0" w:line="23" w:lineRule="exact"/>
        <w:rPr>
          <w:rFonts w:ascii="Arial" w:cs="Arial" w:eastAsia="Arial" w:hAnsi="Arial"/>
          <w:sz w:val="16"/>
          <w:szCs w:val="16"/>
          <w:u w:val="single" w:color="auto"/>
          <w:color w:val="0000FF"/>
        </w:rPr>
      </w:pPr>
    </w:p>
    <w:p>
      <w:pPr>
        <w:ind w:right="20"/>
        <w:spacing w:after="0" w:line="222"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Amended and Restated Pledge and Security Agreement, dated as of February 19, 2013, among Sabre Holdings Corporation, Sabre Inc.,</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certain subsidiaries of Sabre Inc. from time to time party thereto and Bank of America, N.A., as administrative agent for the secured parties</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(incorporated by reference to Exhibit 10.4 of Sabre Corporation’s Registration Statement on Form S-1 filed with the Securities and</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Exchange Commission on January 21, 2014).</w:t>
        </w:r>
      </w:hyperlink>
    </w:p>
    <w:p>
      <w:pPr>
        <w:spacing w:after="0" w:line="22" w:lineRule="exact"/>
        <w:rPr>
          <w:rFonts w:ascii="Arial" w:cs="Arial" w:eastAsia="Arial" w:hAnsi="Arial"/>
          <w:sz w:val="16"/>
          <w:szCs w:val="16"/>
          <w:u w:val="single" w:color="auto"/>
          <w:color w:val="0000FF"/>
        </w:rPr>
      </w:pPr>
    </w:p>
    <w:p>
      <w:pPr>
        <w:ind w:right="280"/>
        <w:spacing w:after="0" w:line="219" w:lineRule="auto"/>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First Lien Intercreditor Agreement, dated as of May 9, 2012, among Sabre Inc., Sabre Holdings Corporation, the other grantors party</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thereto, Deutsche Bank AG New York Branch, as administrative agent and authorized representative for the Credit Agreement secured</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parties, Wells Fargo Bank, National Association, as the Initial First Lien Collateral Agent and initial additional authorized representative,</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each Additional First Lien Collateral Agent and each additional Authorized Representative (incorporated by reference to Exhibit 10.5 of</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Sabre Corporation’s Registration Statement on Form S-1 filed with the Securities and Exchange Commission on January 21, 2014).</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51" w:lineRule="exact"/>
        <w:rPr>
          <w:rFonts w:ascii="Arial" w:cs="Arial" w:eastAsia="Arial" w:hAnsi="Arial"/>
          <w:sz w:val="16"/>
          <w:szCs w:val="16"/>
          <w:u w:val="single" w:color="auto"/>
          <w:color w:val="0000FF"/>
        </w:rPr>
      </w:pPr>
    </w:p>
    <w:p>
      <w:pPr>
        <w:ind w:left="4160"/>
        <w:spacing w:after="0"/>
        <w:rPr>
          <w:sz w:val="20"/>
          <w:szCs w:val="20"/>
          <w:color w:val="auto"/>
        </w:rPr>
      </w:pPr>
      <w:r>
        <w:rPr>
          <w:rFonts w:ascii="Arial" w:cs="Arial" w:eastAsia="Arial" w:hAnsi="Arial"/>
          <w:sz w:val="16"/>
          <w:szCs w:val="16"/>
          <w:color w:val="auto"/>
        </w:rPr>
        <w:t>102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-908685</wp:posOffset>
            </wp:positionH>
            <wp:positionV relativeFrom="paragraph">
              <wp:posOffset>57785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920" w:space="440"/>
            <w:col w:w="9940"/>
          </w:cols>
          <w:pgMar w:left="300" w:top="1038" w:right="299" w:bottom="1440" w:gutter="0" w:footer="0" w:header="0"/>
        </w:sectPr>
      </w:pPr>
    </w:p>
    <w:bookmarkStart w:id="104" w:name="page105"/>
    <w:bookmarkEnd w:id="104"/>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Exhibit</w:t>
      </w:r>
    </w:p>
    <w:p>
      <w:pPr>
        <w:jc w:val="right"/>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8147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10.7+</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10.8+</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63373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59" w:lineRule="exact"/>
        <w:rPr>
          <w:sz w:val="20"/>
          <w:szCs w:val="20"/>
          <w:color w:val="auto"/>
        </w:rPr>
      </w:pPr>
    </w:p>
    <w:p>
      <w:pPr>
        <w:ind w:right="100"/>
        <w:spacing w:after="0" w:line="222" w:lineRule="auto"/>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First Incremental Term Facility Amendment to Amended and Restated Credit Agreement, dated as of September 30, 2013, among Sabre</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Inc., Sabre Holdings Corporation, the subsidiary guarantors party thereto, and Bank of America, N.A., as incremental term lender and</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administrative agent (incorporated by reference to Exhibit 10.7 of Sabre Corporation’s Registration Statement on Form S-1 filed with the</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Securities and Exchange Commission on January 21, 2014).</w:t>
        </w:r>
      </w:hyperlink>
    </w:p>
    <w:p>
      <w:pPr>
        <w:spacing w:after="0" w:line="22" w:lineRule="exact"/>
        <w:rPr>
          <w:rFonts w:ascii="Arial" w:cs="Arial" w:eastAsia="Arial" w:hAnsi="Arial"/>
          <w:sz w:val="16"/>
          <w:szCs w:val="16"/>
          <w:u w:val="single" w:color="auto"/>
          <w:color w:val="0000FF"/>
        </w:rPr>
      </w:pPr>
    </w:p>
    <w:p>
      <w:pPr>
        <w:ind w:right="100"/>
        <w:spacing w:after="0" w:line="225" w:lineRule="auto"/>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Sovereign Holdings, Inc. Management Equity Incentive Plan adopted June 11, 2007, as amended April 22, 2010 (incorporated by</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reference to Exhibit 10.8 of Sabre Corporation’s Registration Statement on Form S-1 filed with the Securities and Exchange Commission</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on January 21, 2014).</w:t>
        </w:r>
      </w:hyperlink>
    </w:p>
    <w:p>
      <w:pPr>
        <w:spacing w:after="0" w:line="23"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Form of Non Qualified Stock Option Grant Agreement under Sovereign Holdings, Inc. Management Equity Incentive Plan adopted June</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11, 2007, as amended April 22, 2010 (incorporated by reference to Exhibit 10.9 of Sabre Corporation’s Registration Statement on Form S-</w:t>
        </w:r>
      </w:hyperlink>
      <w:hyperlink r:id="rId166">
        <w:r>
          <w:rPr>
            <w:rFonts w:ascii="Arial" w:cs="Arial" w:eastAsia="Arial" w:hAnsi="Arial"/>
            <w:sz w:val="16"/>
            <w:szCs w:val="16"/>
            <w:u w:val="single" w:color="auto"/>
            <w:color w:val="0000FF"/>
          </w:rPr>
          <w:t>1 filed with the Securities and Exchange Commission on January 21, 2014).</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Sovereign Holdings, Inc. 2012 Management Equity Incentive Plan adopted September 14, 2012 (incorporated by reference to Exhibit</w:t>
        </w:r>
      </w:hyperlink>
    </w:p>
    <w:p>
      <w:pPr>
        <w:spacing w:after="0" w:line="211" w:lineRule="auto"/>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10.16 of Sabre Corporation’s Registration Statement on Form S-1 filed with the Securities and Exchange Commission on January 21,</w:t>
        </w:r>
      </w:hyperlink>
    </w:p>
    <w:p>
      <w:pPr>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2014).</w:t>
        </w:r>
      </w:hyperlink>
    </w:p>
    <w:p>
      <w:pPr>
        <w:spacing w:after="0" w:line="32" w:lineRule="exact"/>
        <w:rPr>
          <w:rFonts w:ascii="Arial" w:cs="Arial" w:eastAsia="Arial" w:hAnsi="Arial"/>
          <w:sz w:val="16"/>
          <w:szCs w:val="16"/>
          <w:u w:val="single" w:color="auto"/>
          <w:color w:val="0000FF"/>
        </w:rPr>
      </w:pPr>
    </w:p>
    <w:p>
      <w:pPr>
        <w:jc w:val="both"/>
        <w:ind w:right="500"/>
        <w:spacing w:after="0" w:line="225" w:lineRule="auto"/>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Form of Non Qualified Stock Option Grant Agreement under the Sovereign Holdings, Inc. 2012 Management Equity Incentive Plan</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(incorporated by reference to Exhibit 10.17 of Sabre Corporation’s Registration Statement on Form S-1 filed with the Securities and</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Exchange Commission on January 21, 2014).</w:t>
        </w:r>
      </w:hyperlink>
    </w:p>
    <w:p>
      <w:pPr>
        <w:spacing w:after="0" w:line="23"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Form of Restricted Stock Unit Grant Agreement under the Sovereign Holdings, Inc. 2012 Management Equity Incentive Plan (incorporated</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by reference to Exhibit 10.18 of Sabre Corporation’s Registration Statement on Form S-1 filed with the Securities and Exchange</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Commission on January 21, 2014).</w:t>
        </w:r>
      </w:hyperlink>
    </w:p>
    <w:p>
      <w:pPr>
        <w:spacing w:after="0" w:line="23" w:lineRule="exact"/>
        <w:rPr>
          <w:rFonts w:ascii="Arial" w:cs="Arial" w:eastAsia="Arial" w:hAnsi="Arial"/>
          <w:sz w:val="16"/>
          <w:szCs w:val="16"/>
          <w:u w:val="single" w:color="auto"/>
          <w:color w:val="0000FF"/>
        </w:rPr>
      </w:pPr>
    </w:p>
    <w:p>
      <w:pPr>
        <w:ind w:right="20"/>
        <w:spacing w:after="0" w:line="225" w:lineRule="auto"/>
        <w:rPr>
          <w:rFonts w:ascii="Arial" w:cs="Arial" w:eastAsia="Arial" w:hAnsi="Arial"/>
          <w:sz w:val="16"/>
          <w:szCs w:val="16"/>
          <w:u w:val="single" w:color="auto"/>
          <w:color w:val="0000FF"/>
        </w:rPr>
      </w:pPr>
      <w:hyperlink r:id="rId170">
        <w:r>
          <w:rPr>
            <w:rFonts w:ascii="Arial" w:cs="Arial" w:eastAsia="Arial" w:hAnsi="Arial"/>
            <w:sz w:val="16"/>
            <w:szCs w:val="16"/>
            <w:u w:val="single" w:color="auto"/>
            <w:color w:val="0000FF"/>
          </w:rPr>
          <w:t>Form of Restricted Stock Unit Grant Agreement for Non Employee Directors under the Sovereign Holdings, Inc. 2012 Management Equity</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Incentive Plan (incorporated by reference to Exhibit 10.20 of Sabre Corporation’s Registration Statement on Form S-1 filed with the</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Securities and Exchange Commission on January 21, 2014).</w:t>
        </w:r>
      </w:hyperlink>
    </w:p>
    <w:p>
      <w:pPr>
        <w:spacing w:after="0" w:line="23" w:lineRule="exact"/>
        <w:rPr>
          <w:rFonts w:ascii="Arial" w:cs="Arial" w:eastAsia="Arial" w:hAnsi="Arial"/>
          <w:sz w:val="16"/>
          <w:szCs w:val="16"/>
          <w:u w:val="single" w:color="auto"/>
          <w:color w:val="0000FF"/>
        </w:rPr>
      </w:pPr>
    </w:p>
    <w:p>
      <w:pPr>
        <w:jc w:val="both"/>
        <w:ind w:right="20"/>
        <w:spacing w:after="0" w:line="225" w:lineRule="auto"/>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Form of Non Qualified Stock Option Grant Agreement for Non Employee Directors under the Sovereign Holdings, Inc. 2012 Management</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Equity Incentive Plan (incorporated by reference to Exhibit 10.21 of Sabre Corporation’s Registration Statement on Form S-1 filed with the</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Securities and Exchange Commission on January 21, 2014).</w:t>
        </w:r>
      </w:hyperlink>
    </w:p>
    <w:p>
      <w:pPr>
        <w:spacing w:after="0" w:line="23" w:lineRule="exact"/>
        <w:rPr>
          <w:rFonts w:ascii="Arial" w:cs="Arial" w:eastAsia="Arial" w:hAnsi="Arial"/>
          <w:sz w:val="16"/>
          <w:szCs w:val="16"/>
          <w:u w:val="single" w:color="auto"/>
          <w:color w:val="0000FF"/>
        </w:rPr>
      </w:pPr>
    </w:p>
    <w:p>
      <w:pPr>
        <w:jc w:val="both"/>
        <w:ind w:right="20"/>
        <w:spacing w:after="0" w:line="225" w:lineRule="auto"/>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Employment Agreement by and between Sovereign Holdings, Inc. and Rick Simonson, dated March 5, 2013 (incorporated by reference to</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Exhibit 10.33 of Sabre Corporation’s Registration Statement on Form S-1 filed with the Securities and Exchange Commission on January</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21, 2014).</w:t>
        </w:r>
      </w:hyperlink>
    </w:p>
    <w:p>
      <w:pPr>
        <w:spacing w:after="0" w:line="23" w:lineRule="exact"/>
        <w:rPr>
          <w:rFonts w:ascii="Arial" w:cs="Arial" w:eastAsia="Arial" w:hAnsi="Arial"/>
          <w:sz w:val="16"/>
          <w:szCs w:val="16"/>
          <w:u w:val="single" w:color="auto"/>
          <w:color w:val="0000FF"/>
        </w:rPr>
      </w:pPr>
    </w:p>
    <w:p>
      <w:pPr>
        <w:ind w:right="40"/>
        <w:spacing w:after="0" w:line="222" w:lineRule="auto"/>
        <w:rPr>
          <w:rFonts w:ascii="Arial" w:cs="Arial" w:eastAsia="Arial" w:hAnsi="Arial"/>
          <w:sz w:val="16"/>
          <w:szCs w:val="16"/>
          <w:u w:val="single" w:color="auto"/>
          <w:color w:val="0000FF"/>
        </w:rPr>
      </w:pPr>
      <w:hyperlink r:id="rId173">
        <w:r>
          <w:rPr>
            <w:rFonts w:ascii="Arial" w:cs="Arial" w:eastAsia="Arial" w:hAnsi="Arial"/>
            <w:sz w:val="16"/>
            <w:szCs w:val="16"/>
            <w:u w:val="single" w:color="auto"/>
            <w:color w:val="0000FF"/>
          </w:rPr>
          <w:t>Amendment No. 1 to Amended and Restated Credit Agreement, dated as of February 20, 2014, among Sabre GLBL Inc., Sabre Holdings</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Corporation, each of the other Loan Parties, Bank of America, N.A., as administrative agent and the Lenders thereto (incorporated by</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reference to Exhibit 10.38 of Sabre Corporation’s Amendment No. 1 to the Registration Statement on Form S-1 filed with the Securities</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and Exchange Commission on March 10, 2014).</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940" w:space="460"/>
            <w:col w:w="9880"/>
          </w:cols>
          <w:pgMar w:left="260" w:top="1440" w:right="359" w:bottom="1440" w:gutter="0" w:footer="0" w:header="0"/>
        </w:sectPr>
      </w:pPr>
    </w:p>
    <w:tbl>
      <w:tblPr>
        <w:tblLayout w:type="fixed"/>
        <w:tblInd w:w="0" w:type="dxa"/>
        <w:tblCellMar>
          <w:top w:w="0" w:type="dxa"/>
          <w:left w:w="0" w:type="dxa"/>
          <w:bottom w:w="0" w:type="dxa"/>
          <w:right w:w="0" w:type="dxa"/>
        </w:tblCellMar>
      </w:tblPr>
      <w:tr>
        <w:trPr>
          <w:trHeight w:val="182"/>
        </w:trPr>
        <w:tc>
          <w:tcPr>
            <w:tcW w:w="1400" w:type="dxa"/>
            <w:vAlign w:val="bottom"/>
          </w:tcPr>
          <w:p>
            <w:pPr>
              <w:jc w:val="right"/>
              <w:ind w:right="899"/>
              <w:spacing w:after="0" w:line="161" w:lineRule="exact"/>
              <w:rPr>
                <w:sz w:val="20"/>
                <w:szCs w:val="20"/>
                <w:color w:val="auto"/>
              </w:rPr>
            </w:pPr>
            <w:r>
              <w:rPr>
                <w:rFonts w:ascii="Arial" w:cs="Arial" w:eastAsia="Arial" w:hAnsi="Arial"/>
                <w:sz w:val="16"/>
                <w:szCs w:val="16"/>
                <w:color w:val="auto"/>
                <w:w w:val="99"/>
              </w:rPr>
              <w:t>10.16</w:t>
            </w:r>
          </w:p>
        </w:tc>
        <w:tc>
          <w:tcPr>
            <w:tcW w:w="9700" w:type="dxa"/>
            <w:vAlign w:val="bottom"/>
            <w:tcBorders>
              <w:bottom w:val="single" w:sz="8" w:color="0000FF"/>
            </w:tcBorders>
            <w:gridSpan w:val="3"/>
          </w:tcPr>
          <w:p>
            <w:pPr>
              <w:spacing w:after="0" w:line="161" w:lineRule="exact"/>
              <w:rPr>
                <w:rFonts w:ascii="Arial" w:cs="Arial" w:eastAsia="Arial" w:hAnsi="Arial"/>
                <w:sz w:val="16"/>
                <w:szCs w:val="16"/>
                <w:color w:val="0000FF"/>
              </w:rPr>
            </w:pPr>
            <w:hyperlink r:id="rId174">
              <w:r>
                <w:rPr>
                  <w:rFonts w:ascii="Arial" w:cs="Arial" w:eastAsia="Arial" w:hAnsi="Arial"/>
                  <w:sz w:val="16"/>
                  <w:szCs w:val="16"/>
                  <w:color w:val="0000FF"/>
                </w:rPr>
                <w:t>First Revolver Extension Amendment to Amended and Restated Credit Agreement, dated as of February 20, 2014, among Sabre GLBL</w:t>
              </w:r>
            </w:hyperlink>
          </w:p>
        </w:tc>
        <w:tc>
          <w:tcPr>
            <w:tcW w:w="160" w:type="dxa"/>
            <w:vAlign w:val="bottom"/>
          </w:tcPr>
          <w:p>
            <w:pPr>
              <w:spacing w:after="0"/>
              <w:rPr>
                <w:sz w:val="15"/>
                <w:szCs w:val="15"/>
                <w:color w:val="auto"/>
              </w:rPr>
            </w:pPr>
          </w:p>
        </w:tc>
      </w:tr>
      <w:tr>
        <w:trPr>
          <w:trHeight w:val="142"/>
        </w:trPr>
        <w:tc>
          <w:tcPr>
            <w:tcW w:w="1400" w:type="dxa"/>
            <w:vAlign w:val="bottom"/>
          </w:tcPr>
          <w:p>
            <w:pPr>
              <w:spacing w:after="0"/>
              <w:rPr>
                <w:sz w:val="12"/>
                <w:szCs w:val="12"/>
                <w:color w:val="auto"/>
              </w:rPr>
            </w:pPr>
          </w:p>
        </w:tc>
        <w:tc>
          <w:tcPr>
            <w:tcW w:w="986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Inc., Sabre Holdings Corporation, each of the other Loan Parties, Bank of America, N.A., as administrative agent and the Revolving Credit</w:t>
              </w:r>
            </w:hyperlink>
          </w:p>
        </w:tc>
      </w:tr>
      <w:tr>
        <w:trPr>
          <w:trHeight w:val="142"/>
        </w:trPr>
        <w:tc>
          <w:tcPr>
            <w:tcW w:w="1400" w:type="dxa"/>
            <w:vAlign w:val="bottom"/>
          </w:tcPr>
          <w:p>
            <w:pPr>
              <w:spacing w:after="0"/>
              <w:rPr>
                <w:sz w:val="12"/>
                <w:szCs w:val="12"/>
                <w:color w:val="auto"/>
              </w:rPr>
            </w:pPr>
          </w:p>
        </w:tc>
        <w:tc>
          <w:tcPr>
            <w:tcW w:w="9860" w:type="dxa"/>
            <w:vAlign w:val="bottom"/>
            <w:gridSpan w:val="4"/>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Lenders thereto (incorporated by reference to Exhibit 10.39 of Sabre Corporation’s Amendment No. 1 to the Registration Statement on</w:t>
              </w:r>
            </w:hyperlink>
          </w:p>
        </w:tc>
      </w:tr>
      <w:tr>
        <w:trPr>
          <w:trHeight w:val="142"/>
        </w:trPr>
        <w:tc>
          <w:tcPr>
            <w:tcW w:w="1400" w:type="dxa"/>
            <w:vAlign w:val="bottom"/>
          </w:tcPr>
          <w:p>
            <w:pPr>
              <w:spacing w:after="0"/>
              <w:rPr>
                <w:sz w:val="12"/>
                <w:szCs w:val="12"/>
                <w:color w:val="auto"/>
              </w:rPr>
            </w:pPr>
          </w:p>
        </w:tc>
        <w:tc>
          <w:tcPr>
            <w:tcW w:w="962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Form S-1 filed with the Securities and Exchange Commission on March 10, 2014).</w:t>
              </w:r>
            </w:hyperlink>
          </w:p>
        </w:tc>
        <w:tc>
          <w:tcPr>
            <w:tcW w:w="240" w:type="dxa"/>
            <w:vAlign w:val="bottom"/>
            <w:gridSpan w:val="2"/>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5880" w:type="dxa"/>
            <w:vAlign w:val="bottom"/>
            <w:shd w:val="clear" w:color="auto" w:fill="0000FF"/>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r>
      <w:tr>
        <w:trPr>
          <w:trHeight w:val="198"/>
        </w:trPr>
        <w:tc>
          <w:tcPr>
            <w:tcW w:w="1400" w:type="dxa"/>
            <w:vAlign w:val="bottom"/>
          </w:tcPr>
          <w:p>
            <w:pPr>
              <w:jc w:val="right"/>
              <w:ind w:right="899"/>
              <w:spacing w:after="0"/>
              <w:rPr>
                <w:sz w:val="20"/>
                <w:szCs w:val="20"/>
                <w:color w:val="auto"/>
              </w:rPr>
            </w:pPr>
            <w:r>
              <w:rPr>
                <w:rFonts w:ascii="Arial" w:cs="Arial" w:eastAsia="Arial" w:hAnsi="Arial"/>
                <w:sz w:val="16"/>
                <w:szCs w:val="16"/>
                <w:color w:val="auto"/>
                <w:w w:val="99"/>
              </w:rPr>
              <w:t>10.17</w:t>
            </w:r>
          </w:p>
        </w:tc>
        <w:tc>
          <w:tcPr>
            <w:tcW w:w="9860" w:type="dxa"/>
            <w:vAlign w:val="bottom"/>
            <w:gridSpan w:val="4"/>
          </w:tcPr>
          <w:p>
            <w:pPr>
              <w:spacing w:after="0"/>
              <w:rPr>
                <w:rFonts w:ascii="Arial" w:cs="Arial" w:eastAsia="Arial" w:hAnsi="Arial"/>
                <w:sz w:val="16"/>
                <w:szCs w:val="16"/>
                <w:u w:val="single" w:color="auto"/>
                <w:color w:val="0000FF"/>
              </w:rPr>
            </w:pPr>
            <w:hyperlink r:id="rId175">
              <w:r>
                <w:rPr>
                  <w:rFonts w:ascii="Arial" w:cs="Arial" w:eastAsia="Arial" w:hAnsi="Arial"/>
                  <w:sz w:val="16"/>
                  <w:szCs w:val="16"/>
                  <w:u w:val="single" w:color="auto"/>
                  <w:color w:val="0000FF"/>
                </w:rPr>
                <w:t>First Incremental Revolving Credit Facility Amendment to Amended and Restated Credit Agreement, dated as of February 20, 2014,</w:t>
              </w:r>
            </w:hyperlink>
          </w:p>
        </w:tc>
      </w:tr>
    </w:tbl>
    <w:p>
      <w:pPr>
        <w:ind w:left="1400" w:right="40"/>
        <w:spacing w:after="0" w:line="225" w:lineRule="auto"/>
        <w:rPr>
          <w:rFonts w:ascii="Arial" w:cs="Arial" w:eastAsia="Arial" w:hAnsi="Arial"/>
          <w:sz w:val="16"/>
          <w:szCs w:val="16"/>
          <w:u w:val="single" w:color="auto"/>
          <w:color w:val="0000FF"/>
        </w:rPr>
      </w:pPr>
      <w:hyperlink r:id="rId175">
        <w:r>
          <w:rPr>
            <w:rFonts w:ascii="Arial" w:cs="Arial" w:eastAsia="Arial" w:hAnsi="Arial"/>
            <w:sz w:val="16"/>
            <w:szCs w:val="16"/>
            <w:u w:val="single" w:color="auto"/>
            <w:color w:val="0000FF"/>
          </w:rPr>
          <w:t>among Sabre GLBL Inc., Sabre Holdings Corporation, each of the other Loan Parties, Bank of America, N.A., as administrative agent and</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the Revolving Credit Lenders thereto (incorporated by reference to Exhibit 10.40 of Sabre Corporation’s Amendment No. 1 to the</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Registration Statement on Form S-1 filed with the Securities and Exchange Commission on March 10, 2014).</w:t>
        </w:r>
      </w:hyperlink>
    </w:p>
    <w:p>
      <w:pPr>
        <w:sectPr>
          <w:pgSz w:w="11900" w:h="16838" w:orient="portrait"/>
          <w:cols w:equalWidth="0" w:num="1">
            <w:col w:w="11280"/>
          </w:cols>
          <w:pgMar w:left="260" w:top="1440" w:right="359" w:bottom="1440" w:gutter="0" w:footer="0" w:header="0"/>
          <w:type w:val="continuous"/>
        </w:sectPr>
      </w:pPr>
    </w:p>
    <w:p>
      <w:pPr>
        <w:spacing w:after="0" w:line="3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10.18</w:t>
      </w:r>
    </w:p>
    <w:p>
      <w:pPr>
        <w:spacing w:after="0" w:line="35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10.19</w:t>
      </w:r>
    </w:p>
    <w:p>
      <w:pPr>
        <w:spacing w:after="0" w:line="35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10.20+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 w:lineRule="exact"/>
        <w:rPr>
          <w:rFonts w:ascii="Arial" w:cs="Arial" w:eastAsia="Arial" w:hAnsi="Arial"/>
          <w:sz w:val="16"/>
          <w:szCs w:val="16"/>
          <w:u w:val="single" w:color="auto"/>
          <w:color w:val="0000FF"/>
        </w:rPr>
      </w:pPr>
    </w:p>
    <w:p>
      <w:pPr>
        <w:ind w:right="400"/>
        <w:spacing w:after="0" w:line="225" w:lineRule="auto"/>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Income Tax Receivable Agreement dated as of April 23, 2014 between Sabre Corporation and Sovereign Manager Co-Invest, LLC</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(incorporated by reference to Exhibit 10.1 of Sabre’s Corporation Current Report on Form 8-K filed with the Securities and Exchange</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Commission on April 23, 2014).</w:t>
        </w:r>
      </w:hyperlink>
    </w:p>
    <w:p>
      <w:pPr>
        <w:spacing w:after="0" w:line="23" w:lineRule="exact"/>
        <w:rPr>
          <w:rFonts w:ascii="Arial" w:cs="Arial" w:eastAsia="Arial" w:hAnsi="Arial"/>
          <w:sz w:val="16"/>
          <w:szCs w:val="16"/>
          <w:u w:val="single" w:color="auto"/>
          <w:color w:val="0000FF"/>
        </w:rPr>
      </w:pPr>
    </w:p>
    <w:p>
      <w:pPr>
        <w:ind w:right="40"/>
        <w:spacing w:after="0" w:line="225" w:lineRule="auto"/>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Amended and Restated Stockholders’ Agreement dated as of April 23, 2014 by and among Sabre Corporation and the stockholders party</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thereto (incorporated by reference to Exhibit 10.2 of Sabre’s Corporation Current Report on Form 8-K filed with the Securities and</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Exchange Commission on April 23, 2014).</w:t>
        </w:r>
      </w:hyperlink>
    </w:p>
    <w:p>
      <w:pPr>
        <w:spacing w:after="0" w:line="23" w:lineRule="exact"/>
        <w:rPr>
          <w:rFonts w:ascii="Arial" w:cs="Arial" w:eastAsia="Arial" w:hAnsi="Arial"/>
          <w:sz w:val="16"/>
          <w:szCs w:val="16"/>
          <w:u w:val="single" w:color="auto"/>
          <w:color w:val="0000FF"/>
        </w:rPr>
      </w:pPr>
    </w:p>
    <w:p>
      <w:pPr>
        <w:ind w:right="60"/>
        <w:spacing w:after="0" w:line="232" w:lineRule="auto"/>
        <w:rPr>
          <w:rFonts w:ascii="Arial" w:cs="Arial" w:eastAsia="Arial" w:hAnsi="Arial"/>
          <w:sz w:val="16"/>
          <w:szCs w:val="16"/>
          <w:u w:val="single" w:color="auto"/>
          <w:color w:val="0000FF"/>
        </w:rPr>
      </w:pPr>
      <w:hyperlink r:id="rId178">
        <w:r>
          <w:rPr>
            <w:rFonts w:ascii="Arial" w:cs="Arial" w:eastAsia="Arial" w:hAnsi="Arial"/>
            <w:sz w:val="16"/>
            <w:szCs w:val="16"/>
            <w:u w:val="single" w:color="auto"/>
            <w:color w:val="0000FF"/>
          </w:rPr>
          <w:t>Form of Director and Officer Indemnification Agreement (incorporated by reference to Exhibit 10.20 of Sabre Corporation’s Annual Report</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on Form 10-K filed with the Securities and Exchange Commission on February 16, 2018).</w:t>
        </w:r>
      </w:hyperlink>
    </w:p>
    <w:p>
      <w:pPr>
        <w:spacing w:after="0" w:line="200" w:lineRule="exact"/>
        <w:rPr>
          <w:sz w:val="20"/>
          <w:szCs w:val="20"/>
          <w:color w:val="auto"/>
        </w:rPr>
      </w:pPr>
    </w:p>
    <w:p>
      <w:pPr>
        <w:sectPr>
          <w:pgSz w:w="11900" w:h="16838" w:orient="portrait"/>
          <w:cols w:equalWidth="0" w:num="2">
            <w:col w:w="680" w:space="720"/>
            <w:col w:w="9880"/>
          </w:cols>
          <w:pgMar w:left="26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60" w:top="1440" w:right="359" w:bottom="1440" w:gutter="0" w:footer="0" w:header="0"/>
          <w:type w:val="continuous"/>
        </w:sectPr>
      </w:pPr>
    </w:p>
    <w:bookmarkStart w:id="105" w:name="page106"/>
    <w:bookmarkEnd w:id="105"/>
    <w:p>
      <w:pPr>
        <w:ind w:left="360"/>
        <w:spacing w:after="0"/>
        <w:rPr>
          <w:sz w:val="20"/>
          <w:szCs w:val="20"/>
          <w:color w:val="auto"/>
        </w:rPr>
      </w:pPr>
      <w:r>
        <w:rPr>
          <w:rFonts w:ascii="Arial" w:cs="Arial" w:eastAsia="Arial" w:hAnsi="Arial"/>
          <w:sz w:val="16"/>
          <w:szCs w:val="16"/>
          <w:b w:val="1"/>
          <w:bCs w:val="1"/>
          <w:color w:val="auto"/>
        </w:rPr>
        <w:t>Exhibit</w:t>
      </w:r>
    </w:p>
    <w:p>
      <w:pPr>
        <w:jc w:val="right"/>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8147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10.24+</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63373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59" w:lineRule="exact"/>
        <w:rPr>
          <w:sz w:val="20"/>
          <w:szCs w:val="20"/>
          <w:color w:val="auto"/>
        </w:rPr>
      </w:pPr>
    </w:p>
    <w:p>
      <w:pPr>
        <w:spacing w:after="0" w:line="225" w:lineRule="auto"/>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Letter by and between Sovereign Holdings, Inc., Sabre Holdings Corporation and Sabre Inc. and Lawrence W. Kellner, dated August 30,</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2013 (incorporated by reference to Exhibit 10.47 of Sabre Corporation’s Amendment No. 3 to the Registration Statement on Form S-1 filed</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with the Securities and Exchange Commission on March 26, 2014).</w:t>
        </w:r>
      </w:hyperlink>
    </w:p>
    <w:p>
      <w:pPr>
        <w:spacing w:after="0" w:line="23" w:lineRule="exact"/>
        <w:rPr>
          <w:rFonts w:ascii="Arial" w:cs="Arial" w:eastAsia="Arial" w:hAnsi="Arial"/>
          <w:sz w:val="16"/>
          <w:szCs w:val="16"/>
          <w:u w:val="single" w:color="auto"/>
          <w:color w:val="0000FF"/>
        </w:rPr>
      </w:pPr>
    </w:p>
    <w:p>
      <w:pPr>
        <w:ind w:right="320"/>
        <w:spacing w:after="0" w:line="232" w:lineRule="auto"/>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Sabre Corporation 2014 Omnibus Incentive Compensation Plan (incorporated by reference to Exhibit 10.48 of Sabre Corporation’s</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Amendment No. 3 to the Registration Statement on Form S-1 filed with the Securities and Exchange Commission on March 26, 2014).</w:t>
        </w:r>
      </w:hyperlink>
    </w:p>
    <w:p>
      <w:pPr>
        <w:spacing w:after="0" w:line="22" w:lineRule="exact"/>
        <w:rPr>
          <w:sz w:val="20"/>
          <w:szCs w:val="20"/>
          <w:color w:val="auto"/>
        </w:rPr>
      </w:pPr>
    </w:p>
    <w:p>
      <w:pPr>
        <w:jc w:val="both"/>
        <w:ind w:right="160"/>
        <w:spacing w:after="0" w:line="225" w:lineRule="auto"/>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Form of Restricted Stock Unit Grant Agreement under the Sabre Corporation 2014 Omnibus Incentive Compensation Plan (incorporated</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by reference to Exhibit 10.49 of Sabre Corporation’s Quarterly Report on Form 10-Q filed with the Securities and Exchange Commission</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on May 5, 2015).</w:t>
        </w:r>
      </w:hyperlink>
    </w:p>
    <w:p>
      <w:pPr>
        <w:spacing w:after="0" w:line="23" w:lineRule="exact"/>
        <w:rPr>
          <w:rFonts w:ascii="Arial" w:cs="Arial" w:eastAsia="Arial" w:hAnsi="Arial"/>
          <w:sz w:val="16"/>
          <w:szCs w:val="16"/>
          <w:u w:val="single" w:color="auto"/>
          <w:color w:val="0000FF"/>
        </w:rPr>
      </w:pPr>
    </w:p>
    <w:p>
      <w:pPr>
        <w:ind w:right="120"/>
        <w:spacing w:after="0" w:line="225" w:lineRule="auto"/>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Form of Non Qualified Stock Option Grant Agreement under the Sabre Corporation 2014 Omnibus Incentive Compensation Plan</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(incorporated by reference to Exhibit 10.50 of Sabre Corporation’s Quarterly Report on Form 10-Q filed with the Securities and Exchange</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Commission on May 5, 2015).</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940" w:space="460"/>
            <w:col w:w="9920"/>
          </w:cols>
          <w:pgMar w:left="260" w:top="1038" w:right="319" w:bottom="1440" w:gutter="0" w:footer="0" w:header="0"/>
        </w:sect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10.25+</w:t>
            </w:r>
          </w:p>
        </w:tc>
        <w:tc>
          <w:tcPr>
            <w:tcW w:w="9880" w:type="dxa"/>
            <w:vAlign w:val="bottom"/>
            <w:tcBorders>
              <w:bottom w:val="single" w:sz="8" w:color="0000FF"/>
            </w:tcBorders>
            <w:gridSpan w:val="10"/>
          </w:tcPr>
          <w:p>
            <w:pPr>
              <w:spacing w:after="0" w:line="163" w:lineRule="exact"/>
              <w:rPr>
                <w:rFonts w:ascii="Arial" w:cs="Arial" w:eastAsia="Arial" w:hAnsi="Arial"/>
                <w:sz w:val="16"/>
                <w:szCs w:val="16"/>
                <w:color w:val="0000FF"/>
              </w:rPr>
            </w:pPr>
            <w:hyperlink r:id="rId186">
              <w:r>
                <w:rPr>
                  <w:rFonts w:ascii="Arial" w:cs="Arial" w:eastAsia="Arial" w:hAnsi="Arial"/>
                  <w:sz w:val="16"/>
                  <w:szCs w:val="16"/>
                  <w:color w:val="0000FF"/>
                </w:rPr>
                <w:t>Form of Restricted Stock Unit Annual Grant Agreement for Non Employee Directors under the Sabre Corporation 2014 Omnibus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400" w:type="dxa"/>
            <w:vAlign w:val="bottom"/>
          </w:tcPr>
          <w:p>
            <w:pPr>
              <w:spacing w:after="0"/>
              <w:rPr>
                <w:sz w:val="12"/>
                <w:szCs w:val="12"/>
                <w:color w:val="auto"/>
              </w:rPr>
            </w:pPr>
          </w:p>
        </w:tc>
        <w:tc>
          <w:tcPr>
            <w:tcW w:w="988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Compensation Plan (incorporated by reference to Exhibit 10.51 of Sabre Corporation’s Amendment No. 3 to the Registration Statement on</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9900" w:type="dxa"/>
            <w:vAlign w:val="bottom"/>
            <w:gridSpan w:val="11"/>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Form S-1 filed with the Securities and Exchange Commission on March 26, 2014).</w:t>
              </w:r>
            </w:hyperlink>
          </w:p>
        </w:tc>
        <w:tc>
          <w:tcPr>
            <w:tcW w:w="2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10.26+</w:t>
            </w:r>
          </w:p>
        </w:tc>
        <w:tc>
          <w:tcPr>
            <w:tcW w:w="9920" w:type="dxa"/>
            <w:vAlign w:val="bottom"/>
            <w:gridSpan w:val="12"/>
          </w:tcPr>
          <w:p>
            <w:pPr>
              <w:spacing w:after="0" w:line="183" w:lineRule="exact"/>
              <w:rPr>
                <w:rFonts w:ascii="Arial" w:cs="Arial" w:eastAsia="Arial" w:hAnsi="Arial"/>
                <w:sz w:val="16"/>
                <w:szCs w:val="16"/>
                <w:color w:val="0000FF"/>
              </w:rPr>
            </w:pPr>
            <w:hyperlink r:id="rId187">
              <w:r>
                <w:rPr>
                  <w:rFonts w:ascii="Arial" w:cs="Arial" w:eastAsia="Arial" w:hAnsi="Arial"/>
                  <w:sz w:val="16"/>
                  <w:szCs w:val="16"/>
                  <w:color w:val="0000FF"/>
                </w:rPr>
                <w:t>Form of Restricted Stock Unit Initial Grant Agreement for Non Employee Directors under the Sabre Corporation 2014 Omnibus Incentive</w:t>
              </w:r>
            </w:hyperlink>
          </w:p>
        </w:tc>
      </w:tr>
      <w:tr>
        <w:trPr>
          <w:trHeight w:val="142"/>
        </w:trPr>
        <w:tc>
          <w:tcPr>
            <w:tcW w:w="1400" w:type="dxa"/>
            <w:vAlign w:val="bottom"/>
          </w:tcPr>
          <w:p>
            <w:pPr>
              <w:spacing w:after="0"/>
              <w:rPr>
                <w:sz w:val="12"/>
                <w:szCs w:val="12"/>
                <w:color w:val="auto"/>
              </w:rPr>
            </w:pPr>
          </w:p>
        </w:tc>
        <w:tc>
          <w:tcPr>
            <w:tcW w:w="97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Compensation Plan (incorporated by reference to Exhibit 10.52 of Sabre Corporation’s Amendment No. 3 to the Registration Statement</w:t>
              </w:r>
            </w:hyperlink>
          </w:p>
        </w:tc>
        <w:tc>
          <w:tcPr>
            <w:tcW w:w="160" w:type="dxa"/>
            <w:vAlign w:val="bottom"/>
            <w:gridSpan w:val="3"/>
          </w:tcPr>
          <w:p>
            <w:pPr>
              <w:spacing w:after="0" w:line="142" w:lineRule="exact"/>
              <w:rPr>
                <w:rFonts w:ascii="Arial" w:cs="Arial" w:eastAsia="Arial" w:hAnsi="Arial"/>
                <w:sz w:val="16"/>
                <w:szCs w:val="16"/>
                <w:color w:val="0000FF"/>
                <w:w w:val="78"/>
              </w:rPr>
            </w:pPr>
            <w:hyperlink r:id="rId187">
              <w:r>
                <w:rPr>
                  <w:rFonts w:ascii="Arial" w:cs="Arial" w:eastAsia="Arial" w:hAnsi="Arial"/>
                  <w:sz w:val="16"/>
                  <w:szCs w:val="16"/>
                  <w:color w:val="0000FF"/>
                  <w:w w:val="78"/>
                </w:rPr>
                <w:t>on</w:t>
              </w:r>
            </w:hyperlink>
          </w:p>
        </w:tc>
      </w:tr>
      <w:tr>
        <w:trPr>
          <w:trHeight w:val="142"/>
        </w:trPr>
        <w:tc>
          <w:tcPr>
            <w:tcW w:w="1400" w:type="dxa"/>
            <w:vAlign w:val="bottom"/>
          </w:tcPr>
          <w:p>
            <w:pPr>
              <w:spacing w:after="0"/>
              <w:rPr>
                <w:sz w:val="12"/>
                <w:szCs w:val="12"/>
                <w:color w:val="auto"/>
              </w:rPr>
            </w:pPr>
          </w:p>
        </w:tc>
        <w:tc>
          <w:tcPr>
            <w:tcW w:w="99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Form S-1 filed with the Securities and Exchange Commission on March 26, 2014).</w:t>
              </w:r>
            </w:hyperlink>
          </w:p>
        </w:tc>
        <w:tc>
          <w:tcPr>
            <w:tcW w:w="2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10.27</w:t>
            </w:r>
          </w:p>
        </w:tc>
        <w:tc>
          <w:tcPr>
            <w:tcW w:w="9340" w:type="dxa"/>
            <w:vAlign w:val="bottom"/>
            <w:tcBorders>
              <w:bottom w:val="single" w:sz="8" w:color="0000FF"/>
            </w:tcBorders>
            <w:gridSpan w:val="4"/>
          </w:tcPr>
          <w:p>
            <w:pPr>
              <w:spacing w:after="0" w:line="183" w:lineRule="exact"/>
              <w:rPr>
                <w:rFonts w:ascii="Arial" w:cs="Arial" w:eastAsia="Arial" w:hAnsi="Arial"/>
                <w:sz w:val="16"/>
                <w:szCs w:val="16"/>
                <w:color w:val="0000FF"/>
              </w:rPr>
            </w:pPr>
            <w:hyperlink r:id="rId188">
              <w:r>
                <w:rPr>
                  <w:rFonts w:ascii="Arial" w:cs="Arial" w:eastAsia="Arial" w:hAnsi="Arial"/>
                  <w:sz w:val="16"/>
                  <w:szCs w:val="16"/>
                  <w:color w:val="0000FF"/>
                </w:rPr>
                <w:t>Supplement No. 1, dated as of December 31, 2012, to the Pledge and Security Agreement dated as of May 9, 2012, among Sabre</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142"/>
        </w:trPr>
        <w:tc>
          <w:tcPr>
            <w:tcW w:w="1400" w:type="dxa"/>
            <w:vAlign w:val="bottom"/>
          </w:tcPr>
          <w:p>
            <w:pPr>
              <w:spacing w:after="0"/>
              <w:rPr>
                <w:sz w:val="12"/>
                <w:szCs w:val="12"/>
                <w:color w:val="auto"/>
              </w:rPr>
            </w:pPr>
          </w:p>
        </w:tc>
        <w:tc>
          <w:tcPr>
            <w:tcW w:w="934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Holdings Corporation, Sabre Inc., the subsidiary guarantors and Wells Fargo Bank, National Association, as collateral agent for the</w:t>
              </w:r>
            </w:hyperlink>
          </w:p>
        </w:tc>
        <w:tc>
          <w:tcPr>
            <w:tcW w:w="20" w:type="dxa"/>
            <w:vAlign w:val="bottom"/>
            <w:tcBorders>
              <w:bottom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4"/>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9360" w:type="dxa"/>
            <w:vAlign w:val="bottom"/>
            <w:gridSpan w:val="5"/>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secured parties (incorporated by reference to Exhibit 10.53 of Sabre Corporation’s Amendment No. 4 to the Registration Statement</w:t>
              </w:r>
            </w:hyperlink>
          </w:p>
        </w:tc>
        <w:tc>
          <w:tcPr>
            <w:tcW w:w="560" w:type="dxa"/>
            <w:vAlign w:val="bottom"/>
            <w:gridSpan w:val="7"/>
          </w:tcPr>
          <w:p>
            <w:pPr>
              <w:ind w:left="60"/>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on</w:t>
              </w:r>
            </w:hyperlink>
          </w:p>
        </w:tc>
      </w:tr>
      <w:tr>
        <w:trPr>
          <w:trHeight w:val="142"/>
        </w:trPr>
        <w:tc>
          <w:tcPr>
            <w:tcW w:w="1400" w:type="dxa"/>
            <w:vAlign w:val="bottom"/>
          </w:tcPr>
          <w:p>
            <w:pPr>
              <w:spacing w:after="0"/>
              <w:rPr>
                <w:sz w:val="12"/>
                <w:szCs w:val="12"/>
                <w:color w:val="auto"/>
              </w:rPr>
            </w:pPr>
          </w:p>
        </w:tc>
        <w:tc>
          <w:tcPr>
            <w:tcW w:w="96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Form S-1 filed with the Securities and Exchange Commission on March 31, 2014).</w:t>
              </w:r>
            </w:hyperlink>
          </w:p>
        </w:tc>
        <w:tc>
          <w:tcPr>
            <w:tcW w:w="20" w:type="dxa"/>
            <w:vAlign w:val="bottom"/>
          </w:tcPr>
          <w:p>
            <w:pPr>
              <w:spacing w:after="0"/>
              <w:rPr>
                <w:sz w:val="12"/>
                <w:szCs w:val="12"/>
                <w:color w:val="auto"/>
              </w:rPr>
            </w:pPr>
          </w:p>
        </w:tc>
        <w:tc>
          <w:tcPr>
            <w:tcW w:w="300" w:type="dxa"/>
            <w:vAlign w:val="bottom"/>
            <w:gridSpan w:val="4"/>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10.29+</w:t>
            </w:r>
          </w:p>
        </w:tc>
        <w:tc>
          <w:tcPr>
            <w:tcW w:w="9920" w:type="dxa"/>
            <w:vAlign w:val="bottom"/>
            <w:gridSpan w:val="12"/>
          </w:tcPr>
          <w:p>
            <w:pPr>
              <w:spacing w:after="0" w:line="183" w:lineRule="exact"/>
              <w:rPr>
                <w:rFonts w:ascii="Arial" w:cs="Arial" w:eastAsia="Arial" w:hAnsi="Arial"/>
                <w:sz w:val="16"/>
                <w:szCs w:val="16"/>
                <w:color w:val="0000FF"/>
              </w:rPr>
            </w:pPr>
            <w:hyperlink r:id="rId189">
              <w:r>
                <w:rPr>
                  <w:rFonts w:ascii="Arial" w:cs="Arial" w:eastAsia="Arial" w:hAnsi="Arial"/>
                  <w:sz w:val="16"/>
                  <w:szCs w:val="16"/>
                  <w:color w:val="0000FF"/>
                </w:rPr>
                <w:t>Sabre Corporation Non-Employee Directors Compensation Deferral Plan dated October 29, 2014 (incorporated by reference to Exhibit</w:t>
              </w:r>
            </w:hyperlink>
          </w:p>
        </w:tc>
      </w:tr>
      <w:tr>
        <w:trPr>
          <w:trHeight w:val="142"/>
        </w:trPr>
        <w:tc>
          <w:tcPr>
            <w:tcW w:w="1400" w:type="dxa"/>
            <w:vAlign w:val="bottom"/>
          </w:tcPr>
          <w:p>
            <w:pPr>
              <w:spacing w:after="0"/>
              <w:rPr>
                <w:sz w:val="12"/>
                <w:szCs w:val="12"/>
                <w:color w:val="auto"/>
              </w:rPr>
            </w:pPr>
          </w:p>
        </w:tc>
        <w:tc>
          <w:tcPr>
            <w:tcW w:w="96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10.</w:t>
              </w:r>
              <w:r>
                <w:rPr>
                  <w:rFonts w:ascii="Arial" w:cs="Arial" w:eastAsia="Arial" w:hAnsi="Arial"/>
                  <w:sz w:val="16"/>
                  <w:szCs w:val="16"/>
                  <w:u w:val="single" w:color="auto"/>
                  <w:color w:val="0000FF"/>
                </w:rPr>
                <w:t>57</w:t>
              </w:r>
              <w:r>
                <w:rPr>
                  <w:rFonts w:ascii="Arial" w:cs="Arial" w:eastAsia="Arial" w:hAnsi="Arial"/>
                  <w:sz w:val="16"/>
                  <w:szCs w:val="16"/>
                  <w:color w:val="0000FF"/>
                </w:rPr>
                <w:t xml:space="preserve"> of Sabre Corporation’s Registration Statement on Form S-1 filed with the Securities and Exchange Commission on January 26,</w:t>
              </w:r>
            </w:hyperlink>
          </w:p>
        </w:tc>
        <w:tc>
          <w:tcPr>
            <w:tcW w:w="300" w:type="dxa"/>
            <w:vAlign w:val="bottom"/>
            <w:gridSpan w:val="4"/>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189">
              <w:r>
                <w:rPr>
                  <w:rFonts w:ascii="Arial" w:cs="Arial" w:eastAsia="Arial" w:hAnsi="Arial"/>
                  <w:sz w:val="16"/>
                  <w:szCs w:val="16"/>
                  <w:color w:val="0000FF"/>
                  <w:w w:val="96"/>
                </w:rPr>
                <w:t>2015).</w:t>
              </w:r>
            </w:hyperlink>
          </w:p>
        </w:tc>
        <w:tc>
          <w:tcPr>
            <w:tcW w:w="5420" w:type="dxa"/>
            <w:vAlign w:val="bottom"/>
            <w:tcBorders>
              <w:top w:val="single" w:sz="8" w:color="0000FF"/>
            </w:tcBorders>
          </w:tcPr>
          <w:p>
            <w:pPr>
              <w:spacing w:after="0"/>
              <w:rPr>
                <w:sz w:val="12"/>
                <w:szCs w:val="12"/>
                <w:color w:val="auto"/>
              </w:rPr>
            </w:pPr>
          </w:p>
        </w:tc>
        <w:tc>
          <w:tcPr>
            <w:tcW w:w="3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10.30</w:t>
            </w:r>
          </w:p>
        </w:tc>
        <w:tc>
          <w:tcPr>
            <w:tcW w:w="9920" w:type="dxa"/>
            <w:vAlign w:val="bottom"/>
            <w:gridSpan w:val="12"/>
          </w:tcPr>
          <w:p>
            <w:pPr>
              <w:spacing w:after="0" w:line="183" w:lineRule="exact"/>
              <w:rPr>
                <w:rFonts w:ascii="Arial" w:cs="Arial" w:eastAsia="Arial" w:hAnsi="Arial"/>
                <w:sz w:val="16"/>
                <w:szCs w:val="16"/>
                <w:color w:val="0000FF"/>
              </w:rPr>
            </w:pPr>
            <w:hyperlink r:id="rId190">
              <w:r>
                <w:rPr>
                  <w:rFonts w:ascii="Arial" w:cs="Arial" w:eastAsia="Arial" w:hAnsi="Arial"/>
                  <w:sz w:val="16"/>
                  <w:szCs w:val="16"/>
                  <w:color w:val="0000FF"/>
                </w:rPr>
                <w:t>Second Amended and Restated Stockholders’ Agreement dated as of February 6, 2015 by and among Sabre Corporation and the</w:t>
              </w:r>
            </w:hyperlink>
          </w:p>
        </w:tc>
      </w:tr>
      <w:tr>
        <w:trPr>
          <w:trHeight w:val="20"/>
        </w:trPr>
        <w:tc>
          <w:tcPr>
            <w:tcW w:w="1400" w:type="dxa"/>
            <w:vAlign w:val="bottom"/>
          </w:tcPr>
          <w:p>
            <w:pPr>
              <w:spacing w:after="0" w:line="20" w:lineRule="exact"/>
              <w:rPr>
                <w:sz w:val="1"/>
                <w:szCs w:val="1"/>
                <w:color w:val="auto"/>
              </w:rPr>
            </w:pPr>
          </w:p>
        </w:tc>
        <w:tc>
          <w:tcPr>
            <w:tcW w:w="9300" w:type="dxa"/>
            <w:vAlign w:val="bottom"/>
            <w:gridSpan w:val="3"/>
            <w:shd w:val="clear" w:color="auto" w:fill="0000FF"/>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r>
      <w:tr>
        <w:trPr>
          <w:trHeight w:val="144"/>
        </w:trPr>
        <w:tc>
          <w:tcPr>
            <w:tcW w:w="1400" w:type="dxa"/>
            <w:vAlign w:val="bottom"/>
          </w:tcPr>
          <w:p>
            <w:pPr>
              <w:spacing w:after="0"/>
              <w:rPr>
                <w:sz w:val="12"/>
                <w:szCs w:val="12"/>
                <w:color w:val="auto"/>
              </w:rPr>
            </w:pPr>
          </w:p>
        </w:tc>
        <w:tc>
          <w:tcPr>
            <w:tcW w:w="9920" w:type="dxa"/>
            <w:vAlign w:val="bottom"/>
            <w:gridSpan w:val="12"/>
          </w:tcPr>
          <w:p>
            <w:pPr>
              <w:spacing w:after="0" w:line="144" w:lineRule="exact"/>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stockholders party thereto (incorporated by reference to Exhibit 10.58 of Sabre Corporation's Annual Report on Form 10-K filed with the</w:t>
              </w:r>
            </w:hyperlink>
          </w:p>
        </w:tc>
      </w:tr>
    </w:tbl>
    <w:p>
      <w:pPr>
        <w:ind w:left="1400"/>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Securities and Exchange Commission on March 3, 2015).</w:t>
        </w:r>
      </w:hyperlink>
    </w:p>
    <w:p>
      <w:pPr>
        <w:sectPr>
          <w:pgSz w:w="11900" w:h="16838" w:orient="portrait"/>
          <w:cols w:equalWidth="0" w:num="1">
            <w:col w:w="11320"/>
          </w:cols>
          <w:pgMar w:left="260" w:top="1038" w:right="31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10.31+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10.32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80"/>
        <w:spacing w:after="0" w:line="232" w:lineRule="auto"/>
        <w:rPr>
          <w:rFonts w:ascii="Arial" w:cs="Arial" w:eastAsia="Arial" w:hAnsi="Arial"/>
          <w:sz w:val="16"/>
          <w:szCs w:val="16"/>
          <w:u w:val="single" w:color="auto"/>
          <w:color w:val="0000FF"/>
        </w:rPr>
      </w:pPr>
      <w:hyperlink r:id="rId191">
        <w:r>
          <w:rPr>
            <w:rFonts w:ascii="Arial" w:cs="Arial" w:eastAsia="Arial" w:hAnsi="Arial"/>
            <w:sz w:val="16"/>
            <w:szCs w:val="16"/>
            <w:u w:val="single" w:color="auto"/>
            <w:color w:val="0000FF"/>
          </w:rPr>
          <w:t>Form of Award Agreement for Long-Term Stretch Program (incorporated by reference to Exhibit 10.1 of Sabre’s Corporation Current</w:t>
        </w:r>
      </w:hyperlink>
      <w:r>
        <w:rPr>
          <w:rFonts w:ascii="Arial" w:cs="Arial" w:eastAsia="Arial" w:hAnsi="Arial"/>
          <w:sz w:val="16"/>
          <w:szCs w:val="16"/>
          <w:u w:val="single" w:color="auto"/>
          <w:color w:val="0000FF"/>
        </w:rPr>
        <w:t xml:space="preserve"> </w:t>
      </w:r>
      <w:hyperlink r:id="rId191">
        <w:r>
          <w:rPr>
            <w:rFonts w:ascii="Arial" w:cs="Arial" w:eastAsia="Arial" w:hAnsi="Arial"/>
            <w:sz w:val="16"/>
            <w:szCs w:val="16"/>
            <w:u w:val="single" w:color="auto"/>
            <w:color w:val="0000FF"/>
          </w:rPr>
          <w:t>Report on Form 8-K filed with the Securities and Exchange Commission on March 13, 2015).</w:t>
        </w:r>
      </w:hyperlink>
    </w:p>
    <w:p>
      <w:pPr>
        <w:spacing w:after="0" w:line="22" w:lineRule="exact"/>
        <w:rPr>
          <w:sz w:val="20"/>
          <w:szCs w:val="20"/>
          <w:color w:val="auto"/>
        </w:rPr>
      </w:pPr>
    </w:p>
    <w:p>
      <w:pPr>
        <w:ind w:right="400"/>
        <w:spacing w:after="0" w:line="225" w:lineRule="auto"/>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Pledge and Security Agreement, dated as of April 14, 2015, among Sabre GLBL Inc., Sabre Holdings Corporation, the subsidiary</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guarantors party thereto and Wells Fargo Bank, National Association, as collateral agent (incorporated by reference to Exhibit 10.1 of</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Sabre Corporation’s Current Report on Form 8-K filed with the Securities and Exchange Commission on April 15, 2015).</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680" w:space="720"/>
            <w:col w:w="9920"/>
          </w:cols>
          <w:pgMar w:left="260" w:top="1038"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400" w:type="dxa"/>
            <w:vAlign w:val="bottom"/>
          </w:tcPr>
          <w:p>
            <w:pPr>
              <w:jc w:val="right"/>
              <w:ind w:right="899"/>
              <w:spacing w:after="0" w:line="163" w:lineRule="exact"/>
              <w:rPr>
                <w:sz w:val="20"/>
                <w:szCs w:val="20"/>
                <w:color w:val="auto"/>
              </w:rPr>
            </w:pPr>
            <w:r>
              <w:rPr>
                <w:rFonts w:ascii="Arial" w:cs="Arial" w:eastAsia="Arial" w:hAnsi="Arial"/>
                <w:sz w:val="16"/>
                <w:szCs w:val="16"/>
                <w:color w:val="auto"/>
                <w:w w:val="99"/>
              </w:rPr>
              <w:t>10.33</w:t>
            </w:r>
          </w:p>
        </w:tc>
        <w:tc>
          <w:tcPr>
            <w:tcW w:w="9560" w:type="dxa"/>
            <w:vAlign w:val="bottom"/>
            <w:tcBorders>
              <w:bottom w:val="single" w:sz="8" w:color="0000FF"/>
            </w:tcBorders>
          </w:tcPr>
          <w:p>
            <w:pPr>
              <w:spacing w:after="0" w:line="163" w:lineRule="exact"/>
              <w:rPr>
                <w:rFonts w:ascii="Arial" w:cs="Arial" w:eastAsia="Arial" w:hAnsi="Arial"/>
                <w:sz w:val="16"/>
                <w:szCs w:val="16"/>
                <w:color w:val="0000FF"/>
              </w:rPr>
            </w:pPr>
            <w:hyperlink r:id="rId193">
              <w:r>
                <w:rPr>
                  <w:rFonts w:ascii="Arial" w:cs="Arial" w:eastAsia="Arial" w:hAnsi="Arial"/>
                  <w:sz w:val="16"/>
                  <w:szCs w:val="16"/>
                  <w:color w:val="0000FF"/>
                </w:rPr>
                <w:t>Pledge and Security Agreement, dated as of November 9, 2015, among Sabre GLBL Inc., Sabre Holdings Corporation, the subsidiary</w:t>
              </w:r>
            </w:hyperlink>
          </w:p>
        </w:tc>
      </w:tr>
      <w:tr>
        <w:trPr>
          <w:trHeight w:val="144"/>
        </w:trPr>
        <w:tc>
          <w:tcPr>
            <w:tcW w:w="1400" w:type="dxa"/>
            <w:vAlign w:val="bottom"/>
          </w:tcPr>
          <w:p>
            <w:pPr>
              <w:spacing w:after="0"/>
              <w:rPr>
                <w:sz w:val="12"/>
                <w:szCs w:val="12"/>
                <w:color w:val="auto"/>
              </w:rPr>
            </w:pPr>
          </w:p>
        </w:tc>
        <w:tc>
          <w:tcPr>
            <w:tcW w:w="9560" w:type="dxa"/>
            <w:vAlign w:val="bottom"/>
          </w:tcPr>
          <w:p>
            <w:pPr>
              <w:spacing w:after="0" w:line="144" w:lineRule="exact"/>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guarantors party thereto and Wells Fargo Bank, National Association, as collateral agent (incorporated by reference to Exhibit 10.1 of</w:t>
              </w:r>
            </w:hyperlink>
          </w:p>
        </w:tc>
      </w:tr>
    </w:tbl>
    <w:p>
      <w:pPr>
        <w:ind w:left="1400"/>
        <w:spacing w:after="0"/>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Sabre Corporation’s Current Report on Form 8-K filed with the Securities and Exchange Commission on November 9, 2015).</w:t>
        </w:r>
      </w:hyperlink>
    </w:p>
    <w:p>
      <w:pPr>
        <w:sectPr>
          <w:pgSz w:w="11900" w:h="16838" w:orient="portrait"/>
          <w:cols w:equalWidth="0" w:num="1">
            <w:col w:w="11320"/>
          </w:cols>
          <w:pgMar w:left="260" w:top="1038" w:right="31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10.34+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10.35†</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40"/>
        <w:spacing w:after="0" w:line="232" w:lineRule="auto"/>
        <w:rPr>
          <w:rFonts w:ascii="Arial" w:cs="Arial" w:eastAsia="Arial" w:hAnsi="Arial"/>
          <w:sz w:val="16"/>
          <w:szCs w:val="16"/>
          <w:u w:val="single" w:color="auto"/>
          <w:color w:val="0000FF"/>
        </w:rPr>
      </w:pPr>
      <w:hyperlink r:id="rId194">
        <w:r>
          <w:rPr>
            <w:rFonts w:ascii="Arial" w:cs="Arial" w:eastAsia="Arial" w:hAnsi="Arial"/>
            <w:sz w:val="16"/>
            <w:szCs w:val="16"/>
            <w:u w:val="single" w:color="auto"/>
            <w:color w:val="0000FF"/>
          </w:rPr>
          <w:t>Sabre Corporation Executive Deferred Compensation Plan (incorporated by reference to Exhibit 10.1 of Sabre Corporation’s Current</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Report on Form 8-K filed with the Securities and Exchange Commission on November 16, 2015).</w:t>
        </w:r>
      </w:hyperlink>
    </w:p>
    <w:p>
      <w:pPr>
        <w:spacing w:after="0" w:line="22" w:lineRule="exact"/>
        <w:rPr>
          <w:sz w:val="20"/>
          <w:szCs w:val="20"/>
          <w:color w:val="auto"/>
        </w:rPr>
      </w:pPr>
    </w:p>
    <w:p>
      <w:pPr>
        <w:ind w:right="300"/>
        <w:spacing w:after="0" w:line="225" w:lineRule="auto"/>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Master Services Agreement dated as of November 1, 2015, between Sabre GLBL, Inc. and HP Enterprise Services, LLC, as provider</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(incorporated by reference to Exhibit 10.65 of Sabre Corporation’s Annual Report on Form 10-K filed with the Securities and Exchange</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Commission on February 19, 2016).</w:t>
        </w:r>
      </w:hyperlink>
    </w:p>
    <w:p>
      <w:pPr>
        <w:spacing w:after="0" w:line="23" w:lineRule="exact"/>
        <w:rPr>
          <w:rFonts w:ascii="Arial" w:cs="Arial" w:eastAsia="Arial" w:hAnsi="Arial"/>
          <w:sz w:val="16"/>
          <w:szCs w:val="16"/>
          <w:u w:val="single" w:color="auto"/>
          <w:color w:val="0000FF"/>
        </w:rPr>
      </w:pPr>
    </w:p>
    <w:p>
      <w:pPr>
        <w:sectPr>
          <w:pgSz w:w="11900" w:h="16838" w:orient="portrait"/>
          <w:cols w:equalWidth="0" w:num="2">
            <w:col w:w="680" w:space="720"/>
            <w:col w:w="9920"/>
          </w:cols>
          <w:pgMar w:left="260" w:top="1038" w:right="319" w:bottom="1440" w:gutter="0" w:footer="0" w:header="0"/>
          <w:type w:val="continuous"/>
        </w:sectPr>
      </w:pPr>
    </w:p>
    <w:p>
      <w:pPr>
        <w:spacing w:after="0" w:line="13"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10.36+</w:t>
      </w:r>
    </w:p>
    <w:p>
      <w:pPr>
        <w:spacing w:after="0" w:line="19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10.37+</w:t>
      </w:r>
    </w:p>
    <w:p>
      <w:pPr>
        <w:spacing w:after="0" w:line="35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10.38+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80"/>
        <w:spacing w:after="0" w:line="232" w:lineRule="auto"/>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Sabre Corporation 2016 Omnibus Incentive Compensation Plan (incorporated by reference to Exhibit 10.1 of Sabre Corporation’s Current</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Report on Form 8-K filed with the Securities and Exchange Commission on May 26, 2016).</w:t>
        </w:r>
      </w:hyperlink>
    </w:p>
    <w:p>
      <w:pPr>
        <w:spacing w:after="0" w:line="22" w:lineRule="exact"/>
        <w:rPr>
          <w:sz w:val="20"/>
          <w:szCs w:val="20"/>
          <w:color w:val="auto"/>
        </w:rPr>
      </w:pPr>
    </w:p>
    <w:p>
      <w:pPr>
        <w:jc w:val="both"/>
        <w:ind w:right="160"/>
        <w:spacing w:after="0" w:line="225" w:lineRule="auto"/>
        <w:rPr>
          <w:rFonts w:ascii="Arial" w:cs="Arial" w:eastAsia="Arial" w:hAnsi="Arial"/>
          <w:sz w:val="16"/>
          <w:szCs w:val="16"/>
          <w:u w:val="single" w:color="auto"/>
          <w:color w:val="0000FF"/>
        </w:rPr>
      </w:pPr>
      <w:hyperlink r:id="rId197">
        <w:r>
          <w:rPr>
            <w:rFonts w:ascii="Arial" w:cs="Arial" w:eastAsia="Arial" w:hAnsi="Arial"/>
            <w:sz w:val="16"/>
            <w:szCs w:val="16"/>
            <w:u w:val="single" w:color="auto"/>
            <w:color w:val="0000FF"/>
          </w:rPr>
          <w:t>Form of Restricted Stock Unit Grant Agreement under the Sabre Corporation 2016 Omnibus Incentive Compensation Plan (incorporated</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by reference to Exhibit 10.44 of Sabre Corporation’s Quarterly Report on Form 10-Q filed with the Securities and Exchange Commission</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on May 2, 2017).</w:t>
        </w:r>
      </w:hyperlink>
    </w:p>
    <w:p>
      <w:pPr>
        <w:spacing w:after="0" w:line="23" w:lineRule="exact"/>
        <w:rPr>
          <w:rFonts w:ascii="Arial" w:cs="Arial" w:eastAsia="Arial" w:hAnsi="Arial"/>
          <w:sz w:val="16"/>
          <w:szCs w:val="16"/>
          <w:u w:val="single" w:color="auto"/>
          <w:color w:val="0000FF"/>
        </w:rPr>
      </w:pPr>
    </w:p>
    <w:p>
      <w:pPr>
        <w:ind w:right="120"/>
        <w:spacing w:after="0" w:line="225" w:lineRule="auto"/>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Form of Non-Qualified Stock Option Grant Agreement under the Sabre Corporation 2016 Omnibus Incentive Compensation Plan</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(incorporated by reference to Exhibit 10.45 of Sabre Corporation’s Quarterly Report on Form 10-Q filed with the Securities and Exchange</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Commission on May 2, 2017).</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680" w:space="720"/>
            <w:col w:w="9920"/>
          </w:cols>
          <w:pgMar w:left="260" w:top="1038"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400" w:type="dxa"/>
            <w:vAlign w:val="bottom"/>
          </w:tcPr>
          <w:p>
            <w:pPr>
              <w:jc w:val="right"/>
              <w:ind w:right="899"/>
              <w:spacing w:after="0" w:line="183" w:lineRule="exact"/>
              <w:rPr>
                <w:sz w:val="20"/>
                <w:szCs w:val="20"/>
                <w:color w:val="auto"/>
              </w:rPr>
            </w:pPr>
            <w:r>
              <w:rPr>
                <w:rFonts w:ascii="Arial" w:cs="Arial" w:eastAsia="Arial" w:hAnsi="Arial"/>
                <w:sz w:val="16"/>
                <w:szCs w:val="16"/>
                <w:color w:val="auto"/>
                <w:w w:val="99"/>
              </w:rPr>
              <w:t>10.39</w:t>
            </w:r>
          </w:p>
        </w:tc>
        <w:tc>
          <w:tcPr>
            <w:tcW w:w="9740" w:type="dxa"/>
            <w:vAlign w:val="bottom"/>
            <w:tcBorders>
              <w:bottom w:val="single" w:sz="8" w:color="0000FF"/>
            </w:tcBorders>
          </w:tcPr>
          <w:p>
            <w:pPr>
              <w:spacing w:after="0" w:line="163" w:lineRule="exact"/>
              <w:rPr>
                <w:rFonts w:ascii="Arial" w:cs="Arial" w:eastAsia="Arial" w:hAnsi="Arial"/>
                <w:sz w:val="16"/>
                <w:szCs w:val="16"/>
                <w:color w:val="0000FF"/>
              </w:rPr>
            </w:pPr>
            <w:hyperlink r:id="rId199">
              <w:r>
                <w:rPr>
                  <w:rFonts w:ascii="Arial" w:cs="Arial" w:eastAsia="Arial" w:hAnsi="Arial"/>
                  <w:sz w:val="16"/>
                  <w:szCs w:val="16"/>
                  <w:color w:val="0000FF"/>
                </w:rPr>
                <w:t>Joinder Agreement to Second Amended and Restated Stockholders' Agreement, dated January 5, 2016, by Sovereign Co-Invest II, LLC</w:t>
              </w:r>
            </w:hyperlink>
          </w:p>
        </w:tc>
        <w:tc>
          <w:tcPr>
            <w:tcW w:w="60" w:type="dxa"/>
            <w:vAlign w:val="bottom"/>
          </w:tcPr>
          <w:p>
            <w:pPr>
              <w:spacing w:after="0"/>
              <w:rPr>
                <w:sz w:val="15"/>
                <w:szCs w:val="15"/>
                <w:color w:val="auto"/>
              </w:rPr>
            </w:pPr>
          </w:p>
        </w:tc>
      </w:tr>
      <w:tr>
        <w:trPr>
          <w:trHeight w:val="144"/>
        </w:trPr>
        <w:tc>
          <w:tcPr>
            <w:tcW w:w="1400" w:type="dxa"/>
            <w:vAlign w:val="bottom"/>
          </w:tcPr>
          <w:p>
            <w:pPr>
              <w:spacing w:after="0"/>
              <w:rPr>
                <w:sz w:val="12"/>
                <w:szCs w:val="12"/>
                <w:color w:val="auto"/>
              </w:rPr>
            </w:pPr>
          </w:p>
        </w:tc>
        <w:tc>
          <w:tcPr>
            <w:tcW w:w="9740" w:type="dxa"/>
            <w:vAlign w:val="bottom"/>
          </w:tcPr>
          <w:p>
            <w:pPr>
              <w:spacing w:after="0" w:line="144" w:lineRule="exact"/>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(incorporated by reference to Exhibit 10.66 of Sabre Corporation’s Quarterly Report on Form 10-Q filed with the Securities and Exchange</w:t>
              </w:r>
            </w:hyperlink>
          </w:p>
        </w:tc>
        <w:tc>
          <w:tcPr>
            <w:tcW w:w="60" w:type="dxa"/>
            <w:vAlign w:val="bottom"/>
          </w:tcPr>
          <w:p>
            <w:pPr>
              <w:spacing w:after="0"/>
              <w:rPr>
                <w:sz w:val="12"/>
                <w:szCs w:val="12"/>
                <w:color w:val="auto"/>
              </w:rPr>
            </w:pPr>
          </w:p>
        </w:tc>
      </w:tr>
    </w:tbl>
    <w:p>
      <w:pPr>
        <w:ind w:left="1400"/>
        <w:spacing w:after="0"/>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Commission on April 28, 2016).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60" w:top="1038" w:right="319" w:bottom="1440" w:gutter="0" w:footer="0" w:header="0"/>
          <w:type w:val="continuous"/>
        </w:sectPr>
      </w:pPr>
    </w:p>
    <w:bookmarkStart w:id="106" w:name="page107"/>
    <w:bookmarkEnd w:id="106"/>
    <w:p>
      <w:pPr>
        <w:ind w:left="360"/>
        <w:spacing w:after="0"/>
        <w:rPr>
          <w:sz w:val="20"/>
          <w:szCs w:val="20"/>
          <w:color w:val="auto"/>
        </w:rPr>
      </w:pPr>
      <w:r>
        <w:rPr>
          <w:rFonts w:ascii="Arial" w:cs="Arial" w:eastAsia="Arial" w:hAnsi="Arial"/>
          <w:sz w:val="16"/>
          <w:szCs w:val="16"/>
          <w:b w:val="1"/>
          <w:bCs w:val="1"/>
          <w:color w:val="auto"/>
        </w:rPr>
        <w:t>Exhibit</w:t>
      </w:r>
    </w:p>
    <w:p>
      <w:pPr>
        <w:jc w:val="right"/>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8147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10.40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63373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59" w:lineRule="exact"/>
        <w:rPr>
          <w:sz w:val="20"/>
          <w:szCs w:val="20"/>
          <w:color w:val="auto"/>
        </w:rPr>
      </w:pPr>
    </w:p>
    <w:p>
      <w:pPr>
        <w:ind w:right="140"/>
        <w:spacing w:after="0" w:line="225" w:lineRule="auto"/>
        <w:rPr>
          <w:rFonts w:ascii="Arial" w:cs="Arial" w:eastAsia="Arial" w:hAnsi="Arial"/>
          <w:sz w:val="16"/>
          <w:szCs w:val="16"/>
          <w:u w:val="single" w:color="auto"/>
          <w:color w:val="0000FF"/>
        </w:rPr>
      </w:pPr>
      <w:hyperlink r:id="rId203">
        <w:r>
          <w:rPr>
            <w:rFonts w:ascii="Arial" w:cs="Arial" w:eastAsia="Arial" w:hAnsi="Arial"/>
            <w:sz w:val="16"/>
            <w:szCs w:val="16"/>
            <w:u w:val="single" w:color="auto"/>
            <w:color w:val="0000FF"/>
          </w:rPr>
          <w:t>Joinder Agreement to Amended and Restated Registration Rights Agreement, dated January 5, 2016, by Sovereign Co-Invest II, LLC</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(incorporated by reference to Exhibit 10.67 of Sabre Corporation’s Quarterly Report on Form 10-Q filed with the Securities and Exchange</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Commission on April 28, 2016).</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940" w:space="460"/>
            <w:col w:w="9940"/>
          </w:cols>
          <w:pgMar w:left="260" w:top="1038" w:right="299" w:bottom="1440" w:gutter="0" w:footer="0" w:header="0"/>
        </w:sect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line="163" w:lineRule="exact"/>
              <w:rPr>
                <w:sz w:val="20"/>
                <w:szCs w:val="20"/>
                <w:color w:val="auto"/>
              </w:rPr>
            </w:pPr>
            <w:r>
              <w:rPr>
                <w:rFonts w:ascii="Arial" w:cs="Arial" w:eastAsia="Arial" w:hAnsi="Arial"/>
                <w:sz w:val="16"/>
                <w:szCs w:val="16"/>
                <w:color w:val="auto"/>
              </w:rPr>
              <w:t>10.41</w:t>
            </w:r>
          </w:p>
        </w:tc>
        <w:tc>
          <w:tcPr>
            <w:tcW w:w="9940" w:type="dxa"/>
            <w:vAlign w:val="bottom"/>
            <w:gridSpan w:val="18"/>
          </w:tcPr>
          <w:p>
            <w:pPr>
              <w:spacing w:after="0" w:line="163" w:lineRule="exact"/>
              <w:rPr>
                <w:rFonts w:ascii="Arial" w:cs="Arial" w:eastAsia="Arial" w:hAnsi="Arial"/>
                <w:sz w:val="16"/>
                <w:szCs w:val="16"/>
                <w:color w:val="0000FF"/>
              </w:rPr>
            </w:pPr>
            <w:hyperlink r:id="rId204">
              <w:r>
                <w:rPr>
                  <w:rFonts w:ascii="Arial" w:cs="Arial" w:eastAsia="Arial" w:hAnsi="Arial"/>
                  <w:sz w:val="16"/>
                  <w:szCs w:val="16"/>
                  <w:color w:val="0000FF"/>
                </w:rPr>
                <w:t>Revolving Facility Refinancing Amendment to Amended and Restated Credit Agreement, dated July 18, 2016, among Sabre GLBL Inc.,</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7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Sabre Holdings Corporation, each of the other Loan Parties party thereto, Bank of America, N.A., as Administrative Agent and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2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Revolving Credit Lenders party thereto (incorporated by reference to Exhibit 10.1 of Sabre Corporation’s Current Report on Form</w:t>
              </w:r>
            </w:hyperlink>
          </w:p>
        </w:tc>
        <w:tc>
          <w:tcPr>
            <w:tcW w:w="660" w:type="dxa"/>
            <w:vAlign w:val="bottom"/>
            <w:gridSpan w:val="11"/>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8-K filed</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with the Securities and Exchange Commission on July 19, 2016).</w:t>
              </w:r>
            </w:hyperlink>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10.42</w:t>
            </w:r>
          </w:p>
        </w:tc>
        <w:tc>
          <w:tcPr>
            <w:tcW w:w="9080" w:type="dxa"/>
            <w:vAlign w:val="bottom"/>
            <w:tcBorders>
              <w:bottom w:val="single" w:sz="8" w:color="0000FF"/>
            </w:tcBorders>
            <w:gridSpan w:val="6"/>
          </w:tcPr>
          <w:p>
            <w:pPr>
              <w:spacing w:after="0" w:line="183" w:lineRule="exact"/>
              <w:rPr>
                <w:rFonts w:ascii="Arial" w:cs="Arial" w:eastAsia="Arial" w:hAnsi="Arial"/>
                <w:sz w:val="16"/>
                <w:szCs w:val="16"/>
                <w:color w:val="0000FF"/>
              </w:rPr>
            </w:pPr>
            <w:hyperlink r:id="rId205">
              <w:r>
                <w:rPr>
                  <w:rFonts w:ascii="Arial" w:cs="Arial" w:eastAsia="Arial" w:hAnsi="Arial"/>
                  <w:sz w:val="16"/>
                  <w:szCs w:val="16"/>
                  <w:color w:val="0000FF"/>
                </w:rPr>
                <w:t>Amendment No. 2 to Amended and Restated Credit Agreement, dated July 18, 2016, among Sabre GLBL Inc., Sabre Holdings</w:t>
              </w:r>
            </w:hyperlink>
          </w:p>
        </w:tc>
        <w:tc>
          <w:tcPr>
            <w:tcW w:w="860" w:type="dxa"/>
            <w:vAlign w:val="bottom"/>
            <w:gridSpan w:val="12"/>
            <w:vMerge w:val="restart"/>
          </w:tcPr>
          <w:p>
            <w:pPr>
              <w:ind w:left="120"/>
              <w:spacing w:after="0"/>
              <w:rPr>
                <w:rFonts w:ascii="Arial" w:cs="Arial" w:eastAsia="Arial" w:hAnsi="Arial"/>
                <w:sz w:val="16"/>
                <w:szCs w:val="16"/>
                <w:color w:val="0000FF"/>
              </w:rPr>
            </w:pPr>
            <w:hyperlink r:id="rId205">
              <w:r>
                <w:rPr>
                  <w:rFonts w:ascii="Arial" w:cs="Arial" w:eastAsia="Arial" w:hAnsi="Arial"/>
                  <w:sz w:val="16"/>
                  <w:szCs w:val="16"/>
                  <w:color w:val="0000FF"/>
                </w:rPr>
                <w:t>thereto</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080" w:type="dxa"/>
            <w:vAlign w:val="bottom"/>
            <w:gridSpan w:val="6"/>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Corporation, each of the other Loan Parties party thereto, Bank of America, N.A., as Administrative Agent and the Lenders party</w:t>
              </w:r>
            </w:hyperlink>
          </w:p>
        </w:tc>
        <w:tc>
          <w:tcPr>
            <w:tcW w:w="86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7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(incorporated by reference to Exhibit 10.2 of Sabre Corporation’s Current Report on Form 8-K filed with the Securities and Exchange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4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Commission on July 19, 2016).</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10.43</w:t>
            </w:r>
          </w:p>
        </w:tc>
        <w:tc>
          <w:tcPr>
            <w:tcW w:w="9940" w:type="dxa"/>
            <w:vAlign w:val="bottom"/>
            <w:tcBorders>
              <w:bottom w:val="single" w:sz="8" w:color="0000FF"/>
            </w:tcBorders>
            <w:gridSpan w:val="18"/>
          </w:tcPr>
          <w:p>
            <w:pPr>
              <w:spacing w:after="0" w:line="183" w:lineRule="exact"/>
              <w:rPr>
                <w:rFonts w:ascii="Arial" w:cs="Arial" w:eastAsia="Arial" w:hAnsi="Arial"/>
                <w:sz w:val="16"/>
                <w:szCs w:val="16"/>
                <w:color w:val="0000FF"/>
              </w:rPr>
            </w:pPr>
            <w:hyperlink r:id="rId206">
              <w:r>
                <w:rPr>
                  <w:rFonts w:ascii="Arial" w:cs="Arial" w:eastAsia="Arial" w:hAnsi="Arial"/>
                  <w:sz w:val="16"/>
                  <w:szCs w:val="16"/>
                  <w:color w:val="0000FF"/>
                </w:rPr>
                <w:t>Second Incremental Term Facility Amendment to Amended and Restated Credit Agreement, dated July 18, 2016, among Sabre GLBL Inc.,</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28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Sabre Holdings Corporation, each of the other Loan Parties party thereto, Bank of America, N.A., as Administrative Agent and the</w:t>
              </w:r>
            </w:hyperlink>
          </w:p>
        </w:tc>
        <w:tc>
          <w:tcPr>
            <w:tcW w:w="6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940" w:type="dxa"/>
            <w:vAlign w:val="bottom"/>
            <w:gridSpan w:val="18"/>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Incremental Term A Lenders party thereto (incorporated by reference to Exhibit 10.3 of Sabre Corporation’s Current Report on Form 8-K</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7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filed with the Securities and Exchange Commission on July 19, 2016).</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10.44+</w:t>
            </w:r>
          </w:p>
        </w:tc>
        <w:tc>
          <w:tcPr>
            <w:tcW w:w="9660" w:type="dxa"/>
            <w:vAlign w:val="bottom"/>
            <w:tcBorders>
              <w:bottom w:val="single" w:sz="8" w:color="0000FF"/>
            </w:tcBorders>
            <w:gridSpan w:val="11"/>
          </w:tcPr>
          <w:p>
            <w:pPr>
              <w:spacing w:after="0" w:line="183" w:lineRule="exact"/>
              <w:rPr>
                <w:rFonts w:ascii="Arial" w:cs="Arial" w:eastAsia="Arial" w:hAnsi="Arial"/>
                <w:sz w:val="16"/>
                <w:szCs w:val="16"/>
                <w:color w:val="0000FF"/>
              </w:rPr>
            </w:pPr>
            <w:hyperlink r:id="rId207">
              <w:r>
                <w:rPr>
                  <w:rFonts w:ascii="Arial" w:cs="Arial" w:eastAsia="Arial" w:hAnsi="Arial"/>
                  <w:sz w:val="16"/>
                  <w:szCs w:val="16"/>
                  <w:color w:val="0000FF"/>
                </w:rPr>
                <w:t>Employment Agreement by and between Sabre Corporation and Sean Menke, dated December 15, 2016 (incorporated by reference to</w:t>
              </w:r>
            </w:hyperlink>
          </w:p>
        </w:tc>
        <w:tc>
          <w:tcPr>
            <w:tcW w:w="1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660" w:type="dxa"/>
            <w:vAlign w:val="bottom"/>
            <w:gridSpan w:val="11"/>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Exhibit 10.1 of Sabre Corporation’s Current Report on Form 8-K filed with the Securities and Exchange Commission on December 16,</w:t>
              </w:r>
            </w:hyperlink>
          </w:p>
        </w:tc>
        <w:tc>
          <w:tcPr>
            <w:tcW w:w="1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207">
              <w:r>
                <w:rPr>
                  <w:rFonts w:ascii="Arial" w:cs="Arial" w:eastAsia="Arial" w:hAnsi="Arial"/>
                  <w:sz w:val="16"/>
                  <w:szCs w:val="16"/>
                  <w:color w:val="0000FF"/>
                  <w:w w:val="96"/>
                </w:rPr>
                <w:t>2016).</w:t>
              </w:r>
            </w:hyperlink>
          </w:p>
        </w:tc>
        <w:tc>
          <w:tcPr>
            <w:tcW w:w="1760" w:type="dxa"/>
            <w:vAlign w:val="bottom"/>
            <w:tcBorders>
              <w:top w:val="single" w:sz="8" w:color="0000FF"/>
            </w:tcBorders>
          </w:tcPr>
          <w:p>
            <w:pPr>
              <w:spacing w:after="0"/>
              <w:rPr>
                <w:sz w:val="12"/>
                <w:szCs w:val="12"/>
                <w:color w:val="auto"/>
              </w:rPr>
            </w:pPr>
          </w:p>
        </w:tc>
        <w:tc>
          <w:tcPr>
            <w:tcW w:w="24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3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10.45+</w:t>
            </w:r>
          </w:p>
        </w:tc>
        <w:tc>
          <w:tcPr>
            <w:tcW w:w="9940" w:type="dxa"/>
            <w:vAlign w:val="bottom"/>
            <w:gridSpan w:val="18"/>
          </w:tcPr>
          <w:p>
            <w:pPr>
              <w:spacing w:after="0" w:line="183" w:lineRule="exact"/>
              <w:rPr>
                <w:rFonts w:ascii="Arial" w:cs="Arial" w:eastAsia="Arial" w:hAnsi="Arial"/>
                <w:sz w:val="16"/>
                <w:szCs w:val="16"/>
                <w:color w:val="0000FF"/>
              </w:rPr>
            </w:pPr>
            <w:hyperlink r:id="rId208">
              <w:r>
                <w:rPr>
                  <w:rFonts w:ascii="Arial" w:cs="Arial" w:eastAsia="Arial" w:hAnsi="Arial"/>
                  <w:sz w:val="16"/>
                  <w:szCs w:val="16"/>
                  <w:color w:val="0000FF"/>
                </w:rPr>
                <w:t>Letter Agreement by and between Sabre Corporation and Lawrence W. Kellner, dated December 15, 2016 (incorporated by reference to</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7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Exhibit 10.2 of Sabre Corporation’s Current Report on Form 8-K filed with the Securities and Exchange Commission on December 16,</w:t>
              </w:r>
            </w:hyperlink>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208">
              <w:r>
                <w:rPr>
                  <w:rFonts w:ascii="Arial" w:cs="Arial" w:eastAsia="Arial" w:hAnsi="Arial"/>
                  <w:sz w:val="16"/>
                  <w:szCs w:val="16"/>
                  <w:color w:val="0000FF"/>
                  <w:w w:val="96"/>
                </w:rPr>
                <w:t>2016).</w:t>
              </w:r>
            </w:hyperlink>
          </w:p>
        </w:tc>
        <w:tc>
          <w:tcPr>
            <w:tcW w:w="1760" w:type="dxa"/>
            <w:vAlign w:val="bottom"/>
            <w:tcBorders>
              <w:top w:val="single" w:sz="8" w:color="0000FF"/>
            </w:tcBorders>
          </w:tcPr>
          <w:p>
            <w:pPr>
              <w:spacing w:after="0"/>
              <w:rPr>
                <w:sz w:val="12"/>
                <w:szCs w:val="12"/>
                <w:color w:val="auto"/>
              </w:rPr>
            </w:pPr>
          </w:p>
        </w:tc>
        <w:tc>
          <w:tcPr>
            <w:tcW w:w="24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3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10.46</w:t>
            </w:r>
          </w:p>
        </w:tc>
        <w:tc>
          <w:tcPr>
            <w:tcW w:w="9600" w:type="dxa"/>
            <w:vAlign w:val="bottom"/>
            <w:tcBorders>
              <w:bottom w:val="single" w:sz="8" w:color="0000FF"/>
            </w:tcBorders>
            <w:gridSpan w:val="10"/>
          </w:tcPr>
          <w:p>
            <w:pPr>
              <w:spacing w:after="0" w:line="183" w:lineRule="exact"/>
              <w:rPr>
                <w:rFonts w:ascii="Arial" w:cs="Arial" w:eastAsia="Arial" w:hAnsi="Arial"/>
                <w:sz w:val="16"/>
                <w:szCs w:val="16"/>
                <w:color w:val="0000FF"/>
              </w:rPr>
            </w:pPr>
            <w:hyperlink r:id="rId209">
              <w:r>
                <w:rPr>
                  <w:rFonts w:ascii="Arial" w:cs="Arial" w:eastAsia="Arial" w:hAnsi="Arial"/>
                  <w:sz w:val="16"/>
                  <w:szCs w:val="16"/>
                  <w:color w:val="0000FF"/>
                </w:rPr>
                <w:t>Amendment dated December 22, 2016, to that certain Master Services Agreement dated as of November 1, 2015 by and between HP</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9940" w:type="dxa"/>
            <w:vAlign w:val="bottom"/>
            <w:gridSpan w:val="18"/>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Enterprise Services, LLC and Sabre GLBL Inc. (incorporated by reference to Exhibit 10.56 of Sabre Corporation's Annual Report on Form</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57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10-K filed with the Securities and Exchange Commission on February 17, 2017).</w:t>
              </w:r>
            </w:hyperlink>
          </w:p>
        </w:tc>
        <w:tc>
          <w:tcPr>
            <w:tcW w:w="4080" w:type="dxa"/>
            <w:vAlign w:val="bottom"/>
            <w:tcBorders>
              <w:top w:val="single" w:sz="8" w:color="0000FF"/>
            </w:tcBorders>
            <w:gridSpan w:val="11"/>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Arial" w:cs="Arial" w:eastAsia="Arial" w:hAnsi="Arial"/>
                <w:sz w:val="16"/>
                <w:szCs w:val="16"/>
                <w:color w:val="auto"/>
              </w:rPr>
              <w:t>10.47</w:t>
            </w:r>
          </w:p>
        </w:tc>
        <w:tc>
          <w:tcPr>
            <w:tcW w:w="9940" w:type="dxa"/>
            <w:vAlign w:val="bottom"/>
            <w:gridSpan w:val="18"/>
          </w:tcPr>
          <w:p>
            <w:pPr>
              <w:spacing w:after="0"/>
              <w:rPr>
                <w:rFonts w:ascii="Arial" w:cs="Arial" w:eastAsia="Arial" w:hAnsi="Arial"/>
                <w:sz w:val="16"/>
                <w:szCs w:val="16"/>
                <w:u w:val="single" w:color="auto"/>
                <w:color w:val="0000FF"/>
              </w:rPr>
            </w:pPr>
            <w:hyperlink r:id="rId210">
              <w:r>
                <w:rPr>
                  <w:rFonts w:ascii="Arial" w:cs="Arial" w:eastAsia="Arial" w:hAnsi="Arial"/>
                  <w:sz w:val="16"/>
                  <w:szCs w:val="16"/>
                  <w:u w:val="single" w:color="auto"/>
                  <w:color w:val="0000FF"/>
                </w:rPr>
                <w:t>Third Incremental Term Facility Amendment to Amended and Restated Credit Agreement, dated February 22, 2017, among Sabre GLBL</w:t>
              </w:r>
            </w:hyperlink>
          </w:p>
        </w:tc>
        <w:tc>
          <w:tcPr>
            <w:tcW w:w="0" w:type="dxa"/>
            <w:vAlign w:val="bottom"/>
          </w:tcPr>
          <w:p>
            <w:pPr>
              <w:spacing w:after="0"/>
              <w:rPr>
                <w:sz w:val="1"/>
                <w:szCs w:val="1"/>
                <w:color w:val="auto"/>
              </w:rPr>
            </w:pPr>
          </w:p>
        </w:tc>
      </w:tr>
    </w:tbl>
    <w:p>
      <w:pPr>
        <w:ind w:left="1400" w:right="180"/>
        <w:spacing w:after="0" w:line="225" w:lineRule="auto"/>
        <w:rPr>
          <w:rFonts w:ascii="Arial" w:cs="Arial" w:eastAsia="Arial" w:hAnsi="Arial"/>
          <w:sz w:val="16"/>
          <w:szCs w:val="16"/>
          <w:u w:val="single" w:color="auto"/>
          <w:color w:val="0000FF"/>
        </w:rPr>
      </w:pPr>
      <w:hyperlink r:id="rId210">
        <w:r>
          <w:rPr>
            <w:rFonts w:ascii="Arial" w:cs="Arial" w:eastAsia="Arial" w:hAnsi="Arial"/>
            <w:sz w:val="16"/>
            <w:szCs w:val="16"/>
            <w:u w:val="single" w:color="auto"/>
            <w:color w:val="0000FF"/>
          </w:rPr>
          <w:t>Inc., Sabre Holdings Corporation, each of the other Loan Parties party thereto, Bank of America, N.A., as Administrative Agent, the 2017</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Incremental Term Lenders party thereto and each other Lender party thereto (incorporated by reference to Exhibit 10.1 of Sabre</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Corporation’s Current Report on Form 8-K filed with the Securities and Exchange Commission on February 24, 2017).</w:t>
        </w:r>
      </w:hyperlink>
    </w:p>
    <w:p>
      <w:pPr>
        <w:sectPr>
          <w:pgSz w:w="11900" w:h="16838" w:orient="portrait"/>
          <w:cols w:equalWidth="0" w:num="1">
            <w:col w:w="11340"/>
          </w:cols>
          <w:pgMar w:left="260" w:top="1038" w:right="299" w:bottom="1440" w:gutter="0" w:footer="0" w:header="0"/>
          <w:type w:val="continuous"/>
        </w:sectPr>
      </w:pPr>
    </w:p>
    <w:p>
      <w:pPr>
        <w:spacing w:after="0" w:line="3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10.48+</w:t>
      </w:r>
    </w:p>
    <w:p>
      <w:pPr>
        <w:spacing w:after="0" w:line="19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10.49+</w:t>
      </w:r>
    </w:p>
    <w:p>
      <w:pPr>
        <w:spacing w:after="0" w:line="19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10.50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 w:lineRule="exact"/>
        <w:rPr>
          <w:rFonts w:ascii="Arial" w:cs="Arial" w:eastAsia="Arial" w:hAnsi="Arial"/>
          <w:sz w:val="16"/>
          <w:szCs w:val="16"/>
          <w:u w:val="single" w:color="auto"/>
          <w:color w:val="0000FF"/>
        </w:rPr>
      </w:pPr>
    </w:p>
    <w:p>
      <w:pPr>
        <w:ind w:right="200"/>
        <w:spacing w:after="0" w:line="232" w:lineRule="auto"/>
        <w:rPr>
          <w:rFonts w:ascii="Arial" w:cs="Arial" w:eastAsia="Arial" w:hAnsi="Arial"/>
          <w:sz w:val="16"/>
          <w:szCs w:val="16"/>
          <w:u w:val="single" w:color="auto"/>
          <w:color w:val="0000FF"/>
        </w:rPr>
      </w:pPr>
      <w:hyperlink r:id="rId211">
        <w:r>
          <w:rPr>
            <w:rFonts w:ascii="Arial" w:cs="Arial" w:eastAsia="Arial" w:hAnsi="Arial"/>
            <w:sz w:val="16"/>
            <w:szCs w:val="16"/>
            <w:u w:val="single" w:color="auto"/>
            <w:color w:val="0000FF"/>
          </w:rPr>
          <w:t>Letter Agreement by and between Sabre Corporation and David Shirk, dated April 5, 2017 (incorporated by reference to Exhibit 10.60 of</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Sabre Corporation’s Quarterly Report on Form 10-Q filed with the Securities and Exchange Commission on August 1, 2017).</w:t>
        </w:r>
      </w:hyperlink>
    </w:p>
    <w:p>
      <w:pPr>
        <w:spacing w:after="0" w:line="22" w:lineRule="exact"/>
        <w:rPr>
          <w:sz w:val="20"/>
          <w:szCs w:val="20"/>
          <w:color w:val="auto"/>
        </w:rPr>
      </w:pPr>
    </w:p>
    <w:p>
      <w:pPr>
        <w:ind w:right="40"/>
        <w:spacing w:after="0" w:line="232" w:lineRule="auto"/>
        <w:rPr>
          <w:rFonts w:ascii="Arial" w:cs="Arial" w:eastAsia="Arial" w:hAnsi="Arial"/>
          <w:sz w:val="16"/>
          <w:szCs w:val="16"/>
          <w:u w:val="single" w:color="auto"/>
          <w:color w:val="0000FF"/>
        </w:rPr>
      </w:pPr>
      <w:hyperlink r:id="rId212">
        <w:r>
          <w:rPr>
            <w:rFonts w:ascii="Arial" w:cs="Arial" w:eastAsia="Arial" w:hAnsi="Arial"/>
            <w:sz w:val="16"/>
            <w:szCs w:val="16"/>
            <w:u w:val="single" w:color="auto"/>
            <w:color w:val="0000FF"/>
          </w:rPr>
          <w:t>Letter Agreement by and between Sabre Corporation and Wade Jones, dated April 24, 2017 (incorporated by reference to Exhibit 10.61 of</w:t>
        </w:r>
      </w:hyperlink>
      <w:r>
        <w:rPr>
          <w:rFonts w:ascii="Arial" w:cs="Arial" w:eastAsia="Arial" w:hAnsi="Arial"/>
          <w:sz w:val="16"/>
          <w:szCs w:val="16"/>
          <w:u w:val="single" w:color="auto"/>
          <w:color w:val="0000FF"/>
        </w:rPr>
        <w:t xml:space="preserve"> </w:t>
      </w:r>
      <w:hyperlink r:id="rId212">
        <w:r>
          <w:rPr>
            <w:rFonts w:ascii="Arial" w:cs="Arial" w:eastAsia="Arial" w:hAnsi="Arial"/>
            <w:sz w:val="16"/>
            <w:szCs w:val="16"/>
            <w:u w:val="single" w:color="auto"/>
            <w:color w:val="0000FF"/>
          </w:rPr>
          <w:t>Sabre Corporation’s Quarterly Report on Form 10-Q filed with the Securities and Exchange Commission on August 1, 2017).</w:t>
        </w:r>
      </w:hyperlink>
    </w:p>
    <w:p>
      <w:pPr>
        <w:spacing w:after="0" w:line="22" w:lineRule="exact"/>
        <w:rPr>
          <w:sz w:val="20"/>
          <w:szCs w:val="20"/>
          <w:color w:val="auto"/>
        </w:rPr>
      </w:pPr>
    </w:p>
    <w:p>
      <w:pPr>
        <w:jc w:val="both"/>
        <w:ind w:right="140"/>
        <w:spacing w:after="0" w:line="225" w:lineRule="auto"/>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Amendment Number Two, dated May 1, 2017, to that certain Master Services Agreement dated as of November 1, 2015 by and between</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Enterprises Services, LLC (f/k/a HP Enterprise Services, LLC) and Sabre GLBL Inc. (incorporated by reference to Exhibit 10.62 of Sabre</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Corporation’s Quarterly Report on Form 10-Q filed with the Securities and Exchange Commission on August 1, 2017).</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680" w:space="720"/>
            <w:col w:w="9940"/>
          </w:cols>
          <w:pgMar w:left="260" w:top="1038" w:right="29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line="183" w:lineRule="exact"/>
              <w:rPr>
                <w:sz w:val="20"/>
                <w:szCs w:val="20"/>
                <w:color w:val="auto"/>
              </w:rPr>
            </w:pPr>
            <w:r>
              <w:rPr>
                <w:rFonts w:ascii="Arial" w:cs="Arial" w:eastAsia="Arial" w:hAnsi="Arial"/>
                <w:sz w:val="16"/>
                <w:szCs w:val="16"/>
                <w:color w:val="auto"/>
              </w:rPr>
              <w:t>10.51</w:t>
            </w:r>
          </w:p>
        </w:tc>
        <w:tc>
          <w:tcPr>
            <w:tcW w:w="9720" w:type="dxa"/>
            <w:vAlign w:val="bottom"/>
            <w:tcBorders>
              <w:bottom w:val="single" w:sz="8" w:color="0000FF"/>
            </w:tcBorders>
            <w:gridSpan w:val="12"/>
          </w:tcPr>
          <w:p>
            <w:pPr>
              <w:spacing w:after="0" w:line="163" w:lineRule="exact"/>
              <w:rPr>
                <w:rFonts w:ascii="Arial" w:cs="Arial" w:eastAsia="Arial" w:hAnsi="Arial"/>
                <w:sz w:val="16"/>
                <w:szCs w:val="16"/>
                <w:color w:val="0000FF"/>
              </w:rPr>
            </w:pPr>
            <w:hyperlink r:id="rId214">
              <w:r>
                <w:rPr>
                  <w:rFonts w:ascii="Arial" w:cs="Arial" w:eastAsia="Arial" w:hAnsi="Arial"/>
                  <w:sz w:val="16"/>
                  <w:szCs w:val="16"/>
                  <w:color w:val="0000FF"/>
                </w:rPr>
                <w:t>Fourth Incremental Term Facility Amendment to Amended and Restated Credit Agreement, dated August 23, 2017, among Sabre GLBL</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400" w:type="dxa"/>
            <w:vAlign w:val="bottom"/>
          </w:tcPr>
          <w:p>
            <w:pPr>
              <w:spacing w:after="0"/>
              <w:rPr>
                <w:sz w:val="12"/>
                <w:szCs w:val="12"/>
                <w:color w:val="auto"/>
              </w:rPr>
            </w:pPr>
          </w:p>
        </w:tc>
        <w:tc>
          <w:tcPr>
            <w:tcW w:w="9720" w:type="dxa"/>
            <w:vAlign w:val="bottom"/>
            <w:gridSpan w:val="12"/>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96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2017 B-1 Incremental Term Lenders party thereto (incorporated by reference to Exhibit 10.1 of Sabre Corporation's Current Report on</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95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Form 8-K filed with the Securities and Exchange Commission on August 23, 2017).</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10.52</w:t>
            </w:r>
          </w:p>
        </w:tc>
        <w:tc>
          <w:tcPr>
            <w:tcW w:w="9580" w:type="dxa"/>
            <w:vAlign w:val="bottom"/>
            <w:tcBorders>
              <w:bottom w:val="single" w:sz="8" w:color="0000FF"/>
            </w:tcBorders>
            <w:gridSpan w:val="7"/>
          </w:tcPr>
          <w:p>
            <w:pPr>
              <w:spacing w:after="0" w:line="183" w:lineRule="exact"/>
              <w:rPr>
                <w:rFonts w:ascii="Arial" w:cs="Arial" w:eastAsia="Arial" w:hAnsi="Arial"/>
                <w:sz w:val="16"/>
                <w:szCs w:val="16"/>
                <w:color w:val="0000FF"/>
              </w:rPr>
            </w:pPr>
            <w:hyperlink r:id="rId215">
              <w:r>
                <w:rPr>
                  <w:rFonts w:ascii="Arial" w:cs="Arial" w:eastAsia="Arial" w:hAnsi="Arial"/>
                  <w:sz w:val="16"/>
                  <w:szCs w:val="16"/>
                  <w:color w:val="0000FF"/>
                </w:rPr>
                <w:t>Term Loan A Refinancing Amendment to Amended and Restated Credit Agreement, dated August 23, 2017, among Sabre GLBL Inc.,</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1400" w:type="dxa"/>
            <w:vAlign w:val="bottom"/>
          </w:tcPr>
          <w:p>
            <w:pPr>
              <w:spacing w:after="0"/>
              <w:rPr>
                <w:sz w:val="12"/>
                <w:szCs w:val="12"/>
                <w:color w:val="auto"/>
              </w:rPr>
            </w:pPr>
          </w:p>
        </w:tc>
        <w:tc>
          <w:tcPr>
            <w:tcW w:w="9920" w:type="dxa"/>
            <w:vAlign w:val="bottom"/>
            <w:gridSpan w:val="15"/>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Sabre Holdings Corporation, each of the other Loan Parties party thereto, Bank of America, N.A., as Administrative Agent and the 2017</w:t>
              </w:r>
            </w:hyperlink>
          </w:p>
        </w:tc>
      </w:tr>
      <w:tr>
        <w:trPr>
          <w:trHeight w:val="142"/>
        </w:trPr>
        <w:tc>
          <w:tcPr>
            <w:tcW w:w="1400" w:type="dxa"/>
            <w:vAlign w:val="bottom"/>
          </w:tcPr>
          <w:p>
            <w:pPr>
              <w:spacing w:after="0"/>
              <w:rPr>
                <w:sz w:val="12"/>
                <w:szCs w:val="12"/>
                <w:color w:val="auto"/>
              </w:rPr>
            </w:pPr>
          </w:p>
        </w:tc>
        <w:tc>
          <w:tcPr>
            <w:tcW w:w="96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Other Term A Lenders party thereto (incorporated by reference to Exhibit 10.2 of Sabre Corporation's Current Report on Form 8-K filed</w:t>
              </w:r>
            </w:hyperlink>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with the Securities and Exchange Commission on August 23, 2017).</w:t>
              </w:r>
            </w:hyperlink>
          </w:p>
        </w:tc>
        <w:tc>
          <w:tcPr>
            <w:tcW w:w="4760" w:type="dxa"/>
            <w:vAlign w:val="bottom"/>
            <w:tcBorders>
              <w:top w:val="single" w:sz="8" w:color="0000FF"/>
            </w:tcBorders>
            <w:gridSpan w:val="7"/>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10.53</w:t>
            </w:r>
          </w:p>
        </w:tc>
        <w:tc>
          <w:tcPr>
            <w:tcW w:w="9700" w:type="dxa"/>
            <w:vAlign w:val="bottom"/>
            <w:tcBorders>
              <w:bottom w:val="single" w:sz="8" w:color="0000FF"/>
            </w:tcBorders>
            <w:gridSpan w:val="11"/>
          </w:tcPr>
          <w:p>
            <w:pPr>
              <w:spacing w:after="0" w:line="183" w:lineRule="exact"/>
              <w:rPr>
                <w:rFonts w:ascii="Arial" w:cs="Arial" w:eastAsia="Arial" w:hAnsi="Arial"/>
                <w:sz w:val="16"/>
                <w:szCs w:val="16"/>
                <w:color w:val="0000FF"/>
              </w:rPr>
            </w:pPr>
            <w:hyperlink r:id="rId216">
              <w:r>
                <w:rPr>
                  <w:rFonts w:ascii="Arial" w:cs="Arial" w:eastAsia="Arial" w:hAnsi="Arial"/>
                  <w:sz w:val="16"/>
                  <w:szCs w:val="16"/>
                  <w:color w:val="0000FF"/>
                </w:rPr>
                <w:t>Second Revolving Facility Refinancing Amendment to Amended and Restated Credit Agreement, dated August 23, 2017, among Sabre</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1400" w:type="dxa"/>
            <w:vAlign w:val="bottom"/>
          </w:tcPr>
          <w:p>
            <w:pPr>
              <w:spacing w:after="0"/>
              <w:rPr>
                <w:sz w:val="12"/>
                <w:szCs w:val="12"/>
                <w:color w:val="auto"/>
              </w:rPr>
            </w:pPr>
          </w:p>
        </w:tc>
        <w:tc>
          <w:tcPr>
            <w:tcW w:w="9920" w:type="dxa"/>
            <w:vAlign w:val="bottom"/>
            <w:gridSpan w:val="15"/>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GLBL Inc., Sabre Holdings Corporation, each of the other Loan Parties party thereto, Bank of America, N.A., as Administrative Agent and</w:t>
              </w:r>
            </w:hyperlink>
          </w:p>
        </w:tc>
      </w:tr>
      <w:tr>
        <w:trPr>
          <w:trHeight w:val="142"/>
        </w:trPr>
        <w:tc>
          <w:tcPr>
            <w:tcW w:w="1400" w:type="dxa"/>
            <w:vAlign w:val="bottom"/>
          </w:tcPr>
          <w:p>
            <w:pPr>
              <w:spacing w:after="0"/>
              <w:rPr>
                <w:sz w:val="12"/>
                <w:szCs w:val="12"/>
                <w:color w:val="auto"/>
              </w:rPr>
            </w:pPr>
          </w:p>
        </w:tc>
        <w:tc>
          <w:tcPr>
            <w:tcW w:w="98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Lenders party thereto (incorporated by reference to Exhibit 10.3 of Sabre Corporation's Current Report on Form 8-K filed with the</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4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Securities and Exchange Commission on August 23, 2017).</w:t>
              </w:r>
            </w:hyperlink>
          </w:p>
        </w:tc>
        <w:tc>
          <w:tcPr>
            <w:tcW w:w="4940" w:type="dxa"/>
            <w:vAlign w:val="bottom"/>
            <w:tcBorders>
              <w:top w:val="single" w:sz="8" w:color="0000FF"/>
            </w:tcBorders>
            <w:gridSpan w:val="4"/>
          </w:tcPr>
          <w:p>
            <w:pPr>
              <w:spacing w:after="0"/>
              <w:rPr>
                <w:sz w:val="12"/>
                <w:szCs w:val="12"/>
                <w:color w:val="auto"/>
              </w:rPr>
            </w:pPr>
          </w:p>
        </w:tc>
        <w:tc>
          <w:tcPr>
            <w:tcW w:w="6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10.55+</w:t>
            </w:r>
          </w:p>
        </w:tc>
        <w:tc>
          <w:tcPr>
            <w:tcW w:w="9900" w:type="dxa"/>
            <w:vAlign w:val="bottom"/>
            <w:tcBorders>
              <w:bottom w:val="single" w:sz="8" w:color="0000FF"/>
            </w:tcBorders>
            <w:gridSpan w:val="14"/>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Sabre Corporation Executive Severance Plan (incorporated by reference to Exhibit 10.1 of Sabre Corporation’s Current Report on Form 8-</w:t>
              </w:r>
            </w:hyperlink>
          </w:p>
        </w:tc>
        <w:tc>
          <w:tcPr>
            <w:tcW w:w="20" w:type="dxa"/>
            <w:vAlign w:val="bottom"/>
          </w:tcPr>
          <w:p>
            <w:pPr>
              <w:spacing w:after="0"/>
              <w:rPr>
                <w:sz w:val="17"/>
                <w:szCs w:val="17"/>
                <w:color w:val="auto"/>
              </w:rPr>
            </w:pPr>
          </w:p>
        </w:tc>
      </w:tr>
      <w:tr>
        <w:trPr>
          <w:trHeight w:val="142"/>
        </w:trPr>
        <w:tc>
          <w:tcPr>
            <w:tcW w:w="1400" w:type="dxa"/>
            <w:vAlign w:val="bottom"/>
          </w:tcPr>
          <w:p>
            <w:pPr>
              <w:spacing w:after="0"/>
              <w:rPr>
                <w:sz w:val="12"/>
                <w:szCs w:val="12"/>
                <w:color w:val="auto"/>
              </w:rPr>
            </w:pPr>
          </w:p>
        </w:tc>
        <w:tc>
          <w:tcPr>
            <w:tcW w:w="9900" w:type="dxa"/>
            <w:vAlign w:val="bottom"/>
            <w:gridSpan w:val="14"/>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K filed with the Securities and Exchange Commission on November 8, 2017).</w:t>
              </w:r>
            </w:hyperlink>
          </w:p>
        </w:tc>
        <w:tc>
          <w:tcPr>
            <w:tcW w:w="2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60" w:top="1038" w:right="299" w:bottom="1440" w:gutter="0" w:footer="0" w:header="0"/>
          <w:type w:val="continuous"/>
        </w:sectPr>
      </w:pPr>
    </w:p>
    <w:bookmarkStart w:id="107" w:name="page108"/>
    <w:bookmarkEnd w:id="107"/>
    <w:p>
      <w:pPr>
        <w:ind w:left="3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8147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10.57</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10.59+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10.60+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10.61+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10.62+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10.63+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10.64+</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10.65+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10.66+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10.67+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10.68+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10.69+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10.74+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10.75+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10.77+</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10.78*</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63373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59" w:lineRule="exact"/>
        <w:rPr>
          <w:sz w:val="20"/>
          <w:szCs w:val="20"/>
          <w:color w:val="auto"/>
        </w:rPr>
      </w:pPr>
    </w:p>
    <w:p>
      <w:pPr>
        <w:ind w:right="140"/>
        <w:spacing w:after="0" w:line="222" w:lineRule="auto"/>
        <w:rPr>
          <w:rFonts w:ascii="Arial" w:cs="Arial" w:eastAsia="Arial" w:hAnsi="Arial"/>
          <w:sz w:val="16"/>
          <w:szCs w:val="16"/>
          <w:u w:val="single" w:color="auto"/>
          <w:color w:val="0000FF"/>
        </w:rPr>
      </w:pPr>
      <w:hyperlink r:id="rId221">
        <w:r>
          <w:rPr>
            <w:rFonts w:ascii="Arial" w:cs="Arial" w:eastAsia="Arial" w:hAnsi="Arial"/>
            <w:sz w:val="16"/>
            <w:szCs w:val="16"/>
            <w:u w:val="single" w:color="auto"/>
            <w:color w:val="0000FF"/>
          </w:rPr>
          <w:t>Fifth Term Loan B Refinancing Amendment to Amended and Restated Credit Agreement, dated March 2, 2018, among Sabre GLBL Inc.,</w:t>
        </w:r>
      </w:hyperlink>
      <w:r>
        <w:rPr>
          <w:rFonts w:ascii="Arial" w:cs="Arial" w:eastAsia="Arial" w:hAnsi="Arial"/>
          <w:sz w:val="16"/>
          <w:szCs w:val="16"/>
          <w:u w:val="single" w:color="auto"/>
          <w:color w:val="0000FF"/>
        </w:rPr>
        <w:t xml:space="preserve"> </w:t>
      </w:r>
      <w:hyperlink r:id="rId221">
        <w:r>
          <w:rPr>
            <w:rFonts w:ascii="Arial" w:cs="Arial" w:eastAsia="Arial" w:hAnsi="Arial"/>
            <w:sz w:val="16"/>
            <w:szCs w:val="16"/>
            <w:u w:val="single" w:color="auto"/>
            <w:color w:val="0000FF"/>
          </w:rPr>
          <w:t>Sabre Holdings Corporation, each of the other Loan Parties party thereto, Bank of America, N.A., as Administrative Agent and the 2018</w:t>
        </w:r>
      </w:hyperlink>
      <w:r>
        <w:rPr>
          <w:rFonts w:ascii="Arial" w:cs="Arial" w:eastAsia="Arial" w:hAnsi="Arial"/>
          <w:sz w:val="16"/>
          <w:szCs w:val="16"/>
          <w:u w:val="single" w:color="auto"/>
          <w:color w:val="0000FF"/>
        </w:rPr>
        <w:t xml:space="preserve"> </w:t>
      </w:r>
      <w:hyperlink r:id="rId221">
        <w:r>
          <w:rPr>
            <w:rFonts w:ascii="Arial" w:cs="Arial" w:eastAsia="Arial" w:hAnsi="Arial"/>
            <w:sz w:val="16"/>
            <w:szCs w:val="16"/>
            <w:u w:val="single" w:color="auto"/>
            <w:color w:val="0000FF"/>
          </w:rPr>
          <w:t>Other Term B Lenders party thereto (incorporated by reference to Exhibit 10.1 of Sabre Corporation's Current Report on Form 8-K filed</w:t>
        </w:r>
      </w:hyperlink>
      <w:r>
        <w:rPr>
          <w:rFonts w:ascii="Arial" w:cs="Arial" w:eastAsia="Arial" w:hAnsi="Arial"/>
          <w:sz w:val="16"/>
          <w:szCs w:val="16"/>
          <w:u w:val="single" w:color="auto"/>
          <w:color w:val="0000FF"/>
        </w:rPr>
        <w:t xml:space="preserve"> </w:t>
      </w:r>
      <w:hyperlink r:id="rId221">
        <w:r>
          <w:rPr>
            <w:rFonts w:ascii="Arial" w:cs="Arial" w:eastAsia="Arial" w:hAnsi="Arial"/>
            <w:sz w:val="16"/>
            <w:szCs w:val="16"/>
            <w:u w:val="single" w:color="auto"/>
            <w:color w:val="0000FF"/>
          </w:rPr>
          <w:t>with the Securities and Exchange Commission on March 2, 2018).</w:t>
        </w:r>
      </w:hyperlink>
    </w:p>
    <w:p>
      <w:pPr>
        <w:spacing w:after="0" w:line="22" w:lineRule="exact"/>
        <w:rPr>
          <w:rFonts w:ascii="Arial" w:cs="Arial" w:eastAsia="Arial" w:hAnsi="Arial"/>
          <w:sz w:val="16"/>
          <w:szCs w:val="16"/>
          <w:u w:val="single" w:color="auto"/>
          <w:color w:val="0000FF"/>
        </w:rPr>
      </w:pPr>
    </w:p>
    <w:p>
      <w:pPr>
        <w:ind w:right="280"/>
        <w:spacing w:after="0" w:line="225" w:lineRule="auto"/>
        <w:rPr>
          <w:rFonts w:ascii="Arial" w:cs="Arial" w:eastAsia="Arial" w:hAnsi="Arial"/>
          <w:sz w:val="16"/>
          <w:szCs w:val="16"/>
          <w:u w:val="single" w:color="auto"/>
          <w:color w:val="0000FF"/>
        </w:rPr>
      </w:pPr>
      <w:hyperlink r:id="rId222">
        <w:r>
          <w:rPr>
            <w:rFonts w:ascii="Arial" w:cs="Arial" w:eastAsia="Arial" w:hAnsi="Arial"/>
            <w:sz w:val="16"/>
            <w:szCs w:val="16"/>
            <w:u w:val="single" w:color="auto"/>
            <w:color w:val="0000FF"/>
          </w:rPr>
          <w:t>Form of Executive Officer Restricted Stock Unit Grant Agreement under the Sabre Corporation 2016 Omnibus Incentive Compensation</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Plan (incorporated by reference to Exhibit 10.37 of Sabre Corporation’s Quarterly Report on Form 10-Q filed with the Securities and</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Exchange Commission on May 1, 2018).</w:t>
        </w:r>
      </w:hyperlink>
    </w:p>
    <w:p>
      <w:pPr>
        <w:spacing w:after="0" w:line="23" w:lineRule="exact"/>
        <w:rPr>
          <w:rFonts w:ascii="Arial" w:cs="Arial" w:eastAsia="Arial" w:hAnsi="Arial"/>
          <w:sz w:val="16"/>
          <w:szCs w:val="16"/>
          <w:u w:val="single" w:color="auto"/>
          <w:color w:val="0000FF"/>
        </w:rPr>
      </w:pPr>
    </w:p>
    <w:p>
      <w:pPr>
        <w:ind w:right="120"/>
        <w:spacing w:after="0" w:line="225" w:lineRule="auto"/>
        <w:rPr>
          <w:rFonts w:ascii="Arial" w:cs="Arial" w:eastAsia="Arial" w:hAnsi="Arial"/>
          <w:sz w:val="16"/>
          <w:szCs w:val="16"/>
          <w:u w:val="single" w:color="auto"/>
          <w:color w:val="0000FF"/>
        </w:rPr>
      </w:pPr>
      <w:hyperlink r:id="rId223">
        <w:r>
          <w:rPr>
            <w:rFonts w:ascii="Arial" w:cs="Arial" w:eastAsia="Arial" w:hAnsi="Arial"/>
            <w:sz w:val="16"/>
            <w:szCs w:val="16"/>
            <w:u w:val="single" w:color="auto"/>
            <w:color w:val="0000FF"/>
          </w:rPr>
          <w:t>Form of Non-Qualified Stock Option Grant Agreement under the Sabre Corporation 2016 Omnibus Incentive Compensation Plan</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(incorporated by reference to Exhibit 10.38 of Sabre Corporation’s Quarterly Report on Form 10-Q filed with the Securities and Exchange</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Commission on May 1, 2018).</w:t>
        </w:r>
      </w:hyperlink>
    </w:p>
    <w:p>
      <w:pPr>
        <w:spacing w:after="0" w:line="23" w:lineRule="exact"/>
        <w:rPr>
          <w:rFonts w:ascii="Arial" w:cs="Arial" w:eastAsia="Arial" w:hAnsi="Arial"/>
          <w:sz w:val="16"/>
          <w:szCs w:val="16"/>
          <w:u w:val="single" w:color="auto"/>
          <w:color w:val="0000FF"/>
        </w:rPr>
      </w:pPr>
    </w:p>
    <w:p>
      <w:pPr>
        <w:ind w:right="320"/>
        <w:spacing w:after="0" w:line="225" w:lineRule="auto"/>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Form of Chairman of the Board Restricted Stock Unit Agreement under the Sabre Corporation 2016 Omnibus Incentive Compensation</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Plan (incorporated by reference to Exhibit 10.58 of Sabre Corporation’s Quarterly Report on Form 10-Q filed with the Securities and</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Exchange Commission on May 1, 2018).</w:t>
        </w:r>
      </w:hyperlink>
    </w:p>
    <w:p>
      <w:pPr>
        <w:spacing w:after="0" w:line="23" w:lineRule="exact"/>
        <w:rPr>
          <w:rFonts w:ascii="Arial" w:cs="Arial" w:eastAsia="Arial" w:hAnsi="Arial"/>
          <w:sz w:val="16"/>
          <w:szCs w:val="16"/>
          <w:u w:val="single" w:color="auto"/>
          <w:color w:val="0000FF"/>
        </w:rPr>
      </w:pPr>
    </w:p>
    <w:p>
      <w:pPr>
        <w:ind w:right="60"/>
        <w:spacing w:after="0" w:line="232" w:lineRule="auto"/>
        <w:rPr>
          <w:rFonts w:ascii="Arial" w:cs="Arial" w:eastAsia="Arial" w:hAnsi="Arial"/>
          <w:sz w:val="16"/>
          <w:szCs w:val="16"/>
          <w:u w:val="single" w:color="auto"/>
          <w:color w:val="0000FF"/>
        </w:rPr>
      </w:pPr>
      <w:hyperlink r:id="rId225">
        <w:r>
          <w:rPr>
            <w:rFonts w:ascii="Arial" w:cs="Arial" w:eastAsia="Arial" w:hAnsi="Arial"/>
            <w:sz w:val="16"/>
            <w:szCs w:val="16"/>
            <w:u w:val="single" w:color="auto"/>
            <w:color w:val="0000FF"/>
          </w:rPr>
          <w:t>Offer Letter by and between Sabre Corporation and Douglas E. Barnett, dated June 26, 2018 (incorporated by reference to Exhibit 10.1 of</w:t>
        </w:r>
      </w:hyperlink>
      <w:r>
        <w:rPr>
          <w:rFonts w:ascii="Arial" w:cs="Arial" w:eastAsia="Arial" w:hAnsi="Arial"/>
          <w:sz w:val="16"/>
          <w:szCs w:val="16"/>
          <w:u w:val="single" w:color="auto"/>
          <w:color w:val="0000FF"/>
        </w:rPr>
        <w:t xml:space="preserve"> </w:t>
      </w:r>
      <w:hyperlink r:id="rId225">
        <w:r>
          <w:rPr>
            <w:rFonts w:ascii="Arial" w:cs="Arial" w:eastAsia="Arial" w:hAnsi="Arial"/>
            <w:sz w:val="16"/>
            <w:szCs w:val="16"/>
            <w:u w:val="single" w:color="auto"/>
            <w:color w:val="0000FF"/>
          </w:rPr>
          <w:t>Sabre Corporation’s Current Report on Form 8-K filed with the Securities and Exchange Commission on July 2, 2018).</w:t>
        </w:r>
      </w:hyperlink>
    </w:p>
    <w:p>
      <w:pPr>
        <w:spacing w:after="0" w:line="22" w:lineRule="exact"/>
        <w:rPr>
          <w:sz w:val="20"/>
          <w:szCs w:val="20"/>
          <w:color w:val="auto"/>
        </w:rPr>
      </w:pPr>
    </w:p>
    <w:p>
      <w:pPr>
        <w:ind w:right="160"/>
        <w:spacing w:after="0" w:line="225" w:lineRule="auto"/>
        <w:rPr>
          <w:rFonts w:ascii="Arial" w:cs="Arial" w:eastAsia="Arial" w:hAnsi="Arial"/>
          <w:sz w:val="16"/>
          <w:szCs w:val="16"/>
          <w:u w:val="single" w:color="auto"/>
          <w:color w:val="0000FF"/>
        </w:rPr>
      </w:pPr>
      <w:hyperlink r:id="rId226">
        <w:r>
          <w:rPr>
            <w:rFonts w:ascii="Arial" w:cs="Arial" w:eastAsia="Arial" w:hAnsi="Arial"/>
            <w:sz w:val="16"/>
            <w:szCs w:val="16"/>
            <w:u w:val="single" w:color="auto"/>
            <w:color w:val="0000FF"/>
          </w:rPr>
          <w:t>Amendment to Employment Agreement, by and between Sabre Corporation and David Shirk, dated July 23, 2018 (incorporated by</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reference to Exhibit 10.1 of Sabre Corporation’s Current Report on Form 8-K filed with the Securities and Exchange Commission on July</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18, 2018).</w:t>
        </w:r>
      </w:hyperlink>
    </w:p>
    <w:p>
      <w:pPr>
        <w:spacing w:after="0" w:line="23" w:lineRule="exact"/>
        <w:rPr>
          <w:rFonts w:ascii="Arial" w:cs="Arial" w:eastAsia="Arial" w:hAnsi="Arial"/>
          <w:sz w:val="16"/>
          <w:szCs w:val="16"/>
          <w:u w:val="single" w:color="auto"/>
          <w:color w:val="0000FF"/>
        </w:rPr>
      </w:pPr>
    </w:p>
    <w:p>
      <w:pPr>
        <w:ind w:right="120"/>
        <w:spacing w:after="0" w:line="225" w:lineRule="auto"/>
        <w:rPr>
          <w:rFonts w:ascii="Arial" w:cs="Arial" w:eastAsia="Arial" w:hAnsi="Arial"/>
          <w:sz w:val="16"/>
          <w:szCs w:val="16"/>
          <w:u w:val="single" w:color="auto"/>
          <w:color w:val="0000FF"/>
        </w:rPr>
      </w:pPr>
      <w:hyperlink r:id="rId227">
        <w:r>
          <w:rPr>
            <w:rFonts w:ascii="Arial" w:cs="Arial" w:eastAsia="Arial" w:hAnsi="Arial"/>
            <w:sz w:val="16"/>
            <w:szCs w:val="16"/>
            <w:u w:val="single" w:color="auto"/>
            <w:color w:val="0000FF"/>
          </w:rPr>
          <w:t>Form of Global Form of Restricted Stock Unit Agreement under the Sabre Corporation 2016 Omnibus Incentive Compensation Plan</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(incorporated by reference to Exhibit 10.61 of Sabre Corporation’s Quarterly Report on Form 10-Q filed with the Securities and Exchange</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Commission on July 31, 2018).</w:t>
        </w:r>
      </w:hyperlink>
    </w:p>
    <w:p>
      <w:pPr>
        <w:spacing w:after="0" w:line="23" w:lineRule="exact"/>
        <w:rPr>
          <w:rFonts w:ascii="Arial" w:cs="Arial" w:eastAsia="Arial" w:hAnsi="Arial"/>
          <w:sz w:val="16"/>
          <w:szCs w:val="16"/>
          <w:u w:val="single" w:color="auto"/>
          <w:color w:val="0000FF"/>
        </w:rPr>
      </w:pPr>
    </w:p>
    <w:p>
      <w:pPr>
        <w:ind w:right="120"/>
        <w:spacing w:after="0" w:line="225" w:lineRule="auto"/>
        <w:rPr>
          <w:rFonts w:ascii="Arial" w:cs="Arial" w:eastAsia="Arial" w:hAnsi="Arial"/>
          <w:sz w:val="16"/>
          <w:szCs w:val="16"/>
          <w:u w:val="single" w:color="auto"/>
          <w:color w:val="0000FF"/>
        </w:rPr>
      </w:pPr>
      <w:hyperlink r:id="rId228">
        <w:r>
          <w:rPr>
            <w:rFonts w:ascii="Arial" w:cs="Arial" w:eastAsia="Arial" w:hAnsi="Arial"/>
            <w:sz w:val="16"/>
            <w:szCs w:val="16"/>
            <w:u w:val="single" w:color="auto"/>
            <w:color w:val="0000FF"/>
          </w:rPr>
          <w:t>Form of Global Form of Stock Option Grant Agreement under the Sabre Corporation 2016 Omnibus Incentive Compensation Plan</w:t>
        </w:r>
      </w:hyperlink>
      <w:r>
        <w:rPr>
          <w:rFonts w:ascii="Arial" w:cs="Arial" w:eastAsia="Arial" w:hAnsi="Arial"/>
          <w:sz w:val="16"/>
          <w:szCs w:val="16"/>
          <w:u w:val="single" w:color="auto"/>
          <w:color w:val="0000FF"/>
        </w:rPr>
        <w:t xml:space="preserve"> </w:t>
      </w:r>
      <w:hyperlink r:id="rId228">
        <w:r>
          <w:rPr>
            <w:rFonts w:ascii="Arial" w:cs="Arial" w:eastAsia="Arial" w:hAnsi="Arial"/>
            <w:sz w:val="16"/>
            <w:szCs w:val="16"/>
            <w:u w:val="single" w:color="auto"/>
            <w:color w:val="0000FF"/>
          </w:rPr>
          <w:t>(incorporated by reference to Exhibit 10.62 of Sabre Corporation’s Quarterly Report on Form 10-Q filed with the Securities and Exchange</w:t>
        </w:r>
      </w:hyperlink>
      <w:r>
        <w:rPr>
          <w:rFonts w:ascii="Arial" w:cs="Arial" w:eastAsia="Arial" w:hAnsi="Arial"/>
          <w:sz w:val="16"/>
          <w:szCs w:val="16"/>
          <w:u w:val="single" w:color="auto"/>
          <w:color w:val="0000FF"/>
        </w:rPr>
        <w:t xml:space="preserve"> </w:t>
      </w:r>
      <w:hyperlink r:id="rId228">
        <w:r>
          <w:rPr>
            <w:rFonts w:ascii="Arial" w:cs="Arial" w:eastAsia="Arial" w:hAnsi="Arial"/>
            <w:sz w:val="16"/>
            <w:szCs w:val="16"/>
            <w:u w:val="single" w:color="auto"/>
            <w:color w:val="0000FF"/>
          </w:rPr>
          <w:t>Commission on July 31, 2018).</w:t>
        </w:r>
      </w:hyperlink>
    </w:p>
    <w:p>
      <w:pPr>
        <w:spacing w:after="0" w:line="23" w:lineRule="exact"/>
        <w:rPr>
          <w:rFonts w:ascii="Arial" w:cs="Arial" w:eastAsia="Arial" w:hAnsi="Arial"/>
          <w:sz w:val="16"/>
          <w:szCs w:val="16"/>
          <w:u w:val="single" w:color="auto"/>
          <w:color w:val="0000FF"/>
        </w:rPr>
      </w:pPr>
    </w:p>
    <w:p>
      <w:pPr>
        <w:ind w:right="140"/>
        <w:spacing w:after="0" w:line="232" w:lineRule="auto"/>
        <w:rPr>
          <w:rFonts w:ascii="Arial" w:cs="Arial" w:eastAsia="Arial" w:hAnsi="Arial"/>
          <w:sz w:val="16"/>
          <w:szCs w:val="16"/>
          <w:u w:val="single" w:color="auto"/>
          <w:color w:val="0000FF"/>
        </w:rPr>
      </w:pPr>
      <w:hyperlink r:id="rId229">
        <w:r>
          <w:rPr>
            <w:rFonts w:ascii="Arial" w:cs="Arial" w:eastAsia="Arial" w:hAnsi="Arial"/>
            <w:sz w:val="16"/>
            <w:szCs w:val="16"/>
            <w:u w:val="single" w:color="auto"/>
            <w:color w:val="0000FF"/>
          </w:rPr>
          <w:t>Offer Letter by and between Sabre Corporation and Kimberly Warmbier, dated June 22, 2018 (incorporated by reference to Exhibit 10.64</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of Sabre’s Corporation’s Quarterly Report on Form 10-Q filed with the Securities and Exchange Commission on October 30, 2018).</w:t>
        </w:r>
      </w:hyperlink>
    </w:p>
    <w:p>
      <w:pPr>
        <w:spacing w:after="0" w:line="22" w:lineRule="exact"/>
        <w:rPr>
          <w:sz w:val="20"/>
          <w:szCs w:val="20"/>
          <w:color w:val="auto"/>
        </w:rPr>
      </w:pPr>
    </w:p>
    <w:p>
      <w:pPr>
        <w:ind w:right="120"/>
        <w:spacing w:after="0" w:line="232" w:lineRule="auto"/>
        <w:rPr>
          <w:rFonts w:ascii="Arial" w:cs="Arial" w:eastAsia="Arial" w:hAnsi="Arial"/>
          <w:sz w:val="16"/>
          <w:szCs w:val="16"/>
          <w:u w:val="single" w:color="auto"/>
          <w:color w:val="0000FF"/>
        </w:rPr>
      </w:pPr>
      <w:hyperlink r:id="rId230">
        <w:r>
          <w:rPr>
            <w:rFonts w:ascii="Arial" w:cs="Arial" w:eastAsia="Arial" w:hAnsi="Arial"/>
            <w:sz w:val="16"/>
            <w:szCs w:val="16"/>
            <w:u w:val="single" w:color="auto"/>
            <w:color w:val="0000FF"/>
          </w:rPr>
          <w:t>Offer Letter by and between Sabre Corporation and Cem Tanyel, dated September 4, 2018 (incorporated by reference to Exhibit 10.65 of</w:t>
        </w:r>
      </w:hyperlink>
      <w:r>
        <w:rPr>
          <w:rFonts w:ascii="Arial" w:cs="Arial" w:eastAsia="Arial" w:hAnsi="Arial"/>
          <w:sz w:val="16"/>
          <w:szCs w:val="16"/>
          <w:u w:val="single" w:color="auto"/>
          <w:color w:val="0000FF"/>
        </w:rPr>
        <w:t xml:space="preserve"> </w:t>
      </w:r>
      <w:hyperlink r:id="rId230">
        <w:r>
          <w:rPr>
            <w:rFonts w:ascii="Arial" w:cs="Arial" w:eastAsia="Arial" w:hAnsi="Arial"/>
            <w:sz w:val="16"/>
            <w:szCs w:val="16"/>
            <w:u w:val="single" w:color="auto"/>
            <w:color w:val="0000FF"/>
          </w:rPr>
          <w:t>Sabre’s Corporation’s Quarterly Report on Form 10-Q filed with the Securities and Exchange Commission on October 30, 2018).</w:t>
        </w:r>
      </w:hyperlink>
    </w:p>
    <w:p>
      <w:pPr>
        <w:spacing w:after="0" w:line="22" w:lineRule="exact"/>
        <w:rPr>
          <w:sz w:val="20"/>
          <w:szCs w:val="20"/>
          <w:color w:val="auto"/>
        </w:rPr>
      </w:pPr>
    </w:p>
    <w:p>
      <w:pPr>
        <w:jc w:val="both"/>
        <w:ind w:right="140"/>
        <w:spacing w:after="0" w:line="232" w:lineRule="auto"/>
        <w:rPr>
          <w:rFonts w:ascii="Arial" w:cs="Arial" w:eastAsia="Arial" w:hAnsi="Arial"/>
          <w:sz w:val="16"/>
          <w:szCs w:val="16"/>
          <w:u w:val="single" w:color="auto"/>
          <w:color w:val="0000FF"/>
        </w:rPr>
      </w:pPr>
      <w:hyperlink r:id="rId231">
        <w:r>
          <w:rPr>
            <w:rFonts w:ascii="Arial" w:cs="Arial" w:eastAsia="Arial" w:hAnsi="Arial"/>
            <w:sz w:val="16"/>
            <w:szCs w:val="16"/>
            <w:u w:val="single" w:color="auto"/>
            <w:color w:val="0000FF"/>
          </w:rPr>
          <w:t>Form of Restricted Stock Unit Agreement under the Sabre Corporation the 2016 Omnibus Incentive Compensation Plan (incorporated by</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reference to Exhibit 10.68 of Sabre’s Quarterly Report on Form-1Q filed with the Securities and Exchange Commission on May 1, 2019).</w:t>
        </w:r>
      </w:hyperlink>
    </w:p>
    <w:p>
      <w:pPr>
        <w:spacing w:after="0" w:line="22" w:lineRule="exact"/>
        <w:rPr>
          <w:sz w:val="20"/>
          <w:szCs w:val="20"/>
          <w:color w:val="auto"/>
        </w:rPr>
      </w:pPr>
    </w:p>
    <w:p>
      <w:pPr>
        <w:ind w:right="80"/>
        <w:spacing w:after="0" w:line="225" w:lineRule="auto"/>
        <w:rPr>
          <w:rFonts w:ascii="Arial" w:cs="Arial" w:eastAsia="Arial" w:hAnsi="Arial"/>
          <w:sz w:val="16"/>
          <w:szCs w:val="16"/>
          <w:u w:val="single" w:color="auto"/>
          <w:color w:val="0000FF"/>
        </w:rPr>
      </w:pPr>
      <w:hyperlink r:id="rId232">
        <w:r>
          <w:rPr>
            <w:rFonts w:ascii="Arial" w:cs="Arial" w:eastAsia="Arial" w:hAnsi="Arial"/>
            <w:sz w:val="16"/>
            <w:szCs w:val="16"/>
            <w:u w:val="single" w:color="auto"/>
            <w:color w:val="0000FF"/>
          </w:rPr>
          <w:t>Form of Executive Officer Stock Option Grant Agreement under the Sabre Corporation 2016 Omnibus Incentive Compensation Plan</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u w:val="single" w:color="auto"/>
            <w:color w:val="0000FF"/>
          </w:rPr>
          <w:t>(incorporated by reference to Exhibit 10.69 of Sabre’s Quarterly Report on Form 10-Q filed with the Securities and Exchange Commission</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u w:val="single" w:color="auto"/>
            <w:color w:val="0000FF"/>
          </w:rPr>
          <w:t>on May 1, 2019).</w:t>
        </w:r>
      </w:hyperlink>
    </w:p>
    <w:p>
      <w:pPr>
        <w:spacing w:after="0" w:line="23" w:lineRule="exact"/>
        <w:rPr>
          <w:rFonts w:ascii="Arial" w:cs="Arial" w:eastAsia="Arial" w:hAnsi="Arial"/>
          <w:sz w:val="16"/>
          <w:szCs w:val="16"/>
          <w:u w:val="single" w:color="auto"/>
          <w:color w:val="0000FF"/>
        </w:rPr>
      </w:pPr>
    </w:p>
    <w:p>
      <w:pPr>
        <w:ind w:right="280"/>
        <w:spacing w:after="0" w:line="225" w:lineRule="auto"/>
        <w:rPr>
          <w:rFonts w:ascii="Arial" w:cs="Arial" w:eastAsia="Arial" w:hAnsi="Arial"/>
          <w:sz w:val="16"/>
          <w:szCs w:val="16"/>
          <w:u w:val="single" w:color="auto"/>
          <w:color w:val="0000FF"/>
        </w:rPr>
      </w:pPr>
      <w:hyperlink r:id="rId233">
        <w:r>
          <w:rPr>
            <w:rFonts w:ascii="Arial" w:cs="Arial" w:eastAsia="Arial" w:hAnsi="Arial"/>
            <w:sz w:val="16"/>
            <w:szCs w:val="16"/>
            <w:u w:val="single" w:color="auto"/>
            <w:color w:val="0000FF"/>
          </w:rPr>
          <w:t>Form of Executive Officer Restricted Stock Unit Grant Agreement under the Sabre Corporation 2016 Omnibus Incentive Compensation</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Plan (incorporated by reference to Exhibit 10.70 of Sabre’s Quarterly Report on Form 10-Q filed with the Securities and Exchange</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Commission on May 1, 2019).</w:t>
        </w:r>
      </w:hyperlink>
    </w:p>
    <w:p>
      <w:pPr>
        <w:spacing w:after="0" w:line="23" w:lineRule="exact"/>
        <w:rPr>
          <w:rFonts w:ascii="Arial" w:cs="Arial" w:eastAsia="Arial" w:hAnsi="Arial"/>
          <w:sz w:val="16"/>
          <w:szCs w:val="16"/>
          <w:u w:val="single" w:color="auto"/>
          <w:color w:val="0000FF"/>
        </w:rPr>
      </w:pPr>
    </w:p>
    <w:p>
      <w:pPr>
        <w:ind w:right="140"/>
        <w:spacing w:after="0" w:line="225" w:lineRule="auto"/>
        <w:rPr>
          <w:rFonts w:ascii="Arial" w:cs="Arial" w:eastAsia="Arial" w:hAnsi="Arial"/>
          <w:sz w:val="16"/>
          <w:szCs w:val="16"/>
          <w:u w:val="single" w:color="auto"/>
          <w:color w:val="0000FF"/>
        </w:rPr>
      </w:pPr>
      <w:hyperlink r:id="rId234">
        <w:r>
          <w:rPr>
            <w:rFonts w:ascii="Arial" w:cs="Arial" w:eastAsia="Arial" w:hAnsi="Arial"/>
            <w:sz w:val="16"/>
            <w:szCs w:val="16"/>
            <w:u w:val="single" w:color="auto"/>
            <w:color w:val="0000FF"/>
          </w:rPr>
          <w:t>Form of Non-Executive Chairman Restricted Stock Unit Agreement under the Sabre Corporation 2016 Omnibus Incentive Compensation</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Plan (incorporated by reference to Exhibit 10.71 of Sabre’s Quarterly Report on Form 10-Q filed with the Securities and Exchange</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Commission on May 1, 2019).</w:t>
        </w:r>
      </w:hyperlink>
    </w:p>
    <w:p>
      <w:pPr>
        <w:spacing w:after="0" w:line="23" w:lineRule="exact"/>
        <w:rPr>
          <w:rFonts w:ascii="Arial" w:cs="Arial" w:eastAsia="Arial" w:hAnsi="Arial"/>
          <w:sz w:val="16"/>
          <w:szCs w:val="16"/>
          <w:u w:val="single" w:color="auto"/>
          <w:color w:val="0000FF"/>
        </w:rPr>
      </w:pPr>
    </w:p>
    <w:p>
      <w:pPr>
        <w:jc w:val="both"/>
        <w:ind w:right="320"/>
        <w:spacing w:after="0" w:line="225" w:lineRule="auto"/>
        <w:rPr>
          <w:rFonts w:ascii="Arial" w:cs="Arial" w:eastAsia="Arial" w:hAnsi="Arial"/>
          <w:sz w:val="16"/>
          <w:szCs w:val="16"/>
          <w:u w:val="single" w:color="auto"/>
          <w:color w:val="0000FF"/>
        </w:rPr>
      </w:pPr>
      <w:hyperlink r:id="rId235">
        <w:r>
          <w:rPr>
            <w:rFonts w:ascii="Arial" w:cs="Arial" w:eastAsia="Arial" w:hAnsi="Arial"/>
            <w:sz w:val="16"/>
            <w:szCs w:val="16"/>
            <w:u w:val="single" w:color="auto"/>
            <w:color w:val="0000FF"/>
          </w:rPr>
          <w:t>Form of Non-Employee Director Restricted Stock Unit Annual Grant Agreement under the Sabre Corporation 2016 Omnibus Incentive</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Compensation Plan (incorporated by reference to Exhibit 10.72 of Sabre’s Quarterly Report on Form 10-Q filed with the Securities and</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Exchange Commission on May 1, 2019).</w:t>
        </w:r>
      </w:hyperlink>
    </w:p>
    <w:p>
      <w:pPr>
        <w:spacing w:after="0" w:line="23" w:lineRule="exact"/>
        <w:rPr>
          <w:rFonts w:ascii="Arial" w:cs="Arial" w:eastAsia="Arial" w:hAnsi="Arial"/>
          <w:sz w:val="16"/>
          <w:szCs w:val="16"/>
          <w:u w:val="single" w:color="auto"/>
          <w:color w:val="0000FF"/>
        </w:rPr>
      </w:pPr>
    </w:p>
    <w:p>
      <w:pPr>
        <w:ind w:right="80"/>
        <w:spacing w:after="0" w:line="232" w:lineRule="auto"/>
        <w:rPr>
          <w:rFonts w:ascii="Arial" w:cs="Arial" w:eastAsia="Arial" w:hAnsi="Arial"/>
          <w:sz w:val="16"/>
          <w:szCs w:val="16"/>
          <w:u w:val="single" w:color="auto"/>
          <w:color w:val="0000FF"/>
        </w:rPr>
      </w:pPr>
      <w:hyperlink r:id="rId236">
        <w:r>
          <w:rPr>
            <w:rFonts w:ascii="Arial" w:cs="Arial" w:eastAsia="Arial" w:hAnsi="Arial"/>
            <w:sz w:val="16"/>
            <w:szCs w:val="16"/>
            <w:u w:val="single" w:color="auto"/>
            <w:color w:val="0000FF"/>
          </w:rPr>
          <w:t>Sabre Corporation 2019 Omnibus Incentive Compensation Plan (incorporated by reference to Exhibit 10.1 of Sabre Corporation’s Current</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Report on Form 8-K filed with the Securities and Exchange Commission on April 24, 2019).</w:t>
        </w:r>
      </w:hyperlink>
    </w:p>
    <w:p>
      <w:pPr>
        <w:spacing w:after="0" w:line="22" w:lineRule="exact"/>
        <w:rPr>
          <w:sz w:val="20"/>
          <w:szCs w:val="20"/>
          <w:color w:val="auto"/>
        </w:rPr>
      </w:pPr>
    </w:p>
    <w:p>
      <w:pPr>
        <w:ind w:right="360"/>
        <w:spacing w:after="0" w:line="232" w:lineRule="auto"/>
        <w:rPr>
          <w:rFonts w:ascii="Arial" w:cs="Arial" w:eastAsia="Arial" w:hAnsi="Arial"/>
          <w:sz w:val="16"/>
          <w:szCs w:val="16"/>
          <w:u w:val="single" w:color="auto"/>
          <w:color w:val="0000FF"/>
        </w:rPr>
      </w:pPr>
      <w:hyperlink r:id="rId237">
        <w:r>
          <w:rPr>
            <w:rFonts w:ascii="Arial" w:cs="Arial" w:eastAsia="Arial" w:hAnsi="Arial"/>
            <w:sz w:val="16"/>
            <w:szCs w:val="16"/>
            <w:u w:val="single" w:color="auto"/>
            <w:color w:val="0000FF"/>
          </w:rPr>
          <w:t>Sabre Corporation 2019 Director Equity Compensation Plan (incorporated by reference to Exhibit 10.2 of Sabre Corporation’s Current</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Report on Form 8-K filed with the Securities and Exchange Commission on April 24, 2019).</w:t>
        </w:r>
      </w:hyperlink>
    </w:p>
    <w:p>
      <w:pPr>
        <w:spacing w:after="0" w:line="22" w:lineRule="exact"/>
        <w:rPr>
          <w:sz w:val="20"/>
          <w:szCs w:val="20"/>
          <w:color w:val="auto"/>
        </w:rPr>
      </w:pPr>
    </w:p>
    <w:p>
      <w:pPr>
        <w:spacing w:after="0" w:line="225" w:lineRule="auto"/>
        <w:rPr>
          <w:rFonts w:ascii="Arial" w:cs="Arial" w:eastAsia="Arial" w:hAnsi="Arial"/>
          <w:sz w:val="16"/>
          <w:szCs w:val="16"/>
          <w:u w:val="single" w:color="auto"/>
          <w:color w:val="0000FF"/>
        </w:rPr>
      </w:pPr>
      <w:hyperlink r:id="rId238">
        <w:r>
          <w:rPr>
            <w:rFonts w:ascii="Arial" w:cs="Arial" w:eastAsia="Arial" w:hAnsi="Arial"/>
            <w:sz w:val="16"/>
            <w:szCs w:val="16"/>
            <w:u w:val="single" w:color="auto"/>
            <w:color w:val="0000FF"/>
          </w:rPr>
          <w:t>Form of Executive Stock Option Grant Agreement under the Sabre Corporation 2019 Omnibus Incentive Compensation Plan (incorporated</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by reference to Exhibit 10.75 of Sabre’s Quarterly Report on Form 10-Q filed with the Securities and Exchange Commission on August 1,</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2019).</w:t>
        </w:r>
      </w:hyperlink>
    </w:p>
    <w:p>
      <w:pPr>
        <w:spacing w:after="0" w:line="23" w:lineRule="exact"/>
        <w:rPr>
          <w:rFonts w:ascii="Arial" w:cs="Arial" w:eastAsia="Arial" w:hAnsi="Arial"/>
          <w:sz w:val="16"/>
          <w:szCs w:val="16"/>
          <w:u w:val="single" w:color="auto"/>
          <w:color w:val="0000FF"/>
        </w:rPr>
      </w:pPr>
    </w:p>
    <w:p>
      <w:pPr>
        <w:jc w:val="both"/>
        <w:ind w:right="120"/>
        <w:spacing w:after="0" w:line="225" w:lineRule="auto"/>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Form of Restricted Stock Unit Grant Agreement under the Sabre Corporation 2019 Omnibus Incentive Compensation Plan (incorporated</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by reference to Exhibit 10.76 of Sabre’s Quarterly Report on Form 10-Q filed with the Securities and Exchange Commission on August 1,</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2019).</w:t>
        </w:r>
      </w:hyperlink>
    </w:p>
    <w:p>
      <w:pPr>
        <w:spacing w:after="0" w:line="23" w:lineRule="exact"/>
        <w:rPr>
          <w:rFonts w:ascii="Arial" w:cs="Arial" w:eastAsia="Arial" w:hAnsi="Arial"/>
          <w:sz w:val="16"/>
          <w:szCs w:val="16"/>
          <w:u w:val="single" w:color="auto"/>
          <w:color w:val="0000FF"/>
        </w:rPr>
      </w:pPr>
    </w:p>
    <w:p>
      <w:pPr>
        <w:ind w:right="80"/>
        <w:spacing w:after="0" w:line="225" w:lineRule="auto"/>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Form of Non-Employee Director Restricted Stock Unit Grant Agreement under the Sabre Corporation 2019 Director Equity Compensation</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Plan. incorporated by reference to Exhibit 10.77 of Sabre’s Quarterly Report on Form 10-Q filed with the Securities and Exchange</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Commission on August 1, 2019).</w:t>
        </w:r>
      </w:hyperlink>
    </w:p>
    <w:p>
      <w:pPr>
        <w:spacing w:after="0" w:line="23" w:lineRule="exact"/>
        <w:rPr>
          <w:rFonts w:ascii="Arial" w:cs="Arial" w:eastAsia="Arial" w:hAnsi="Arial"/>
          <w:sz w:val="16"/>
          <w:szCs w:val="16"/>
          <w:u w:val="single" w:color="auto"/>
          <w:color w:val="0000FF"/>
        </w:rPr>
      </w:pPr>
    </w:p>
    <w:p>
      <w:pPr>
        <w:ind w:right="160"/>
        <w:spacing w:after="0" w:line="232" w:lineRule="auto"/>
        <w:rPr>
          <w:rFonts w:ascii="Arial" w:cs="Arial" w:eastAsia="Arial" w:hAnsi="Arial"/>
          <w:sz w:val="16"/>
          <w:szCs w:val="16"/>
          <w:u w:val="single" w:color="auto"/>
          <w:color w:val="0000FF"/>
        </w:rPr>
      </w:pPr>
      <w:hyperlink w:anchor="page116">
        <w:r>
          <w:rPr>
            <w:rFonts w:ascii="Arial" w:cs="Arial" w:eastAsia="Arial" w:hAnsi="Arial"/>
            <w:sz w:val="16"/>
            <w:szCs w:val="16"/>
            <w:u w:val="single" w:color="auto"/>
            <w:color w:val="0000FF"/>
          </w:rPr>
          <w:t>Payment and Termination Agreement, dated December 18, 2019 by and between Sabre Corporation and Sovereign Manager Co-Invest,</w:t>
        </w:r>
      </w:hyperlink>
      <w:r>
        <w:rPr>
          <w:rFonts w:ascii="Arial" w:cs="Arial" w:eastAsia="Arial" w:hAnsi="Arial"/>
          <w:sz w:val="16"/>
          <w:szCs w:val="16"/>
          <w:u w:val="single" w:color="auto"/>
          <w:color w:val="0000FF"/>
        </w:rPr>
        <w:t xml:space="preserve"> </w:t>
      </w:r>
      <w:hyperlink w:anchor="page116">
        <w:r>
          <w:rPr>
            <w:rFonts w:ascii="Arial" w:cs="Arial" w:eastAsia="Arial" w:hAnsi="Arial"/>
            <w:sz w:val="16"/>
            <w:szCs w:val="16"/>
            <w:u w:val="single" w:color="auto"/>
            <w:color w:val="0000FF"/>
          </w:rPr>
          <w:t>LLC.</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57785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940" w:space="460"/>
            <w:col w:w="9920"/>
          </w:cols>
          <w:pgMar w:left="260" w:top="1053"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9"/>
        </w:trPr>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228"/>
        </w:trPr>
        <w:tc>
          <w:tcPr>
            <w:tcW w:w="1400" w:type="dxa"/>
            <w:vAlign w:val="bottom"/>
            <w:gridSpan w:val="2"/>
          </w:tcPr>
          <w:p>
            <w:pPr>
              <w:ind w:left="34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00" w:type="dxa"/>
            <w:vAlign w:val="bottom"/>
            <w:gridSpan w:val="3"/>
          </w:tcPr>
          <w:p>
            <w:pPr>
              <w:ind w:left="620"/>
              <w:spacing w:after="0"/>
              <w:rPr>
                <w:sz w:val="20"/>
                <w:szCs w:val="20"/>
                <w:color w:val="auto"/>
              </w:rPr>
            </w:pPr>
            <w:r>
              <w:rPr>
                <w:rFonts w:ascii="Arial" w:cs="Arial" w:eastAsia="Arial" w:hAnsi="Arial"/>
                <w:sz w:val="16"/>
                <w:szCs w:val="16"/>
                <w:b w:val="1"/>
                <w:bCs w:val="1"/>
                <w:color w:val="auto"/>
              </w:rPr>
              <w:t>Description of Exhibits</w:t>
            </w:r>
          </w:p>
        </w:tc>
      </w:tr>
      <w:tr>
        <w:trPr>
          <w:trHeight w:val="176"/>
        </w:trPr>
        <w:tc>
          <w:tcPr>
            <w:tcW w:w="13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21.1*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60" w:type="dxa"/>
            <w:vAlign w:val="bottom"/>
            <w:tcBorders>
              <w:top w:val="single" w:sz="8" w:color="auto"/>
              <w:bottom w:val="single" w:sz="8" w:color="0000FF"/>
            </w:tcBorders>
          </w:tcPr>
          <w:p>
            <w:pPr>
              <w:spacing w:after="0" w:line="155" w:lineRule="exact"/>
              <w:rPr>
                <w:rFonts w:ascii="Arial" w:cs="Arial" w:eastAsia="Arial" w:hAnsi="Arial"/>
                <w:sz w:val="16"/>
                <w:szCs w:val="16"/>
                <w:color w:val="0000FF"/>
                <w:w w:val="99"/>
              </w:rPr>
            </w:pPr>
            <w:hyperlink w:anchor="page119">
              <w:r>
                <w:rPr>
                  <w:rFonts w:ascii="Arial" w:cs="Arial" w:eastAsia="Arial" w:hAnsi="Arial"/>
                  <w:sz w:val="16"/>
                  <w:szCs w:val="16"/>
                  <w:color w:val="0000FF"/>
                  <w:w w:val="99"/>
                </w:rPr>
                <w:t>List of Subsidiaries</w:t>
              </w:r>
            </w:hyperlink>
          </w:p>
        </w:tc>
        <w:tc>
          <w:tcPr>
            <w:tcW w:w="8600" w:type="dxa"/>
            <w:vAlign w:val="bottom"/>
            <w:tcBorders>
              <w:top w:val="single" w:sz="8" w:color="auto"/>
            </w:tcBorders>
            <w:gridSpan w:val="5"/>
          </w:tcPr>
          <w:p>
            <w:pPr>
              <w:spacing w:after="0"/>
              <w:rPr>
                <w:sz w:val="15"/>
                <w:szCs w:val="15"/>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6"/>
          </w:tcPr>
          <w:p>
            <w:pPr>
              <w:spacing w:after="0"/>
              <w:rPr>
                <w:rFonts w:ascii="Arial" w:cs="Arial" w:eastAsia="Arial" w:hAnsi="Arial"/>
                <w:sz w:val="16"/>
                <w:szCs w:val="16"/>
                <w:color w:val="0000FF"/>
              </w:rPr>
            </w:pPr>
            <w:hyperlink w:anchor="page122">
              <w:r>
                <w:rPr>
                  <w:rFonts w:ascii="Arial" w:cs="Arial" w:eastAsia="Arial" w:hAnsi="Arial"/>
                  <w:sz w:val="16"/>
                  <w:szCs w:val="16"/>
                  <w:color w:val="0000FF"/>
                </w:rPr>
                <w:t>Consent of Ernst &amp; Young LLP</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Borders>
              <w:bottom w:val="single" w:sz="8" w:color="0000FF"/>
            </w:tcBorders>
            <w:gridSpan w:val="3"/>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Powers of Attorney (included on signature page)</w:t>
              </w:r>
            </w:hyperlink>
          </w:p>
        </w:tc>
        <w:tc>
          <w:tcPr>
            <w:tcW w:w="3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6"/>
          </w:tcPr>
          <w:p>
            <w:pPr>
              <w:spacing w:after="0"/>
              <w:rPr>
                <w:rFonts w:ascii="Arial" w:cs="Arial" w:eastAsia="Arial" w:hAnsi="Arial"/>
                <w:sz w:val="16"/>
                <w:szCs w:val="16"/>
                <w:color w:val="0000FF"/>
              </w:rPr>
            </w:pPr>
            <w:hyperlink w:anchor="page123">
              <w:r>
                <w:rPr>
                  <w:rFonts w:ascii="Arial" w:cs="Arial" w:eastAsia="Arial" w:hAnsi="Arial"/>
                  <w:sz w:val="16"/>
                  <w:szCs w:val="16"/>
                  <w:color w:val="0000FF"/>
                </w:rPr>
                <w:t>Certification of Chief Executive Officer pursuant to Section 302 of the Sarbanes-Oxley Act of 2002</w:t>
              </w:r>
            </w:hyperlink>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tcBorders>
              <w:top w:val="single" w:sz="8" w:color="0000FF"/>
            </w:tcBorders>
            <w:gridSpan w:val="5"/>
          </w:tcPr>
          <w:p>
            <w:pPr>
              <w:spacing w:after="0"/>
              <w:rPr>
                <w:rFonts w:ascii="Arial" w:cs="Arial" w:eastAsia="Arial" w:hAnsi="Arial"/>
                <w:sz w:val="16"/>
                <w:szCs w:val="16"/>
                <w:color w:val="0000FF"/>
              </w:rPr>
            </w:pPr>
            <w:hyperlink w:anchor="page124">
              <w:r>
                <w:rPr>
                  <w:rFonts w:ascii="Arial" w:cs="Arial" w:eastAsia="Arial" w:hAnsi="Arial"/>
                  <w:sz w:val="16"/>
                  <w:szCs w:val="16"/>
                  <w:color w:val="0000FF"/>
                </w:rPr>
                <w:t>Certification of Chief Financial Officer pursuant to Section 302 of the Sarbanes-Oxley Act of 2002</w:t>
              </w:r>
            </w:hyperlink>
          </w:p>
        </w:tc>
        <w:tc>
          <w:tcPr>
            <w:tcW w:w="296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4"/>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6"/>
          </w:tcPr>
          <w:p>
            <w:pPr>
              <w:spacing w:after="0"/>
              <w:rPr>
                <w:rFonts w:ascii="Arial" w:cs="Arial" w:eastAsia="Arial" w:hAnsi="Arial"/>
                <w:sz w:val="16"/>
                <w:szCs w:val="16"/>
                <w:color w:val="0000FF"/>
              </w:rPr>
            </w:pPr>
            <w:hyperlink w:anchor="page125">
              <w:r>
                <w:rPr>
                  <w:rFonts w:ascii="Arial" w:cs="Arial" w:eastAsia="Arial" w:hAnsi="Arial"/>
                  <w:sz w:val="16"/>
                  <w:szCs w:val="16"/>
                  <w:color w:val="0000FF"/>
                </w:rPr>
                <w:t>Certification of Chief Executive Officer pursuant to Section 906 of the Sarbanes-Oxley Act of 2002</w:t>
              </w:r>
            </w:hyperlink>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tcBorders>
              <w:top w:val="single" w:sz="8" w:color="0000FF"/>
            </w:tcBorders>
            <w:gridSpan w:val="5"/>
          </w:tcPr>
          <w:p>
            <w:pPr>
              <w:spacing w:after="0"/>
              <w:rPr>
                <w:rFonts w:ascii="Arial" w:cs="Arial" w:eastAsia="Arial" w:hAnsi="Arial"/>
                <w:sz w:val="16"/>
                <w:szCs w:val="16"/>
                <w:color w:val="0000FF"/>
              </w:rPr>
            </w:pPr>
            <w:hyperlink w:anchor="page126">
              <w:r>
                <w:rPr>
                  <w:rFonts w:ascii="Arial" w:cs="Arial" w:eastAsia="Arial" w:hAnsi="Arial"/>
                  <w:sz w:val="16"/>
                  <w:szCs w:val="16"/>
                  <w:color w:val="0000FF"/>
                </w:rPr>
                <w:t>Certification of Chief Financial Officer pursuant to Section 906 of the Sarbanes-Oxley Act of 2002</w:t>
              </w:r>
            </w:hyperlink>
          </w:p>
        </w:tc>
        <w:tc>
          <w:tcPr>
            <w:tcW w:w="2960" w:type="dxa"/>
            <w:vAlign w:val="bottom"/>
          </w:tcPr>
          <w:p>
            <w:pPr>
              <w:spacing w:after="0"/>
              <w:rPr>
                <w:sz w:val="19"/>
                <w:szCs w:val="19"/>
                <w:color w:val="auto"/>
              </w:rPr>
            </w:pPr>
          </w:p>
        </w:tc>
      </w:tr>
      <w:tr>
        <w:trPr>
          <w:trHeight w:val="20"/>
        </w:trPr>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4"/>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266"/>
        </w:trPr>
        <w:tc>
          <w:tcPr>
            <w:tcW w:w="14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195"/>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1"/>
                <w:szCs w:val="21"/>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w:t>
            </w: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1"/>
                <w:szCs w:val="21"/>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1"/>
                <w:szCs w:val="21"/>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1"/>
                <w:szCs w:val="21"/>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1"/>
                <w:szCs w:val="21"/>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238"/>
        </w:trPr>
        <w:tc>
          <w:tcPr>
            <w:tcW w:w="130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r>
      <w:tr>
        <w:trPr>
          <w:trHeight w:val="195"/>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are embedded within the Inline XBRL document.</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52" w:lineRule="exact"/>
        <w:rPr>
          <w:sz w:val="20"/>
          <w:szCs w:val="20"/>
          <w:color w:val="auto"/>
        </w:rPr>
      </w:pPr>
    </w:p>
    <w:p>
      <w:pPr>
        <w:ind w:left="300" w:hanging="274"/>
        <w:spacing w:after="0"/>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59" w:lineRule="exact"/>
        <w:rPr>
          <w:sz w:val="20"/>
          <w:szCs w:val="20"/>
          <w:color w:val="auto"/>
        </w:rPr>
      </w:pPr>
    </w:p>
    <w:p>
      <w:pPr>
        <w:ind w:left="20" w:right="3080" w:firstLine="6"/>
        <w:spacing w:after="0" w:line="331" w:lineRule="auto"/>
        <w:tabs>
          <w:tab w:leader="none" w:pos="3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Confidential treatment has been granted to portions of this exhibit by the Securities and Exchange Commission. * Filed herewith.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53" w:right="2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SABRE CORPORATION</w:t>
      </w:r>
    </w:p>
    <w:p>
      <w:pPr>
        <w:spacing w:after="0" w:line="322" w:lineRule="exact"/>
        <w:rPr>
          <w:sz w:val="20"/>
          <w:szCs w:val="20"/>
          <w:color w:val="auto"/>
        </w:rPr>
      </w:pPr>
    </w:p>
    <w:p>
      <w:pPr>
        <w:ind w:left="20"/>
        <w:spacing w:after="0"/>
        <w:tabs>
          <w:tab w:leader="none" w:pos="640" w:val="left"/>
          <w:tab w:leader="none" w:pos="7200" w:val="left"/>
        </w:tabs>
        <w:rPr>
          <w:sz w:val="20"/>
          <w:szCs w:val="20"/>
          <w:color w:val="auto"/>
        </w:rPr>
      </w:pPr>
      <w:r>
        <w:rPr>
          <w:rFonts w:ascii="Arial" w:cs="Arial" w:eastAsia="Arial" w:hAnsi="Arial"/>
          <w:sz w:val="16"/>
          <w:szCs w:val="16"/>
          <w:color w:val="auto"/>
        </w:rPr>
        <w:t>Date:</w:t>
        <w:tab/>
        <w:t>February 26, 2020</w:t>
      </w:r>
      <w:r>
        <w:rPr>
          <w:sz w:val="20"/>
          <w:szCs w:val="20"/>
          <w:color w:val="auto"/>
        </w:rPr>
        <w:tab/>
      </w:r>
      <w:r>
        <w:rPr>
          <w:rFonts w:ascii="Arial" w:cs="Arial" w:eastAsia="Arial" w:hAnsi="Arial"/>
          <w:sz w:val="16"/>
          <w:szCs w:val="16"/>
          <w:color w:val="auto"/>
        </w:rPr>
        <w:t>By: /s/ Douglas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19050</wp:posOffset>
            </wp:positionV>
            <wp:extent cx="24872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3"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Douglas E. Barnett</w:t>
      </w:r>
    </w:p>
    <w:p>
      <w:pPr>
        <w:spacing w:after="0" w:line="59"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Executive Vice President and</w:t>
      </w:r>
    </w:p>
    <w:p>
      <w:pPr>
        <w:spacing w:after="0" w:line="59"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Sean Menke, Douglas E. Barnett, and Aimee Williams-Ramey,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101" w:lineRule="exact"/>
        <w:rPr>
          <w:sz w:val="20"/>
          <w:szCs w:val="20"/>
          <w:color w:val="auto"/>
        </w:rPr>
      </w:pPr>
    </w:p>
    <w:p>
      <w:pPr>
        <w:ind w:right="540" w:firstLine="486"/>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Sean Menke</w:t>
            </w:r>
          </w:p>
        </w:tc>
        <w:tc>
          <w:tcPr>
            <w:tcW w:w="4980" w:type="dxa"/>
            <w:vAlign w:val="bottom"/>
          </w:tcPr>
          <w:p>
            <w:pPr>
              <w:ind w:left="340"/>
              <w:spacing w:after="0"/>
              <w:rPr>
                <w:sz w:val="20"/>
                <w:szCs w:val="20"/>
                <w:color w:val="auto"/>
              </w:rPr>
            </w:pPr>
            <w:r>
              <w:rPr>
                <w:rFonts w:ascii="Arial" w:cs="Arial" w:eastAsia="Arial" w:hAnsi="Arial"/>
                <w:sz w:val="16"/>
                <w:szCs w:val="16"/>
                <w:color w:val="auto"/>
              </w:rPr>
              <w:t>President and Chief Executive Officer and 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Sean Menke</w:t>
            </w:r>
          </w:p>
        </w:tc>
        <w:tc>
          <w:tcPr>
            <w:tcW w:w="4980" w:type="dxa"/>
            <w:vAlign w:val="bottom"/>
          </w:tcPr>
          <w:p>
            <w:pPr>
              <w:ind w:left="340"/>
              <w:spacing w:after="0"/>
              <w:rPr>
                <w:sz w:val="20"/>
                <w:szCs w:val="20"/>
                <w:color w:val="auto"/>
              </w:rPr>
            </w:pPr>
            <w:r>
              <w:rPr>
                <w:rFonts w:ascii="Arial" w:cs="Arial" w:eastAsia="Arial" w:hAnsi="Arial"/>
                <w:sz w:val="16"/>
                <w:szCs w:val="16"/>
                <w:color w:val="auto"/>
              </w:rPr>
              <w:t>(Principal Executive Officer)</w:t>
            </w:r>
          </w:p>
        </w:tc>
        <w:tc>
          <w:tcPr>
            <w:tcW w:w="2200" w:type="dxa"/>
            <w:vAlign w:val="bottom"/>
          </w:tcPr>
          <w:p>
            <w:pPr>
              <w:spacing w:after="0"/>
              <w:rPr>
                <w:sz w:val="19"/>
                <w:szCs w:val="19"/>
                <w:color w:val="auto"/>
              </w:rPr>
            </w:pPr>
          </w:p>
        </w:tc>
      </w:tr>
      <w:tr>
        <w:trPr>
          <w:trHeight w:val="4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Douglas E. Barnett</w:t>
            </w:r>
          </w:p>
        </w:tc>
        <w:tc>
          <w:tcPr>
            <w:tcW w:w="4980" w:type="dxa"/>
            <w:vAlign w:val="bottom"/>
          </w:tcPr>
          <w:p>
            <w:pPr>
              <w:ind w:left="340"/>
              <w:spacing w:after="0"/>
              <w:rPr>
                <w:sz w:val="20"/>
                <w:szCs w:val="20"/>
                <w:color w:val="auto"/>
              </w:rPr>
            </w:pPr>
            <w:r>
              <w:rPr>
                <w:rFonts w:ascii="Arial" w:cs="Arial" w:eastAsia="Arial" w:hAnsi="Arial"/>
                <w:sz w:val="16"/>
                <w:szCs w:val="16"/>
                <w:color w:val="auto"/>
              </w:rPr>
              <w:t>Executive Vice President and Chief Financial Officer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Douglas E. Barnett</w:t>
            </w:r>
          </w:p>
        </w:tc>
        <w:tc>
          <w:tcPr>
            <w:tcW w:w="4980" w:type="dxa"/>
            <w:vAlign w:val="bottom"/>
          </w:tcPr>
          <w:p>
            <w:pPr>
              <w:ind w:left="340"/>
              <w:spacing w:after="0"/>
              <w:rPr>
                <w:sz w:val="20"/>
                <w:szCs w:val="20"/>
                <w:color w:val="auto"/>
              </w:rPr>
            </w:pPr>
            <w:r>
              <w:rPr>
                <w:rFonts w:ascii="Arial" w:cs="Arial" w:eastAsia="Arial" w:hAnsi="Arial"/>
                <w:sz w:val="16"/>
                <w:szCs w:val="16"/>
                <w:color w:val="auto"/>
              </w:rPr>
              <w:t>(Principal Financial Officer)</w:t>
            </w:r>
          </w:p>
        </w:tc>
        <w:tc>
          <w:tcPr>
            <w:tcW w:w="2200" w:type="dxa"/>
            <w:vAlign w:val="bottom"/>
          </w:tcPr>
          <w:p>
            <w:pPr>
              <w:spacing w:after="0"/>
              <w:rPr>
                <w:sz w:val="19"/>
                <w:szCs w:val="19"/>
                <w:color w:val="auto"/>
              </w:rPr>
            </w:pPr>
          </w:p>
        </w:tc>
      </w:tr>
      <w:tr>
        <w:trPr>
          <w:trHeight w:val="4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Jami B. Kindle</w:t>
            </w:r>
          </w:p>
        </w:tc>
        <w:tc>
          <w:tcPr>
            <w:tcW w:w="4980" w:type="dxa"/>
            <w:vAlign w:val="bottom"/>
          </w:tcPr>
          <w:p>
            <w:pPr>
              <w:ind w:left="340"/>
              <w:spacing w:after="0"/>
              <w:rPr>
                <w:sz w:val="20"/>
                <w:szCs w:val="20"/>
                <w:color w:val="auto"/>
              </w:rPr>
            </w:pPr>
            <w:r>
              <w:rPr>
                <w:rFonts w:ascii="Arial" w:cs="Arial" w:eastAsia="Arial" w:hAnsi="Arial"/>
                <w:sz w:val="16"/>
                <w:szCs w:val="16"/>
                <w:color w:val="auto"/>
              </w:rPr>
              <w:t>Senior Vice President - Finance and Controlling</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Jami B. Kindle</w:t>
            </w:r>
          </w:p>
        </w:tc>
        <w:tc>
          <w:tcPr>
            <w:tcW w:w="4980" w:type="dxa"/>
            <w:vAlign w:val="bottom"/>
          </w:tcPr>
          <w:p>
            <w:pPr>
              <w:ind w:left="340"/>
              <w:spacing w:after="0"/>
              <w:rPr>
                <w:sz w:val="20"/>
                <w:szCs w:val="20"/>
                <w:color w:val="auto"/>
              </w:rPr>
            </w:pPr>
            <w:r>
              <w:rPr>
                <w:rFonts w:ascii="Arial" w:cs="Arial" w:eastAsia="Arial" w:hAnsi="Arial"/>
                <w:sz w:val="16"/>
                <w:szCs w:val="16"/>
                <w:color w:val="auto"/>
              </w:rPr>
              <w:t>(Principal Accounting Officer)</w:t>
            </w:r>
          </w:p>
        </w:tc>
        <w:tc>
          <w:tcPr>
            <w:tcW w:w="2200" w:type="dxa"/>
            <w:vAlign w:val="bottom"/>
          </w:tcPr>
          <w:p>
            <w:pPr>
              <w:spacing w:after="0"/>
              <w:rPr>
                <w:sz w:val="19"/>
                <w:szCs w:val="19"/>
                <w:color w:val="auto"/>
              </w:rPr>
            </w:pPr>
          </w:p>
        </w:tc>
      </w:tr>
      <w:tr>
        <w:trPr>
          <w:trHeight w:val="405"/>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Karl Peterson</w:t>
            </w:r>
          </w:p>
        </w:tc>
        <w:tc>
          <w:tcPr>
            <w:tcW w:w="4980" w:type="dxa"/>
            <w:vAlign w:val="bottom"/>
          </w:tcPr>
          <w:p>
            <w:pPr>
              <w:ind w:left="340"/>
              <w:spacing w:after="0"/>
              <w:rPr>
                <w:sz w:val="20"/>
                <w:szCs w:val="20"/>
                <w:color w:val="auto"/>
              </w:rPr>
            </w:pPr>
            <w:r>
              <w:rPr>
                <w:rFonts w:ascii="Arial" w:cs="Arial" w:eastAsia="Arial" w:hAnsi="Arial"/>
                <w:sz w:val="16"/>
                <w:szCs w:val="16"/>
                <w:color w:val="auto"/>
              </w:rPr>
              <w:t>Chairman of the Board and 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Karl Peterson</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Bravante, Jr.</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George Bravante, Jr.</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05"/>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Hervé Couturier</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Hervé Couturier</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05"/>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Renée James</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Renée James</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Lawrence W. Kellner</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Lawrence W. Kellner</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7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Kusin</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Gary Kusin</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Judy Odom</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Judy Odom</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Osnoss</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Joseph Osnoss</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64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Zane Rowe</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Zane Rowe</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7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Siciliano</w:t>
            </w:r>
          </w:p>
        </w:tc>
        <w:tc>
          <w:tcPr>
            <w:tcW w:w="4980" w:type="dxa"/>
            <w:vAlign w:val="bottom"/>
          </w:tcPr>
          <w:p>
            <w:pPr>
              <w:ind w:left="340"/>
              <w:spacing w:after="0"/>
              <w:rPr>
                <w:sz w:val="20"/>
                <w:szCs w:val="20"/>
                <w:color w:val="auto"/>
              </w:rPr>
            </w:pPr>
            <w:r>
              <w:rPr>
                <w:rFonts w:ascii="Arial" w:cs="Arial" w:eastAsia="Arial" w:hAnsi="Arial"/>
                <w:sz w:val="16"/>
                <w:szCs w:val="16"/>
                <w:color w:val="auto"/>
              </w:rPr>
              <w:t>Director</w:t>
            </w:r>
          </w:p>
        </w:tc>
        <w:tc>
          <w:tcPr>
            <w:tcW w:w="2200" w:type="dxa"/>
            <w:vAlign w:val="bottom"/>
          </w:tcPr>
          <w:p>
            <w:pPr>
              <w:ind w:left="880"/>
              <w:spacing w:after="0"/>
              <w:rPr>
                <w:sz w:val="20"/>
                <w:szCs w:val="20"/>
                <w:color w:val="auto"/>
              </w:rPr>
            </w:pPr>
            <w:r>
              <w:rPr>
                <w:rFonts w:ascii="Arial" w:cs="Arial" w:eastAsia="Arial" w:hAnsi="Arial"/>
                <w:sz w:val="16"/>
                <w:szCs w:val="16"/>
                <w:color w:val="auto"/>
                <w:w w:val="99"/>
              </w:rPr>
              <w:t>February 26, 2020</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John Siciliano</w:t>
            </w:r>
          </w:p>
        </w:tc>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891" w:right="239"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483" w:gutter="0" w:footer="0" w:header="0"/>
          <w:type w:val="continuous"/>
        </w:sectPr>
      </w:pPr>
    </w:p>
    <w:bookmarkStart w:id="110" w:name="page111"/>
    <w:bookmarkEnd w:id="110"/>
    <w:p>
      <w:pPr>
        <w:jc w:val="center"/>
        <w:ind w:right="-59"/>
        <w:spacing w:after="0"/>
        <w:rPr>
          <w:sz w:val="20"/>
          <w:szCs w:val="20"/>
          <w:color w:val="auto"/>
        </w:rPr>
      </w:pPr>
      <w:r>
        <w:rPr>
          <w:rFonts w:ascii="Arial" w:cs="Arial" w:eastAsia="Arial" w:hAnsi="Arial"/>
          <w:sz w:val="16"/>
          <w:szCs w:val="16"/>
          <w:b w:val="1"/>
          <w:bCs w:val="1"/>
          <w:color w:val="auto"/>
        </w:rPr>
        <w:t>SABRE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DECEMBER 31, 2019, 2018 AND 2017</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at</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Charged to</w:t>
            </w:r>
          </w:p>
        </w:tc>
        <w:tc>
          <w:tcPr>
            <w:tcW w:w="180" w:type="dxa"/>
            <w:vAlign w:val="bottom"/>
          </w:tcPr>
          <w:p>
            <w:pPr>
              <w:spacing w:after="0"/>
              <w:rPr>
                <w:sz w:val="13"/>
                <w:szCs w:val="13"/>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Write-offs and</w:t>
            </w:r>
          </w:p>
        </w:tc>
        <w:tc>
          <w:tcPr>
            <w:tcW w:w="160" w:type="dxa"/>
            <w:vAlign w:val="bottom"/>
          </w:tcPr>
          <w:p>
            <w:pPr>
              <w:spacing w:after="0"/>
              <w:rPr>
                <w:sz w:val="13"/>
                <w:szCs w:val="13"/>
                <w:color w:val="auto"/>
              </w:rPr>
            </w:pPr>
          </w:p>
        </w:tc>
        <w:tc>
          <w:tcPr>
            <w:tcW w:w="1060" w:type="dxa"/>
            <w:vAlign w:val="bottom"/>
            <w:vMerge w:val="restart"/>
          </w:tcPr>
          <w:p>
            <w:pPr>
              <w:jc w:val="right"/>
              <w:ind w:right="222"/>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2"/>
        </w:trPr>
        <w:tc>
          <w:tcPr>
            <w:tcW w:w="5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Expense or</w:t>
            </w:r>
          </w:p>
        </w:tc>
        <w:tc>
          <w:tcPr>
            <w:tcW w:w="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Beginning</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Other Accounts</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 Adjustments</w:t>
            </w:r>
          </w:p>
        </w:tc>
        <w:tc>
          <w:tcPr>
            <w:tcW w:w="16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Arial" w:cs="Arial" w:eastAsia="Arial" w:hAnsi="Arial"/>
                <w:sz w:val="13"/>
                <w:szCs w:val="13"/>
                <w:b w:val="1"/>
                <w:bCs w:val="1"/>
                <w:color w:val="auto"/>
                <w:w w:val="99"/>
              </w:rPr>
              <w:t>End of Period</w:t>
            </w:r>
          </w:p>
        </w:tc>
        <w:tc>
          <w:tcPr>
            <w:tcW w:w="0" w:type="dxa"/>
            <w:vAlign w:val="bottom"/>
          </w:tcPr>
          <w:p>
            <w:pPr>
              <w:spacing w:after="0"/>
              <w:rPr>
                <w:sz w:val="1"/>
                <w:szCs w:val="1"/>
                <w:color w:val="auto"/>
              </w:rPr>
            </w:pPr>
          </w:p>
        </w:tc>
      </w:tr>
      <w:tr>
        <w:trPr>
          <w:trHeight w:val="220"/>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220"/>
              <w:spacing w:after="0"/>
              <w:rPr>
                <w:sz w:val="20"/>
                <w:szCs w:val="20"/>
                <w:color w:val="auto"/>
              </w:rPr>
            </w:pPr>
            <w:r>
              <w:rPr>
                <w:rFonts w:ascii="Arial" w:cs="Arial" w:eastAsia="Arial" w:hAnsi="Arial"/>
                <w:sz w:val="16"/>
                <w:szCs w:val="16"/>
                <w:color w:val="auto"/>
              </w:rPr>
              <w:t>Year Ended December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53"/>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33"/>
        </w:trPr>
        <w:tc>
          <w:tcPr>
            <w:tcW w:w="5840" w:type="dxa"/>
            <w:vAlign w:val="bottom"/>
          </w:tcPr>
          <w:p>
            <w:pPr>
              <w:ind w:left="220"/>
              <w:spacing w:after="0"/>
              <w:rPr>
                <w:sz w:val="20"/>
                <w:szCs w:val="20"/>
                <w:color w:val="auto"/>
              </w:rPr>
            </w:pPr>
            <w:r>
              <w:rPr>
                <w:rFonts w:ascii="Arial" w:cs="Arial" w:eastAsia="Arial" w:hAnsi="Arial"/>
                <w:sz w:val="16"/>
                <w:szCs w:val="16"/>
                <w:color w:val="auto"/>
              </w:rPr>
              <w:t>Year ended December 31,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5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220"/>
              <w:spacing w:after="0"/>
              <w:rPr>
                <w:sz w:val="20"/>
                <w:szCs w:val="20"/>
                <w:color w:val="auto"/>
              </w:rPr>
            </w:pPr>
            <w:r>
              <w:rPr>
                <w:rFonts w:ascii="Arial" w:cs="Arial" w:eastAsia="Arial" w:hAnsi="Arial"/>
                <w:sz w:val="16"/>
                <w:szCs w:val="16"/>
                <w:color w:val="auto"/>
              </w:rPr>
              <w:t>Year Ended December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53"/>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33"/>
        </w:trPr>
        <w:tc>
          <w:tcPr>
            <w:tcW w:w="5840" w:type="dxa"/>
            <w:vAlign w:val="bottom"/>
          </w:tcPr>
          <w:p>
            <w:pPr>
              <w:ind w:left="220"/>
              <w:spacing w:after="0"/>
              <w:rPr>
                <w:sz w:val="20"/>
                <w:szCs w:val="20"/>
                <w:color w:val="auto"/>
              </w:rPr>
            </w:pPr>
            <w:r>
              <w:rPr>
                <w:rFonts w:ascii="Arial" w:cs="Arial" w:eastAsia="Arial" w:hAnsi="Arial"/>
                <w:sz w:val="16"/>
                <w:szCs w:val="16"/>
                <w:color w:val="auto"/>
              </w:rPr>
              <w:t>Year ended December 31,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5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Value-Added Tax Receivables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220"/>
              <w:spacing w:after="0"/>
              <w:rPr>
                <w:sz w:val="20"/>
                <w:szCs w:val="20"/>
                <w:color w:val="auto"/>
              </w:rPr>
            </w:pPr>
            <w:r>
              <w:rPr>
                <w:rFonts w:ascii="Arial" w:cs="Arial" w:eastAsia="Arial" w:hAnsi="Arial"/>
                <w:sz w:val="16"/>
                <w:szCs w:val="16"/>
                <w:color w:val="auto"/>
              </w:rPr>
              <w:t>Year Ended December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40" w:type="dxa"/>
            <w:vAlign w:val="bottom"/>
          </w:tcPr>
          <w:p>
            <w:pPr>
              <w:ind w:left="220"/>
              <w:spacing w:after="0"/>
              <w:rPr>
                <w:sz w:val="20"/>
                <w:szCs w:val="20"/>
                <w:color w:val="auto"/>
              </w:rPr>
            </w:pPr>
            <w:r>
              <w:rPr>
                <w:rFonts w:ascii="Arial" w:cs="Arial" w:eastAsia="Arial" w:hAnsi="Arial"/>
                <w:sz w:val="16"/>
                <w:szCs w:val="16"/>
                <w:color w:val="auto"/>
              </w:rPr>
              <w:t>Year ended December 31,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360"/>
          </w:cols>
          <w:pgMar w:left="240" w:top="891" w:right="299" w:bottom="1440" w:gutter="0" w:footer="0" w:header="0"/>
        </w:sectPr>
      </w:pPr>
    </w:p>
    <w:bookmarkStart w:id="111" w:name="page112"/>
    <w:bookmarkEnd w:id="111"/>
    <w:p>
      <w:pPr>
        <w:spacing w:after="0" w:line="17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No. 4.6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SABRE CORPORATION’S SECURITIES REGISTERED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12 OF THE SECURITIES EXCHANGE ACT OF 1934</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The following is a description of the material terms of the common stock, $0.01 par value per share (the “common stock”), of Sabre Corporation (the “Company,” “we,” “our” or “us”), which is the only security of the Company registered pursuant to Section 12 of the Securities Exchange Act of 1934, as amended (the “Exchange Act”). This description may not contain all of the information that is important to you. To understand them fully, you should read our fourth amended and restated certificate of incorporation (the “Certificate of Incorporation”) and fifth amended and restated bylaws (the “Bylaws”), copies of which are filed as exhibits to our Annual Report on Form 10-K, as well as the relevant portions of the Delaware General Corporation Law, as amended (“DGCL”).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222"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Our Certificate of Incorporation authorizes the issuance of up to 1 billion shares of common stock, par value $0.01. None of our</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common stock has been designated as non-voting.</w:t>
      </w:r>
    </w:p>
    <w:p>
      <w:pPr>
        <w:spacing w:after="0" w:line="177"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common stock are entitled to one vote for each share held on all matters submitted to a vote of stockholders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do not have cumulative voting rights. Accordingly, holders of a majority of the shares of common stock entitled to vote in any election of directors may elect all of the directors standing for election. Except for the election of directors, if a quorum is present, an action on a matter is approved if the votes cast favoring the action or matter exceed the votes cast against the action or matter, unless the vote of a greater number is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required by applicable law, the </w:t>
      </w:r>
      <w:r>
        <w:rPr>
          <w:rFonts w:ascii="Arial" w:cs="Arial" w:eastAsia="Arial" w:hAnsi="Arial"/>
          <w:sz w:val="21"/>
          <w:szCs w:val="21"/>
          <w:color w:val="auto"/>
        </w:rPr>
        <w:t>DGCL</w:t>
      </w:r>
      <w:r>
        <w:rPr>
          <w:rFonts w:ascii="Arial" w:cs="Arial" w:eastAsia="Arial" w:hAnsi="Arial"/>
          <w:sz w:val="20"/>
          <w:szCs w:val="20"/>
          <w:color w:val="auto"/>
        </w:rPr>
        <w:t>, our Certificate of Incorporation or our Bylaws. The election of directors in an uncontested election will be determined by a majority of the votes cast with respect to that director’s election, requiring the number of votes cast “for” a director’s election to exceed the number of votes cast “against” that director. The rights, preferences and privileges of holders of common stock are subject to, and may be impacted by, the rights of the holders of shares of any series of preferred stock that we may designate and issue in the future.</w:t>
      </w:r>
    </w:p>
    <w:p>
      <w:pPr>
        <w:spacing w:after="0" w:line="194"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Holders of our common stock are entitled to receive ratably those dividends, if any, as may be declared by the board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out of legally available funds.</w:t>
      </w:r>
    </w:p>
    <w:p>
      <w:pPr>
        <w:spacing w:after="0" w:line="177"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20"/>
          <w:szCs w:val="20"/>
          <w:i w:val="1"/>
          <w:iCs w:val="1"/>
          <w:color w:val="auto"/>
        </w:rPr>
        <w:t xml:space="preserve">Liquidation, Dissolution, and Winding Up. </w:t>
      </w:r>
      <w:r>
        <w:rPr>
          <w:rFonts w:ascii="Arial" w:cs="Arial" w:eastAsia="Arial" w:hAnsi="Arial"/>
          <w:sz w:val="20"/>
          <w:szCs w:val="20"/>
          <w:color w:val="auto"/>
        </w:rPr>
        <w:t>Upon our liquidation, dissolution or winding up, the holders of our common stock will be</w:t>
      </w:r>
      <w:r>
        <w:rPr>
          <w:rFonts w:ascii="Arial" w:cs="Arial" w:eastAsia="Arial" w:hAnsi="Arial"/>
          <w:sz w:val="20"/>
          <w:szCs w:val="20"/>
          <w:i w:val="1"/>
          <w:iCs w:val="1"/>
          <w:color w:val="auto"/>
        </w:rPr>
        <w:t xml:space="preserve"> </w:t>
      </w:r>
      <w:r>
        <w:rPr>
          <w:rFonts w:ascii="Arial" w:cs="Arial" w:eastAsia="Arial" w:hAnsi="Arial"/>
          <w:sz w:val="20"/>
          <w:szCs w:val="20"/>
          <w:color w:val="auto"/>
        </w:rPr>
        <w:t>entitled to share ratably in the net assets legally available for distribution to stockholders after the payment of all of our debts and other liabilities.</w:t>
      </w:r>
    </w:p>
    <w:p>
      <w:pPr>
        <w:spacing w:after="0" w:line="186" w:lineRule="exact"/>
        <w:rPr>
          <w:sz w:val="20"/>
          <w:szCs w:val="20"/>
          <w:color w:val="auto"/>
        </w:rPr>
      </w:pPr>
    </w:p>
    <w:p>
      <w:pPr>
        <w:jc w:val="both"/>
        <w:ind w:right="20" w:firstLine="446"/>
        <w:spacing w:after="0" w:line="260" w:lineRule="auto"/>
        <w:rPr>
          <w:sz w:val="20"/>
          <w:szCs w:val="20"/>
          <w:color w:val="auto"/>
        </w:rPr>
      </w:pPr>
      <w:r>
        <w:rPr>
          <w:rFonts w:ascii="Arial" w:cs="Arial" w:eastAsia="Arial" w:hAnsi="Arial"/>
          <w:sz w:val="20"/>
          <w:szCs w:val="20"/>
          <w:i w:val="1"/>
          <w:iCs w:val="1"/>
          <w:color w:val="auto"/>
        </w:rPr>
        <w:t xml:space="preserve">Preemptive Rights. </w:t>
      </w:r>
      <w:r>
        <w:rPr>
          <w:rFonts w:ascii="Arial" w:cs="Arial" w:eastAsia="Arial" w:hAnsi="Arial"/>
          <w:sz w:val="20"/>
          <w:szCs w:val="20"/>
          <w:color w:val="auto"/>
        </w:rPr>
        <w:t>Holders of our common stock have no preemptive or conversion rights or other subscription rights, and there are no</w:t>
      </w:r>
      <w:r>
        <w:rPr>
          <w:rFonts w:ascii="Arial" w:cs="Arial" w:eastAsia="Arial" w:hAnsi="Arial"/>
          <w:sz w:val="20"/>
          <w:szCs w:val="20"/>
          <w:i w:val="1"/>
          <w:iCs w:val="1"/>
          <w:color w:val="auto"/>
        </w:rPr>
        <w:t xml:space="preserve"> </w:t>
      </w:r>
      <w:r>
        <w:rPr>
          <w:rFonts w:ascii="Arial" w:cs="Arial" w:eastAsia="Arial" w:hAnsi="Arial"/>
          <w:sz w:val="20"/>
          <w:szCs w:val="20"/>
          <w:color w:val="auto"/>
        </w:rPr>
        <w:t>redemption or sinking funds provisions applicable to our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 xml:space="preserve">Assessment. </w:t>
      </w:r>
      <w:r>
        <w:rPr>
          <w:rFonts w:ascii="Arial" w:cs="Arial" w:eastAsia="Arial" w:hAnsi="Arial"/>
          <w:sz w:val="20"/>
          <w:szCs w:val="20"/>
          <w:color w:val="auto"/>
        </w:rPr>
        <w:t>All outstanding shares of our common stock are fully paid and nonassessable.</w:t>
      </w:r>
    </w:p>
    <w:p>
      <w:pPr>
        <w:sectPr>
          <w:pgSz w:w="11900" w:h="16838" w:orient="portrait"/>
          <w:cols w:equalWidth="0" w:num="1">
            <w:col w:w="11420"/>
          </w:cols>
          <w:pgMar w:left="240" w:top="1440" w:right="239" w:bottom="1440" w:gutter="0" w:footer="0" w:header="0"/>
        </w:sectPr>
      </w:pPr>
    </w:p>
    <w:bookmarkStart w:id="112" w:name="page113"/>
    <w:bookmarkEnd w:id="112"/>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1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Our Certificate of Incorporation authorizes the issuance of up to 225 million shares of preferred stock. Under our Certificate of Incorporation, our board of directors may issue additional shares of preferred stock, without stockholder approval, in such series and with such designations, preferences, conversion or other rights, powers, including voting powers, and qualifications, limitations or restrictions thereof, as the board of directors deems appropriate. The board of directors could, without stockholder approval, issue shares of preferred stock with voting, conversion and other rights that could adversely affect the voting power and impact other rights of the holders of the common stock. Our board of directors may issue shares of preferred stock as an anti-takeover measure without any further action by the holders of common stock. This may have the effect of delaying, deferring or preventing a change of control of our company by increasing the number of shares necessary to gain control of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Certificate of Incorporation and Our Bylaws</w:t>
      </w:r>
    </w:p>
    <w:p>
      <w:pPr>
        <w:spacing w:after="0" w:line="114"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Our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These provisions include:</w:t>
      </w:r>
    </w:p>
    <w:p>
      <w:pPr>
        <w:spacing w:after="0" w:line="195"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i w:val="1"/>
          <w:iCs w:val="1"/>
          <w:color w:val="auto"/>
        </w:rPr>
        <w:t>Classified Board</w:t>
      </w:r>
      <w:r>
        <w:rPr>
          <w:rFonts w:ascii="Arial" w:cs="Arial" w:eastAsia="Arial" w:hAnsi="Arial"/>
          <w:sz w:val="19"/>
          <w:szCs w:val="19"/>
          <w:color w:val="auto"/>
        </w:rPr>
        <w:t>. Our Certificate of Incorporation provides that, commencing with the 2021 annual meeting of stockholders, the</w:t>
      </w:r>
      <w:r>
        <w:rPr>
          <w:rFonts w:ascii="Arial" w:cs="Arial" w:eastAsia="Arial" w:hAnsi="Arial"/>
          <w:sz w:val="19"/>
          <w:szCs w:val="19"/>
          <w:i w:val="1"/>
          <w:iCs w:val="1"/>
          <w:color w:val="auto"/>
        </w:rPr>
        <w:t xml:space="preserve"> </w:t>
      </w:r>
      <w:r>
        <w:rPr>
          <w:rFonts w:ascii="Arial" w:cs="Arial" w:eastAsia="Arial" w:hAnsi="Arial"/>
          <w:sz w:val="19"/>
          <w:szCs w:val="19"/>
          <w:color w:val="auto"/>
        </w:rPr>
        <w:t>classification of our board of directors shall cease and all directors will be elected annually. However, directors elected to three year terms at the 2018 annual meeting of stockholders continue to serve the remainder of their elected terms. The remaining classification of directors has the effect of making it more difficult for stockholders to change the composition of our board. Our Certificate of Incorporation also provides that, subject to any rights of holders of preferred stock to elect additional directors under specified circumstances, the number of directors is fixed exclusively pursuant to a resolution adopted by the board of directors, provided that, the board of directors shall consist of not fewer than five directors, nor more than thirteen directors.</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i w:val="1"/>
          <w:iCs w:val="1"/>
          <w:color w:val="auto"/>
        </w:rPr>
        <w:t>Authorized but Unissued or Undesignated Capital Stock</w:t>
      </w:r>
      <w:r>
        <w:rPr>
          <w:rFonts w:ascii="Arial" w:cs="Arial" w:eastAsia="Arial" w:hAnsi="Arial"/>
          <w:sz w:val="18"/>
          <w:szCs w:val="18"/>
          <w:color w:val="auto"/>
        </w:rPr>
        <w:t>. Our authorized capital stock consists of 1 billion shares of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225 million shares of preferred stock. A large quantity of authorized but unissued shares may deter potential takeover attempts because of the ability of 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of control. The preferred stock could also be used in connection with the issuance of a shareholder rights plan, sometimes referred to as a “poison pill.” Our board of directors is able to implement a shareholder rights plan without further action by our stockholders. The board of directors does not intend to seek stockholder approval prior to any issuance of preferred stock, unless otherwise required by law.</w:t>
      </w:r>
    </w:p>
    <w:p>
      <w:pPr>
        <w:sectPr>
          <w:pgSz w:w="11900" w:h="16838" w:orient="portrait"/>
          <w:cols w:equalWidth="0" w:num="1">
            <w:col w:w="11420"/>
          </w:cols>
          <w:pgMar w:left="240" w:top="1440" w:right="239" w:bottom="1440" w:gutter="0" w:footer="0" w:header="0"/>
        </w:sectPr>
      </w:pPr>
    </w:p>
    <w:bookmarkStart w:id="113" w:name="page114"/>
    <w:bookmarkEnd w:id="113"/>
    <w:p>
      <w:pPr>
        <w:spacing w:after="0" w:line="74"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i w:val="1"/>
          <w:iCs w:val="1"/>
          <w:color w:val="auto"/>
        </w:rPr>
        <w:t>Action by Written Consent</w:t>
      </w:r>
      <w:r>
        <w:rPr>
          <w:rFonts w:ascii="Arial" w:cs="Arial" w:eastAsia="Arial" w:hAnsi="Arial"/>
          <w:sz w:val="20"/>
          <w:szCs w:val="20"/>
          <w:color w:val="auto"/>
        </w:rPr>
        <w:t>. Our Certificate of Incorporation provides that stockholder action can be taken only at an annual meeting or</w:t>
      </w:r>
      <w:r>
        <w:rPr>
          <w:rFonts w:ascii="Arial" w:cs="Arial" w:eastAsia="Arial" w:hAnsi="Arial"/>
          <w:sz w:val="20"/>
          <w:szCs w:val="20"/>
          <w:i w:val="1"/>
          <w:iCs w:val="1"/>
          <w:color w:val="auto"/>
        </w:rPr>
        <w:t xml:space="preserve"> </w:t>
      </w:r>
      <w:r>
        <w:rPr>
          <w:rFonts w:ascii="Arial" w:cs="Arial" w:eastAsia="Arial" w:hAnsi="Arial"/>
          <w:sz w:val="20"/>
          <w:szCs w:val="20"/>
          <w:color w:val="auto"/>
        </w:rPr>
        <w:t>special meeting of stockholders and cannot be taken by written consent in lieu of a meeting.</w:t>
      </w:r>
    </w:p>
    <w:p>
      <w:pPr>
        <w:spacing w:after="0" w:line="177"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i w:val="1"/>
          <w:iCs w:val="1"/>
          <w:color w:val="auto"/>
        </w:rPr>
        <w:t>Special Meetings of Stockholders</w:t>
      </w:r>
      <w:r>
        <w:rPr>
          <w:rFonts w:ascii="Arial" w:cs="Arial" w:eastAsia="Arial" w:hAnsi="Arial"/>
          <w:sz w:val="20"/>
          <w:szCs w:val="20"/>
          <w:color w:val="auto"/>
        </w:rPr>
        <w:t>. Our Certificate of Incorporation provides that special meetings of our stockholders may be called</w:t>
      </w:r>
      <w:r>
        <w:rPr>
          <w:rFonts w:ascii="Arial" w:cs="Arial" w:eastAsia="Arial" w:hAnsi="Arial"/>
          <w:sz w:val="20"/>
          <w:szCs w:val="20"/>
          <w:i w:val="1"/>
          <w:iCs w:val="1"/>
          <w:color w:val="auto"/>
        </w:rPr>
        <w:t xml:space="preserve"> </w:t>
      </w:r>
      <w:r>
        <w:rPr>
          <w:rFonts w:ascii="Arial" w:cs="Arial" w:eastAsia="Arial" w:hAnsi="Arial"/>
          <w:sz w:val="20"/>
          <w:szCs w:val="20"/>
          <w:color w:val="auto"/>
        </w:rPr>
        <w:t>only by our board of directors or the chairman of the board of directors. Our Bylaws prohibit the conduct of any business at a special meeting other than as specified in the notice for such meeting.</w:t>
      </w:r>
    </w:p>
    <w:p>
      <w:pPr>
        <w:spacing w:after="0" w:line="186"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Our Bylaws establish advance notice procedures with respect to stockholder proposals and the nomination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candidates for election as directors, other than nominations made by or at the direction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Our Bylaws also specify requirements as to the form and content of a stockholder’s notice. Under our Bylaws, the board of directors may adopt by resolution the rules and regulations for the conduct of meetings. Except to the extent inconsistent with such rules and regulations adopted by the board of directors, the chairman of the meeting of stockholders shall have the right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i w:val="1"/>
          <w:iCs w:val="1"/>
          <w:color w:val="auto"/>
        </w:rPr>
        <w:t>Proxy Access</w:t>
      </w:r>
      <w:r>
        <w:rPr>
          <w:rFonts w:ascii="Arial" w:cs="Arial" w:eastAsia="Arial" w:hAnsi="Arial"/>
          <w:sz w:val="19"/>
          <w:szCs w:val="19"/>
          <w:color w:val="auto"/>
        </w:rPr>
        <w:t>. Our Bylaws permit a qualified stockholder or group of stockholders to include up to a specified number of director</w:t>
      </w:r>
      <w:r>
        <w:rPr>
          <w:rFonts w:ascii="Arial" w:cs="Arial" w:eastAsia="Arial" w:hAnsi="Arial"/>
          <w:sz w:val="19"/>
          <w:szCs w:val="19"/>
          <w:i w:val="1"/>
          <w:iCs w:val="1"/>
          <w:color w:val="auto"/>
        </w:rPr>
        <w:t xml:space="preserve"> </w:t>
      </w:r>
      <w:r>
        <w:rPr>
          <w:rFonts w:ascii="Arial" w:cs="Arial" w:eastAsia="Arial" w:hAnsi="Arial"/>
          <w:sz w:val="19"/>
          <w:szCs w:val="19"/>
          <w:color w:val="auto"/>
        </w:rPr>
        <w:t>nominees in our proxy materials for an annual meeting of stockholders. To qualify, the stockholder (or group of up to 20 stockholders) must have continuously owned for at least three years 3% or more of our outstanding common stock. The maximum number of stockholder nominees permitted under the proxy access provisions of our Bylaws is generally the greater of (x) two or (y) 20% of the total number of our directors in office (rounded down to the nearest whole number) as of the last day on which notice of a nomination may be delivered. Notice of a nomination under these provisions must generally be received at our principal executive offices no earlier than 150 days and no later than 120 days before the anniversary of the date that we commenced mailing of our definitive proxy statement for the previous year’s annual meeting of stockholders. The notice must contain certain information specified in our Bylaws. The complete proxy access provisions for director nominations are set forth in our Bylaws.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 with Interested Stockholders</w:t>
      </w:r>
    </w:p>
    <w:p>
      <w:pPr>
        <w:spacing w:after="0" w:line="114"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Pursuant to our Certificate of Incorporation, we are subject to the provisions of Section 203 of the DGCL, which regulates business combinations with “interested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Opportunities</w:t>
      </w:r>
    </w:p>
    <w:p>
      <w:pPr>
        <w:spacing w:after="0" w:line="114"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Our Certificate of Incorporation provides that we renounce, to the fullest extent permitted by applicable law, any interest or expectancy in the business opportunities of certain Exempted Persons (as defined in our Certificate of Incorporation). In addition our Certificate of Incorporation provides that the Exempted Persons have no obligation to offer us or even communicate to us an opportunity to participate in business opportunities presented to such Exempted Person even if the opportunity is one that we might reasonably have pursued (and therefore may be free to compete with us in the same business or similar</w:t>
      </w:r>
    </w:p>
    <w:p>
      <w:pPr>
        <w:sectPr>
          <w:pgSz w:w="11900" w:h="16838" w:orient="portrait"/>
          <w:cols w:equalWidth="0" w:num="1">
            <w:col w:w="11400"/>
          </w:cols>
          <w:pgMar w:left="240" w:top="1440" w:right="259" w:bottom="1440" w:gutter="0" w:footer="0" w:header="0"/>
        </w:sectPr>
      </w:pPr>
    </w:p>
    <w:bookmarkStart w:id="114" w:name="page115"/>
    <w:bookmarkEnd w:id="114"/>
    <w:p>
      <w:pPr>
        <w:ind w:right="340"/>
        <w:spacing w:after="0" w:line="291" w:lineRule="auto"/>
        <w:rPr>
          <w:sz w:val="20"/>
          <w:szCs w:val="20"/>
          <w:color w:val="auto"/>
        </w:rPr>
      </w:pPr>
      <w:r>
        <w:rPr>
          <w:rFonts w:ascii="Arial" w:cs="Arial" w:eastAsia="Arial" w:hAnsi="Arial"/>
          <w:sz w:val="18"/>
          <w:szCs w:val="18"/>
          <w:color w:val="auto"/>
        </w:rPr>
        <w:t>businesses of which we or our affiliates now engage or propose to engage) and that, to the fullest extent permitted by applicable law, the Exempted Persons will not be liable to us or our stockholders for breach of any duty by reason of any such activities described immediately above. Stockholders are deemed to have notice of and consented to this provision of our Certificate of Incorporation.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 of Liability and Indemnification of Officers and Directors</w:t>
      </w:r>
    </w:p>
    <w:p>
      <w:pPr>
        <w:spacing w:after="0" w:line="11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Certificate of Incorporation provides that no director shall be personally liable to us or any of our stockholders for monetary damages for breach of fiduciary duty as a director, except to the extent such exemption from liability or limitation thereof is not permitted under the DGCL. Our Bylaws provide that we will indemnify, to the fullest extent permitted by the DGCL, any person made or threatened to be made a party to any action or is involved in a proceeding by reason of the fact that the person is or was our director or officer, or our director or officer who, while a director or officer, is or was serving at our request as a director, officer, employee, agent or manager of another corporation, partnership, limited liability company, joint venture, trust or other enterprise or non-profit entity, including service with respect to an employee benefit plan. Our Bylaws also provide that, subject to applicable law, we may, by action of our board of directors, grant rights to indemnification and advancement of expenses to persons other than our directors and officers with such scope and effect as the board of directors may then determine. We have entered into customary indemnification agreements with each of our directors that provide them, in general, with customary indemnification in connection with their service to us or on our behalf.</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Choice of Forum</w:t>
      </w:r>
    </w:p>
    <w:p>
      <w:pPr>
        <w:spacing w:after="0" w:line="114"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Our Certificate of Incorporation provides that unless we consent to the selection of an alternate forum,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Bylaws; or any action asserting a claim against us that is governed by the internal affairs doctrine. Any person or entity purchasing or otherwise acquiring any interest in our shares of common stock shall be deemed to have notice of and consented to the forum provisions in our Certificate of Incorporation.</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American Stock Transfer &amp; Trust Company, LLC is the transfer agent and registrar for our common stock.</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common stock is listed on The NASDAQ Stock Market under the symbol “SABR.”</w:t>
      </w:r>
    </w:p>
    <w:p>
      <w:pPr>
        <w:sectPr>
          <w:pgSz w:w="11900" w:h="16838" w:orient="portrait"/>
          <w:cols w:equalWidth="0" w:num="1">
            <w:col w:w="11400"/>
          </w:cols>
          <w:pgMar w:left="240" w:top="1406" w:right="259" w:bottom="1440" w:gutter="0" w:footer="0" w:header="0"/>
        </w:sectPr>
      </w:pPr>
    </w:p>
    <w:bookmarkStart w:id="115" w:name="page116"/>
    <w:bookmarkEnd w:id="115"/>
    <w:p>
      <w:pPr>
        <w:ind w:left="10240"/>
        <w:spacing w:after="0"/>
        <w:rPr>
          <w:sz w:val="20"/>
          <w:szCs w:val="20"/>
          <w:color w:val="auto"/>
        </w:rPr>
      </w:pPr>
      <w:r>
        <w:rPr>
          <w:rFonts w:ascii="Arial" w:cs="Arial" w:eastAsia="Arial" w:hAnsi="Arial"/>
          <w:sz w:val="19"/>
          <w:szCs w:val="19"/>
          <w:b w:val="1"/>
          <w:bCs w:val="1"/>
          <w:color w:val="231F20"/>
        </w:rPr>
        <w:t>Exhibit 10.78</w:t>
      </w:r>
    </w:p>
    <w:p>
      <w:pPr>
        <w:spacing w:after="0" w:line="268" w:lineRule="exact"/>
        <w:rPr>
          <w:sz w:val="20"/>
          <w:szCs w:val="20"/>
          <w:color w:val="auto"/>
        </w:rPr>
      </w:pPr>
    </w:p>
    <w:p>
      <w:pPr>
        <w:ind w:left="700"/>
        <w:spacing w:after="0"/>
        <w:rPr>
          <w:sz w:val="20"/>
          <w:szCs w:val="20"/>
          <w:color w:val="auto"/>
        </w:rPr>
      </w:pPr>
      <w:r>
        <w:rPr>
          <w:rFonts w:ascii="Arial" w:cs="Arial" w:eastAsia="Arial" w:hAnsi="Arial"/>
          <w:sz w:val="19"/>
          <w:szCs w:val="19"/>
          <w:color w:val="231F20"/>
        </w:rPr>
        <w:t>This PAYMENT AND TERMINATION AGREEMENT (this “</w:t>
      </w:r>
      <w:r>
        <w:rPr>
          <w:rFonts w:ascii="Arial" w:cs="Arial" w:eastAsia="Arial" w:hAnsi="Arial"/>
          <w:sz w:val="19"/>
          <w:szCs w:val="19"/>
          <w:b w:val="1"/>
          <w:bCs w:val="1"/>
          <w:u w:val="single" w:color="auto"/>
          <w:color w:val="231F20"/>
        </w:rPr>
        <w:t>Agreement</w:t>
      </w:r>
      <w:r>
        <w:rPr>
          <w:rFonts w:ascii="Arial" w:cs="Arial" w:eastAsia="Arial" w:hAnsi="Arial"/>
          <w:sz w:val="19"/>
          <w:szCs w:val="19"/>
          <w:color w:val="231F20"/>
        </w:rPr>
        <w:t>”), dated as of December 18, 2019, is hereby entered</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9"/>
          <w:szCs w:val="19"/>
          <w:color w:val="231F20"/>
        </w:rPr>
        <w:t>into by and between Sabre Corporation (formerly known as Sovereign Holdings, Inc.), a Delaware corporation (the “</w:t>
      </w:r>
      <w:r>
        <w:rPr>
          <w:rFonts w:ascii="Arial" w:cs="Arial" w:eastAsia="Arial" w:hAnsi="Arial"/>
          <w:sz w:val="19"/>
          <w:szCs w:val="19"/>
          <w:b w:val="1"/>
          <w:bCs w:val="1"/>
          <w:u w:val="single" w:color="auto"/>
          <w:color w:val="231F20"/>
        </w:rPr>
        <w:t>Corporation</w:t>
      </w:r>
      <w:r>
        <w:rPr>
          <w:rFonts w:ascii="Arial" w:cs="Arial" w:eastAsia="Arial" w:hAnsi="Arial"/>
          <w:sz w:val="19"/>
          <w:szCs w:val="19"/>
          <w:color w:val="231F20"/>
        </w:rPr>
        <w:t>”) and</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color w:val="231F20"/>
        </w:rPr>
        <w:t>Sovereign Manager Co-Invest, LLC, a limited liability company, in its capacity as representative of the Existing Stockholders (the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w:t>
      </w:r>
      <w:r>
        <w:rPr>
          <w:rFonts w:ascii="Arial" w:cs="Arial" w:eastAsia="Arial" w:hAnsi="Arial"/>
          <w:sz w:val="18"/>
          <w:szCs w:val="18"/>
          <w:b w:val="1"/>
          <w:bCs w:val="1"/>
          <w:u w:val="single" w:color="auto"/>
          <w:color w:val="231F20"/>
        </w:rPr>
        <w:t>Existing Stockholders Representative</w:t>
      </w:r>
      <w:r>
        <w:rPr>
          <w:rFonts w:ascii="Arial" w:cs="Arial" w:eastAsia="Arial" w:hAnsi="Arial"/>
          <w:sz w:val="18"/>
          <w:szCs w:val="18"/>
          <w:color w:val="231F20"/>
        </w:rPr>
        <w:t>”). Capitalized terms used but not defined herein shall have the meanings assigned to such terms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1"/>
          <w:szCs w:val="21"/>
          <w:color w:val="231F20"/>
        </w:rPr>
        <w:t>in the TRA (as defined below), except as otherwise expressly set forth herein.</w:t>
      </w:r>
    </w:p>
    <w:p>
      <w:pPr>
        <w:spacing w:after="0" w:line="335" w:lineRule="exact"/>
        <w:rPr>
          <w:sz w:val="20"/>
          <w:szCs w:val="20"/>
          <w:color w:val="auto"/>
        </w:rPr>
      </w:pPr>
    </w:p>
    <w:p>
      <w:pPr>
        <w:jc w:val="both"/>
        <w:ind w:left="40" w:right="240" w:firstLine="648"/>
        <w:spacing w:after="0" w:line="249" w:lineRule="auto"/>
        <w:rPr>
          <w:sz w:val="20"/>
          <w:szCs w:val="20"/>
          <w:color w:val="auto"/>
        </w:rPr>
      </w:pPr>
      <w:r>
        <w:rPr>
          <w:rFonts w:ascii="Arial" w:cs="Arial" w:eastAsia="Arial" w:hAnsi="Arial"/>
          <w:sz w:val="21"/>
          <w:szCs w:val="21"/>
          <w:color w:val="231F20"/>
        </w:rPr>
        <w:t>WHEREAS, the Corporation and the Existing Stockholders Representative entered into an Income Tax Receivable Agreement (the “</w:t>
      </w:r>
      <w:r>
        <w:rPr>
          <w:rFonts w:ascii="Arial" w:cs="Arial" w:eastAsia="Arial" w:hAnsi="Arial"/>
          <w:sz w:val="21"/>
          <w:szCs w:val="21"/>
          <w:b w:val="1"/>
          <w:bCs w:val="1"/>
          <w:u w:val="single" w:color="auto"/>
          <w:color w:val="231F20"/>
        </w:rPr>
        <w:t>TRA</w:t>
      </w:r>
      <w:r>
        <w:rPr>
          <w:rFonts w:ascii="Arial" w:cs="Arial" w:eastAsia="Arial" w:hAnsi="Arial"/>
          <w:sz w:val="21"/>
          <w:szCs w:val="21"/>
          <w:color w:val="231F20"/>
        </w:rPr>
        <w:t>”), dated as of April 23, 2014, pursuant to which the Corporation agreed to make payments to the Existing Stockholders in an amount equal to eighty-five percent (85%) of the aggregate reduction in the reported liability for Taxes of the Taxable Entities from the utilization of the Pre-IPO Tax Assets.</w:t>
      </w:r>
    </w:p>
    <w:p>
      <w:pPr>
        <w:spacing w:after="0" w:line="321" w:lineRule="exact"/>
        <w:rPr>
          <w:sz w:val="20"/>
          <w:szCs w:val="20"/>
          <w:color w:val="auto"/>
        </w:rPr>
      </w:pPr>
    </w:p>
    <w:p>
      <w:pPr>
        <w:jc w:val="both"/>
        <w:ind w:left="40" w:right="240" w:firstLine="648"/>
        <w:spacing w:after="0" w:line="264" w:lineRule="auto"/>
        <w:rPr>
          <w:sz w:val="20"/>
          <w:szCs w:val="20"/>
          <w:color w:val="auto"/>
        </w:rPr>
      </w:pPr>
      <w:r>
        <w:rPr>
          <w:rFonts w:ascii="Arial" w:cs="Arial" w:eastAsia="Arial" w:hAnsi="Arial"/>
          <w:sz w:val="21"/>
          <w:szCs w:val="21"/>
          <w:color w:val="231F20"/>
        </w:rPr>
        <w:t>WHEREAS, the Corporation has notified the Existing Stockholders Representative of its intention to exercise its Early Complete Termination pursuant to Section 4.01(b) of the TRA;</w:t>
      </w:r>
    </w:p>
    <w:p>
      <w:pPr>
        <w:spacing w:after="0" w:line="252" w:lineRule="exact"/>
        <w:rPr>
          <w:sz w:val="20"/>
          <w:szCs w:val="20"/>
          <w:color w:val="auto"/>
        </w:rPr>
      </w:pPr>
    </w:p>
    <w:p>
      <w:pPr>
        <w:jc w:val="both"/>
        <w:ind w:left="40" w:right="240" w:firstLine="648"/>
        <w:spacing w:after="0" w:line="265" w:lineRule="auto"/>
        <w:rPr>
          <w:sz w:val="20"/>
          <w:szCs w:val="20"/>
          <w:color w:val="auto"/>
        </w:rPr>
      </w:pPr>
      <w:r>
        <w:rPr>
          <w:rFonts w:ascii="Arial" w:cs="Arial" w:eastAsia="Arial" w:hAnsi="Arial"/>
          <w:sz w:val="20"/>
          <w:szCs w:val="20"/>
          <w:color w:val="231F20"/>
        </w:rPr>
        <w:t xml:space="preserve">WHEREAS, in order to exercise such Early Complete Termination right, the Corporation shall make a payment representing the Early Termination Payment (calculated based on a gross Tax Benefit Payment of </w:t>
      </w:r>
      <w:r>
        <w:rPr>
          <w:rFonts w:ascii="Arial" w:cs="Arial" w:eastAsia="Arial" w:hAnsi="Arial"/>
          <w:sz w:val="20"/>
          <w:szCs w:val="20"/>
          <w:color w:val="000000"/>
        </w:rPr>
        <w:t>$1,309,440.20</w:t>
      </w:r>
      <w:r>
        <w:rPr>
          <w:rFonts w:ascii="Arial" w:cs="Arial" w:eastAsia="Arial" w:hAnsi="Arial"/>
          <w:sz w:val="20"/>
          <w:szCs w:val="20"/>
          <w:color w:val="231F20"/>
        </w:rPr>
        <w:t>, to be adjusted as required under Section 4.03(b) of the TRA for the Agreed Rate for December 2019), concurrently with the gross $</w:t>
      </w:r>
      <w:r>
        <w:rPr>
          <w:rFonts w:ascii="Arial" w:cs="Arial" w:eastAsia="Arial" w:hAnsi="Arial"/>
          <w:sz w:val="20"/>
          <w:szCs w:val="20"/>
          <w:color w:val="000000"/>
        </w:rPr>
        <w:t>69,137,149.96</w:t>
      </w:r>
      <w:r>
        <w:rPr>
          <w:rFonts w:ascii="Arial" w:cs="Arial" w:eastAsia="Arial" w:hAnsi="Arial"/>
          <w:sz w:val="20"/>
          <w:szCs w:val="20"/>
          <w:color w:val="231F20"/>
        </w:rPr>
        <w:t xml:space="preserve"> Tax Benefit Payment due and payable for 2018 per Section 4.01(b) of the TRA (the “</w:t>
      </w:r>
      <w:r>
        <w:rPr>
          <w:rFonts w:ascii="Arial" w:cs="Arial" w:eastAsia="Arial" w:hAnsi="Arial"/>
          <w:sz w:val="20"/>
          <w:szCs w:val="20"/>
          <w:b w:val="1"/>
          <w:bCs w:val="1"/>
          <w:u w:val="single" w:color="auto"/>
          <w:color w:val="231F20"/>
        </w:rPr>
        <w:t>Outstanding Amount</w:t>
      </w:r>
      <w:r>
        <w:rPr>
          <w:rFonts w:ascii="Arial" w:cs="Arial" w:eastAsia="Arial" w:hAnsi="Arial"/>
          <w:sz w:val="20"/>
          <w:szCs w:val="20"/>
          <w:color w:val="231F20"/>
        </w:rPr>
        <w:t>”);</w:t>
      </w:r>
    </w:p>
    <w:p>
      <w:pPr>
        <w:spacing w:after="0" w:line="308" w:lineRule="exact"/>
        <w:rPr>
          <w:sz w:val="20"/>
          <w:szCs w:val="20"/>
          <w:color w:val="auto"/>
        </w:rPr>
      </w:pPr>
    </w:p>
    <w:p>
      <w:pPr>
        <w:jc w:val="both"/>
        <w:ind w:left="40" w:right="240" w:firstLine="648"/>
        <w:spacing w:after="0" w:line="264" w:lineRule="auto"/>
        <w:rPr>
          <w:sz w:val="20"/>
          <w:szCs w:val="20"/>
          <w:color w:val="auto"/>
        </w:rPr>
      </w:pPr>
      <w:r>
        <w:rPr>
          <w:rFonts w:ascii="Arial" w:cs="Arial" w:eastAsia="Arial" w:hAnsi="Arial"/>
          <w:sz w:val="21"/>
          <w:szCs w:val="21"/>
          <w:color w:val="231F20"/>
        </w:rPr>
        <w:t>WHEREAS, the Corporation has requested to make payment of the Outstanding Amount on an accelerated basis and without regard for the specific procedures set forth in Sections 2.02 and 2.03 of the TRA; and</w:t>
      </w:r>
    </w:p>
    <w:p>
      <w:pPr>
        <w:spacing w:after="0" w:line="306" w:lineRule="exact"/>
        <w:rPr>
          <w:sz w:val="20"/>
          <w:szCs w:val="20"/>
          <w:color w:val="auto"/>
        </w:rPr>
      </w:pPr>
    </w:p>
    <w:p>
      <w:pPr>
        <w:jc w:val="both"/>
        <w:ind w:left="40" w:right="260" w:firstLine="648"/>
        <w:spacing w:after="0" w:line="264" w:lineRule="auto"/>
        <w:rPr>
          <w:sz w:val="20"/>
          <w:szCs w:val="20"/>
          <w:color w:val="auto"/>
        </w:rPr>
      </w:pPr>
      <w:r>
        <w:rPr>
          <w:rFonts w:ascii="Arial" w:cs="Arial" w:eastAsia="Arial" w:hAnsi="Arial"/>
          <w:sz w:val="21"/>
          <w:szCs w:val="21"/>
          <w:color w:val="231F20"/>
        </w:rPr>
        <w:t>WHEREAS, the Existing Stockholders Representative, on behalf of the Existing Stockholders, has agreed, subject to the terms and conditions set forth below, to accept such payment.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9"/>
          <w:szCs w:val="19"/>
          <w:color w:val="231F20"/>
        </w:rPr>
        <w:t>NOW, THEREFORE, in consideration of the foregoing and the respective covenants and agreements set forth herein, and</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1"/>
          <w:szCs w:val="21"/>
          <w:color w:val="231F20"/>
        </w:rPr>
        <w:t>intending to be legally bound hereby, the parties hereto agree as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1"/>
          <w:szCs w:val="21"/>
          <w:color w:val="231F20"/>
        </w:rPr>
        <w:t>follows:</w:t>
      </w:r>
    </w:p>
    <w:p>
      <w:pPr>
        <w:spacing w:after="0" w:line="227" w:lineRule="exact"/>
        <w:rPr>
          <w:sz w:val="20"/>
          <w:szCs w:val="20"/>
          <w:color w:val="auto"/>
        </w:rPr>
      </w:pPr>
    </w:p>
    <w:p>
      <w:pPr>
        <w:ind w:right="60" w:firstLine="414"/>
        <w:spacing w:after="0" w:line="253"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Payment</w:t>
      </w:r>
      <w:r>
        <w:rPr>
          <w:rFonts w:ascii="Arial" w:cs="Arial" w:eastAsia="Arial" w:hAnsi="Arial"/>
          <w:sz w:val="21"/>
          <w:szCs w:val="21"/>
          <w:color w:val="auto"/>
        </w:rPr>
        <w:t>. The Corporation agrees to make a payment representing the Outstanding Amount by January 10, 2020. Upon receipt of the payment, the Existing Stockholders Representative shall confirm receipt and that no future Tax Benefit Payments are required to be made to the Existing Stockholders under the TRA.</w:t>
      </w:r>
    </w:p>
    <w:p>
      <w:pPr>
        <w:sectPr>
          <w:pgSz w:w="11900" w:h="16838" w:orient="portrait"/>
          <w:cols w:equalWidth="0" w:num="1">
            <w:col w:w="11420"/>
          </w:cols>
          <w:pgMar w:left="240" w:top="1417" w:right="239" w:bottom="1440" w:gutter="0" w:footer="0" w:header="0"/>
        </w:sectPr>
      </w:pPr>
    </w:p>
    <w:bookmarkStart w:id="116" w:name="page117"/>
    <w:bookmarkEnd w:id="116"/>
    <w:p>
      <w:pPr>
        <w:ind w:right="100" w:firstLine="648"/>
        <w:spacing w:after="0" w:line="253"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Termination</w:t>
      </w:r>
      <w:r>
        <w:rPr>
          <w:rFonts w:ascii="Arial" w:cs="Arial" w:eastAsia="Arial" w:hAnsi="Arial"/>
          <w:sz w:val="21"/>
          <w:szCs w:val="21"/>
          <w:color w:val="auto"/>
        </w:rPr>
        <w:t>. Notwithstanding the terms of Article IV of the TRA, both this Agreement and the TRA shall terminate upon the Existing Stockholders Representative’s confirmation of receipt of the payment of the Outstanding Amount and no further rights or obligations will exist in respect of the TRA.</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Conflicts</w:t>
      </w:r>
      <w:r>
        <w:rPr>
          <w:rFonts w:ascii="Arial" w:cs="Arial" w:eastAsia="Arial" w:hAnsi="Arial"/>
          <w:sz w:val="21"/>
          <w:szCs w:val="21"/>
          <w:color w:val="auto"/>
        </w:rPr>
        <w:t xml:space="preserve">. For the avoidance of doubt, the parties </w:t>
      </w:r>
      <w:r>
        <w:rPr>
          <w:rFonts w:ascii="Arial" w:cs="Arial" w:eastAsia="Arial" w:hAnsi="Arial"/>
          <w:sz w:val="21"/>
          <w:szCs w:val="21"/>
          <w:color w:val="231F20"/>
        </w:rPr>
        <w:t>agree to waive any provisions of the TRA that are inconsistent</w:t>
      </w:r>
      <w:r>
        <w:rPr>
          <w:rFonts w:ascii="Arial" w:cs="Arial" w:eastAsia="Arial" w:hAnsi="Arial"/>
          <w:sz w:val="21"/>
          <w:szCs w:val="21"/>
          <w:color w:val="auto"/>
        </w:rPr>
        <w:t xml:space="preserve"> </w:t>
      </w:r>
      <w:r>
        <w:rPr>
          <w:rFonts w:ascii="Arial" w:cs="Arial" w:eastAsia="Arial" w:hAnsi="Arial"/>
          <w:sz w:val="21"/>
          <w:szCs w:val="21"/>
          <w:color w:val="231F20"/>
        </w:rPr>
        <w:t>with the terms of this Agreement.</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w:t>
      </w:r>
      <w:r>
        <w:rPr>
          <w:rFonts w:ascii="Arial" w:cs="Arial" w:eastAsia="Arial" w:hAnsi="Arial"/>
          <w:sz w:val="21"/>
          <w:szCs w:val="21"/>
          <w:color w:val="231F20"/>
        </w:rPr>
        <w:t>This Agreement shall be governed by, and construed in accordance with, the law of the State of</w:t>
      </w:r>
      <w:r>
        <w:rPr>
          <w:rFonts w:ascii="Arial" w:cs="Arial" w:eastAsia="Arial" w:hAnsi="Arial"/>
          <w:sz w:val="21"/>
          <w:szCs w:val="21"/>
          <w:color w:val="auto"/>
        </w:rPr>
        <w:t xml:space="preserve"> </w:t>
      </w:r>
      <w:r>
        <w:rPr>
          <w:rFonts w:ascii="Arial" w:cs="Arial" w:eastAsia="Arial" w:hAnsi="Arial"/>
          <w:sz w:val="21"/>
          <w:szCs w:val="21"/>
          <w:color w:val="231F20"/>
        </w:rPr>
        <w:t>New York.</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231F20"/>
        </w:rPr>
        <w:t>[</w:t>
      </w:r>
      <w:r>
        <w:rPr>
          <w:rFonts w:ascii="Arial" w:cs="Arial" w:eastAsia="Arial" w:hAnsi="Arial"/>
          <w:sz w:val="21"/>
          <w:szCs w:val="21"/>
          <w:i w:val="1"/>
          <w:iCs w:val="1"/>
          <w:color w:val="231F20"/>
        </w:rPr>
        <w:t>Signature page follows</w:t>
      </w:r>
      <w:r>
        <w:rPr>
          <w:rFonts w:ascii="Arial" w:cs="Arial" w:eastAsia="Arial" w:hAnsi="Arial"/>
          <w:sz w:val="21"/>
          <w:szCs w:val="2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40"/>
          </w:cols>
          <w:pgMar w:left="240" w:top="1423" w:right="519" w:bottom="1440" w:gutter="0" w:footer="0" w:header="0"/>
        </w:sectPr>
      </w:pPr>
    </w:p>
    <w:bookmarkStart w:id="117" w:name="page118"/>
    <w:bookmarkEnd w:id="117"/>
    <w:p>
      <w:pPr>
        <w:ind w:firstLine="466"/>
        <w:spacing w:after="0" w:line="264" w:lineRule="auto"/>
        <w:rPr>
          <w:sz w:val="20"/>
          <w:szCs w:val="20"/>
          <w:color w:val="auto"/>
        </w:rPr>
      </w:pPr>
      <w:r>
        <w:rPr>
          <w:rFonts w:ascii="Arial" w:cs="Arial" w:eastAsia="Arial" w:hAnsi="Arial"/>
          <w:sz w:val="21"/>
          <w:szCs w:val="21"/>
          <w:color w:val="auto"/>
        </w:rPr>
        <w:t>IN WITNESS WHEREOF, the Corporation and the Existing Stockholders Representative have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SABRE CORPORATION</w:t>
      </w:r>
    </w:p>
    <w:p>
      <w:pPr>
        <w:spacing w:after="0" w:line="245"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By /s/ Douglas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189865</wp:posOffset>
            </wp:positionV>
            <wp:extent cx="30441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06"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Name: Doug Barnett</w:t>
      </w:r>
    </w:p>
    <w:p>
      <w:pPr>
        <w:spacing w:after="0" w:line="42"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Title: EVP, CFO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SOVEREIGN MANAGER CO-INVEST, LLC, as Existing</w:t>
      </w:r>
    </w:p>
    <w:p>
      <w:pPr>
        <w:ind w:left="5760"/>
        <w:spacing w:after="0"/>
        <w:rPr>
          <w:sz w:val="20"/>
          <w:szCs w:val="20"/>
          <w:color w:val="auto"/>
        </w:rPr>
      </w:pPr>
      <w:r>
        <w:rPr>
          <w:rFonts w:ascii="Arial" w:cs="Arial" w:eastAsia="Arial" w:hAnsi="Arial"/>
          <w:sz w:val="21"/>
          <w:szCs w:val="21"/>
          <w:color w:val="auto"/>
        </w:rPr>
        <w:t>Stockholders Representative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189865</wp:posOffset>
            </wp:positionV>
            <wp:extent cx="30441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06"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Name: Michael LaGatta</w:t>
      </w:r>
    </w:p>
    <w:p>
      <w:pPr>
        <w:spacing w:after="0" w:line="42"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20"/>
          </w:cols>
          <w:pgMar w:left="240" w:top="1423" w:right="339" w:bottom="1440" w:gutter="0" w:footer="0" w:header="0"/>
        </w:sectPr>
      </w:pPr>
    </w:p>
    <w:bookmarkStart w:id="118" w:name="page119"/>
    <w:bookmarkEnd w:id="118"/>
    <w:p>
      <w:pPr>
        <w:jc w:val="center"/>
        <w:ind w:right="-139"/>
        <w:spacing w:after="0"/>
        <w:rPr>
          <w:sz w:val="20"/>
          <w:szCs w:val="20"/>
          <w:color w:val="auto"/>
        </w:rPr>
      </w:pPr>
      <w:r>
        <w:rPr>
          <w:rFonts w:ascii="Arial" w:cs="Arial" w:eastAsia="Arial" w:hAnsi="Arial"/>
          <w:sz w:val="16"/>
          <w:szCs w:val="16"/>
          <w:b w:val="1"/>
          <w:bCs w:val="1"/>
          <w:color w:val="auto"/>
        </w:rPr>
        <w:t>Sabre Corporation</w:t>
      </w:r>
    </w:p>
    <w:p>
      <w:pPr>
        <w:jc w:val="center"/>
        <w:ind w:right="-139"/>
        <w:spacing w:after="0" w:line="211" w:lineRule="auto"/>
        <w:rPr>
          <w:sz w:val="20"/>
          <w:szCs w:val="20"/>
          <w:color w:val="auto"/>
        </w:rPr>
      </w:pPr>
      <w:r>
        <w:rPr>
          <w:rFonts w:ascii="Arial" w:cs="Arial" w:eastAsia="Arial" w:hAnsi="Arial"/>
          <w:sz w:val="16"/>
          <w:szCs w:val="16"/>
          <w:b w:val="1"/>
          <w:bCs w:val="1"/>
          <w:color w:val="auto"/>
        </w:rPr>
        <w:t>2019 ANNUAL REPORT</w:t>
      </w:r>
    </w:p>
    <w:p>
      <w:pPr>
        <w:jc w:val="center"/>
        <w:ind w:right="-159"/>
        <w:spacing w:after="0"/>
        <w:rPr>
          <w:sz w:val="20"/>
          <w:szCs w:val="20"/>
          <w:color w:val="auto"/>
        </w:rPr>
      </w:pPr>
      <w:r>
        <w:rPr>
          <w:rFonts w:ascii="Arial" w:cs="Arial" w:eastAsia="Arial" w:hAnsi="Arial"/>
          <w:sz w:val="16"/>
          <w:szCs w:val="16"/>
          <w:b w:val="1"/>
          <w:bCs w:val="1"/>
          <w:color w:val="auto"/>
        </w:rPr>
        <w:t>List of Subsidiaries</w:t>
      </w:r>
    </w:p>
    <w:p>
      <w:pPr>
        <w:spacing w:after="0" w:line="221"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The following are subsidiaries of Sabre Corporation as of December 31, 2019 and the states or jurisdictions in which they are organized. Except as otherwise specified, in each case Sabre Corporation owns, directly or indirectly, all of the voting securities of each subsidiary.</w:t>
      </w:r>
    </w:p>
    <w:p>
      <w:pPr>
        <w:sectPr>
          <w:pgSz w:w="11900" w:h="16838" w:orient="portrait"/>
          <w:cols w:equalWidth="0" w:num="1">
            <w:col w:w="11280"/>
          </w:cols>
          <w:pgMar w:left="240" w:top="349" w:right="37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780" w:type="dxa"/>
            <w:vAlign w:val="bottom"/>
          </w:tcPr>
          <w:p>
            <w:pPr>
              <w:ind w:left="1460"/>
              <w:spacing w:after="0"/>
              <w:rPr>
                <w:sz w:val="20"/>
                <w:szCs w:val="20"/>
                <w:color w:val="auto"/>
              </w:rPr>
            </w:pPr>
            <w:r>
              <w:rPr>
                <w:rFonts w:ascii="Arial" w:cs="Arial" w:eastAsia="Arial" w:hAnsi="Arial"/>
                <w:sz w:val="16"/>
                <w:szCs w:val="16"/>
                <w:b w:val="1"/>
                <w:bCs w:val="1"/>
                <w:color w:val="auto"/>
              </w:rPr>
              <w:t>Jurisdiction of</w:t>
            </w:r>
          </w:p>
        </w:tc>
        <w:tc>
          <w:tcPr>
            <w:tcW w:w="0" w:type="dxa"/>
            <w:vAlign w:val="bottom"/>
          </w:tcPr>
          <w:p>
            <w:pPr>
              <w:spacing w:after="0"/>
              <w:rPr>
                <w:sz w:val="1"/>
                <w:szCs w:val="1"/>
                <w:color w:val="auto"/>
              </w:rPr>
            </w:pPr>
          </w:p>
        </w:tc>
      </w:tr>
      <w:tr>
        <w:trPr>
          <w:trHeight w:val="216"/>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Legal Name of Subsidiary</w:t>
            </w:r>
          </w:p>
        </w:tc>
        <w:tc>
          <w:tcPr>
            <w:tcW w:w="2780" w:type="dxa"/>
            <w:vAlign w:val="bottom"/>
          </w:tcPr>
          <w:p>
            <w:pPr>
              <w:ind w:left="1460"/>
              <w:spacing w:after="0"/>
              <w:rPr>
                <w:sz w:val="20"/>
                <w:szCs w:val="20"/>
                <w:color w:val="auto"/>
              </w:rPr>
            </w:pPr>
            <w:r>
              <w:rPr>
                <w:rFonts w:ascii="Arial" w:cs="Arial" w:eastAsia="Arial" w:hAnsi="Arial"/>
                <w:sz w:val="16"/>
                <w:szCs w:val="16"/>
                <w:b w:val="1"/>
                <w:bCs w:val="1"/>
                <w:color w:val="auto"/>
              </w:rPr>
              <w:t>Incorporation or</w:t>
            </w:r>
          </w:p>
        </w:tc>
        <w:tc>
          <w:tcPr>
            <w:tcW w:w="0" w:type="dxa"/>
            <w:vAlign w:val="bottom"/>
          </w:tcPr>
          <w:p>
            <w:pPr>
              <w:spacing w:after="0"/>
              <w:rPr>
                <w:sz w:val="1"/>
                <w:szCs w:val="1"/>
                <w:color w:val="auto"/>
              </w:rPr>
            </w:pPr>
          </w:p>
        </w:tc>
      </w:tr>
      <w:tr>
        <w:trPr>
          <w:trHeight w:val="95"/>
        </w:trPr>
        <w:tc>
          <w:tcPr>
            <w:tcW w:w="4960" w:type="dxa"/>
            <w:vAlign w:val="bottom"/>
            <w:vMerge w:val="continue"/>
          </w:tcPr>
          <w:p>
            <w:pPr>
              <w:spacing w:after="0"/>
              <w:rPr>
                <w:sz w:val="8"/>
                <w:szCs w:val="8"/>
                <w:color w:val="auto"/>
              </w:rPr>
            </w:pPr>
          </w:p>
        </w:tc>
        <w:tc>
          <w:tcPr>
            <w:tcW w:w="2780" w:type="dxa"/>
            <w:vAlign w:val="bottom"/>
            <w:vMerge w:val="restart"/>
          </w:tcPr>
          <w:p>
            <w:pPr>
              <w:ind w:left="1460"/>
              <w:spacing w:after="0"/>
              <w:rPr>
                <w:sz w:val="20"/>
                <w:szCs w:val="20"/>
                <w:color w:val="auto"/>
              </w:rPr>
            </w:pPr>
            <w:r>
              <w:rPr>
                <w:rFonts w:ascii="Arial" w:cs="Arial" w:eastAsia="Arial" w:hAnsi="Arial"/>
                <w:sz w:val="16"/>
                <w:szCs w:val="16"/>
                <w:b w:val="1"/>
                <w:bCs w:val="1"/>
                <w:color w:val="auto"/>
              </w:rPr>
              <w:t>Organization</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Arial" w:cs="Arial" w:eastAsia="Arial" w:hAnsi="Arial"/>
                <w:sz w:val="16"/>
                <w:szCs w:val="16"/>
                <w:color w:val="auto"/>
              </w:rPr>
              <w:t>Abacus Distribution Systems (Cambodia) Pte Ltd</w:t>
            </w:r>
          </w:p>
        </w:tc>
        <w:tc>
          <w:tcPr>
            <w:tcW w:w="2780" w:type="dxa"/>
            <w:vAlign w:val="bottom"/>
          </w:tcPr>
          <w:p>
            <w:pPr>
              <w:ind w:left="1460"/>
              <w:spacing w:after="0"/>
              <w:rPr>
                <w:sz w:val="20"/>
                <w:szCs w:val="20"/>
                <w:color w:val="auto"/>
              </w:rPr>
            </w:pPr>
            <w:r>
              <w:rPr>
                <w:rFonts w:ascii="Arial" w:cs="Arial" w:eastAsia="Arial" w:hAnsi="Arial"/>
                <w:sz w:val="16"/>
                <w:szCs w:val="16"/>
                <w:color w:val="auto"/>
              </w:rPr>
              <w:t>Cambodia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Airline Technology Services Mauritius Ltd.</w:t>
            </w:r>
          </w:p>
        </w:tc>
        <w:tc>
          <w:tcPr>
            <w:tcW w:w="2780" w:type="dxa"/>
            <w:vAlign w:val="bottom"/>
          </w:tcPr>
          <w:p>
            <w:pPr>
              <w:ind w:left="1460"/>
              <w:spacing w:after="0"/>
              <w:rPr>
                <w:sz w:val="20"/>
                <w:szCs w:val="20"/>
                <w:color w:val="auto"/>
              </w:rPr>
            </w:pPr>
            <w:r>
              <w:rPr>
                <w:rFonts w:ascii="Arial" w:cs="Arial" w:eastAsia="Arial" w:hAnsi="Arial"/>
                <w:sz w:val="16"/>
                <w:szCs w:val="16"/>
                <w:color w:val="auto"/>
              </w:rPr>
              <w:t>Mauritius</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Airpas Aviation GmbH</w:t>
            </w:r>
          </w:p>
        </w:tc>
        <w:tc>
          <w:tcPr>
            <w:tcW w:w="2780" w:type="dxa"/>
            <w:vAlign w:val="bottom"/>
          </w:tcPr>
          <w:p>
            <w:pPr>
              <w:ind w:left="14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Asiana Sabre Inc.</w:t>
            </w:r>
          </w:p>
        </w:tc>
        <w:tc>
          <w:tcPr>
            <w:tcW w:w="2780" w:type="dxa"/>
            <w:vAlign w:val="bottom"/>
          </w:tcPr>
          <w:p>
            <w:pPr>
              <w:ind w:left="1460"/>
              <w:spacing w:after="0"/>
              <w:rPr>
                <w:sz w:val="20"/>
                <w:szCs w:val="20"/>
                <w:color w:val="auto"/>
              </w:rPr>
            </w:pPr>
            <w:r>
              <w:rPr>
                <w:rFonts w:ascii="Arial" w:cs="Arial" w:eastAsia="Arial" w:hAnsi="Arial"/>
                <w:sz w:val="16"/>
                <w:szCs w:val="16"/>
                <w:color w:val="auto"/>
                <w:w w:val="98"/>
              </w:rPr>
              <w:t>Korea, Republic of</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EB2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E-Beam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Elektroniczne Systemy Sprzedazy Sp. ZO.O.</w:t>
            </w:r>
          </w:p>
        </w:tc>
        <w:tc>
          <w:tcPr>
            <w:tcW w:w="2780" w:type="dxa"/>
            <w:vAlign w:val="bottom"/>
          </w:tcPr>
          <w:p>
            <w:pPr>
              <w:ind w:left="146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Excellent Management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EZYWebwerksraden AB</w:t>
            </w:r>
          </w:p>
        </w:tc>
        <w:tc>
          <w:tcPr>
            <w:tcW w:w="2780" w:type="dxa"/>
            <w:vAlign w:val="bottom"/>
          </w:tcPr>
          <w:p>
            <w:pPr>
              <w:ind w:left="146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FlightLine Data Services, Inc.</w:t>
            </w:r>
          </w:p>
        </w:tc>
        <w:tc>
          <w:tcPr>
            <w:tcW w:w="2780" w:type="dxa"/>
            <w:vAlign w:val="bottom"/>
          </w:tcPr>
          <w:p>
            <w:pPr>
              <w:ind w:left="1460"/>
              <w:spacing w:after="0"/>
              <w:rPr>
                <w:sz w:val="20"/>
                <w:szCs w:val="20"/>
                <w:color w:val="auto"/>
              </w:rPr>
            </w:pPr>
            <w:r>
              <w:rPr>
                <w:rFonts w:ascii="Arial" w:cs="Arial" w:eastAsia="Arial" w:hAnsi="Arial"/>
                <w:sz w:val="16"/>
                <w:szCs w:val="16"/>
                <w:color w:val="auto"/>
              </w:rPr>
              <w:t>Georgia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GetThere Inc.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GetThere L.P.</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Holiday Service GmbH i.L.</w:t>
            </w:r>
          </w:p>
        </w:tc>
        <w:tc>
          <w:tcPr>
            <w:tcW w:w="2780" w:type="dxa"/>
            <w:vAlign w:val="bottom"/>
          </w:tcPr>
          <w:p>
            <w:pPr>
              <w:ind w:left="14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IHS GmbH</w:t>
            </w:r>
          </w:p>
        </w:tc>
        <w:tc>
          <w:tcPr>
            <w:tcW w:w="2780" w:type="dxa"/>
            <w:vAlign w:val="bottom"/>
          </w:tcPr>
          <w:p>
            <w:pPr>
              <w:ind w:left="14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IHS US Inc.</w:t>
            </w:r>
          </w:p>
        </w:tc>
        <w:tc>
          <w:tcPr>
            <w:tcW w:w="2780" w:type="dxa"/>
            <w:vAlign w:val="bottom"/>
          </w:tcPr>
          <w:p>
            <w:pPr>
              <w:ind w:left="146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Innlink, LLC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Laser Holdings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Lastminute (Cyprus)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Cyprus</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lastminute.com Holdings, Inc.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lastminute.com LLC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Lastminute.com GmbH i.L.</w:t>
            </w:r>
          </w:p>
        </w:tc>
        <w:tc>
          <w:tcPr>
            <w:tcW w:w="2780" w:type="dxa"/>
            <w:vAlign w:val="bottom"/>
          </w:tcPr>
          <w:p>
            <w:pPr>
              <w:ind w:left="14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Last Minute Network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Broker S.L.</w:t>
            </w:r>
          </w:p>
        </w:tc>
        <w:tc>
          <w:tcPr>
            <w:tcW w:w="2780" w:type="dxa"/>
            <w:vAlign w:val="bottom"/>
          </w:tcPr>
          <w:p>
            <w:pPr>
              <w:ind w:left="146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European Services GmbH</w:t>
            </w:r>
          </w:p>
        </w:tc>
        <w:tc>
          <w:tcPr>
            <w:tcW w:w="2780" w:type="dxa"/>
            <w:vAlign w:val="bottom"/>
          </w:tcPr>
          <w:p>
            <w:pPr>
              <w:ind w:left="146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GmbH i.L.</w:t>
            </w:r>
          </w:p>
        </w:tc>
        <w:tc>
          <w:tcPr>
            <w:tcW w:w="2780" w:type="dxa"/>
            <w:vAlign w:val="bottom"/>
          </w:tcPr>
          <w:p>
            <w:pPr>
              <w:ind w:left="14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Group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Holdings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International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Leisure Cars UK &amp; Ireland Limited</w:t>
            </w:r>
          </w:p>
        </w:tc>
        <w:tc>
          <w:tcPr>
            <w:tcW w:w="278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Marlins Acquisition Corp</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Nexus World Services, Inc.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PRISM Group, Inc.</w:t>
            </w:r>
          </w:p>
        </w:tc>
        <w:tc>
          <w:tcPr>
            <w:tcW w:w="2780" w:type="dxa"/>
            <w:vAlign w:val="bottom"/>
          </w:tcPr>
          <w:p>
            <w:pPr>
              <w:ind w:left="1460"/>
              <w:spacing w:after="0"/>
              <w:rPr>
                <w:sz w:val="20"/>
                <w:szCs w:val="20"/>
                <w:color w:val="auto"/>
              </w:rPr>
            </w:pPr>
            <w:r>
              <w:rPr>
                <w:rFonts w:ascii="Arial" w:cs="Arial" w:eastAsia="Arial" w:hAnsi="Arial"/>
                <w:sz w:val="16"/>
                <w:szCs w:val="16"/>
                <w:color w:val="auto"/>
              </w:rPr>
              <w:t>Maryland</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PRISM Technologies, LLC</w:t>
            </w:r>
          </w:p>
        </w:tc>
        <w:tc>
          <w:tcPr>
            <w:tcW w:w="2780" w:type="dxa"/>
            <w:vAlign w:val="bottom"/>
          </w:tcPr>
          <w:p>
            <w:pPr>
              <w:ind w:left="1460"/>
              <w:spacing w:after="0"/>
              <w:rPr>
                <w:sz w:val="20"/>
                <w:szCs w:val="20"/>
                <w:color w:val="auto"/>
              </w:rPr>
            </w:pPr>
            <w:r>
              <w:rPr>
                <w:rFonts w:ascii="Arial" w:cs="Arial" w:eastAsia="Arial" w:hAnsi="Arial"/>
                <w:sz w:val="16"/>
                <w:szCs w:val="16"/>
                <w:color w:val="auto"/>
              </w:rPr>
              <w:t>New Mexico</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PT Sabre Travel Network Indonesia</w:t>
            </w:r>
          </w:p>
        </w:tc>
        <w:tc>
          <w:tcPr>
            <w:tcW w:w="2780" w:type="dxa"/>
            <w:vAlign w:val="bottom"/>
          </w:tcPr>
          <w:p>
            <w:pPr>
              <w:ind w:left="14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Radixx Solutions International, Inc.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RSI Midco, Inc.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(Australia) Pty Ltd</w:t>
            </w:r>
          </w:p>
        </w:tc>
        <w:tc>
          <w:tcPr>
            <w:tcW w:w="2780" w:type="dxa"/>
            <w:vAlign w:val="bottom"/>
          </w:tcPr>
          <w:p>
            <w:pPr>
              <w:ind w:left="14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(Thailand) Holdings LLC</w:t>
            </w:r>
          </w:p>
        </w:tc>
        <w:tc>
          <w:tcPr>
            <w:tcW w:w="278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Airline Solutions GmbH</w:t>
            </w:r>
          </w:p>
        </w:tc>
        <w:tc>
          <w:tcPr>
            <w:tcW w:w="2780" w:type="dxa"/>
            <w:vAlign w:val="bottom"/>
          </w:tcPr>
          <w:p>
            <w:pPr>
              <w:ind w:left="14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AS (Luxembourg) S.a r.l.</w:t>
            </w:r>
          </w:p>
        </w:tc>
        <w:tc>
          <w:tcPr>
            <w:tcW w:w="2780" w:type="dxa"/>
            <w:vAlign w:val="bottom"/>
          </w:tcPr>
          <w:p>
            <w:pPr>
              <w:ind w:left="1460"/>
              <w:spacing w:after="0"/>
              <w:rPr>
                <w:sz w:val="20"/>
                <w:szCs w:val="20"/>
                <w:color w:val="auto"/>
              </w:rPr>
            </w:pPr>
            <w:r>
              <w:rPr>
                <w:rFonts w:ascii="Arial" w:cs="Arial" w:eastAsia="Arial" w:hAnsi="Arial"/>
                <w:sz w:val="16"/>
                <w:szCs w:val="16"/>
                <w:color w:val="auto"/>
              </w:rPr>
              <w:t>Luxembourg</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Asia Pacific Pte. Ltd.</w:t>
            </w:r>
          </w:p>
        </w:tc>
        <w:tc>
          <w:tcPr>
            <w:tcW w:w="2780" w:type="dxa"/>
            <w:vAlign w:val="bottom"/>
          </w:tcPr>
          <w:p>
            <w:pPr>
              <w:ind w:left="146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Australia Technologies I Pty. Ltd.</w:t>
            </w:r>
          </w:p>
        </w:tc>
        <w:tc>
          <w:tcPr>
            <w:tcW w:w="2780" w:type="dxa"/>
            <w:vAlign w:val="bottom"/>
          </w:tcPr>
          <w:p>
            <w:pPr>
              <w:ind w:left="14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Austria GmbH</w:t>
            </w:r>
          </w:p>
        </w:tc>
        <w:tc>
          <w:tcPr>
            <w:tcW w:w="2780" w:type="dxa"/>
            <w:vAlign w:val="bottom"/>
          </w:tcPr>
          <w:p>
            <w:pPr>
              <w:ind w:left="146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Belgium SA</w:t>
            </w:r>
          </w:p>
        </w:tc>
        <w:tc>
          <w:tcPr>
            <w:tcW w:w="2780" w:type="dxa"/>
            <w:vAlign w:val="bottom"/>
          </w:tcPr>
          <w:p>
            <w:pPr>
              <w:ind w:left="146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Bulgaria AD</w:t>
            </w:r>
          </w:p>
        </w:tc>
        <w:tc>
          <w:tcPr>
            <w:tcW w:w="2780" w:type="dxa"/>
            <w:vAlign w:val="bottom"/>
          </w:tcPr>
          <w:p>
            <w:pPr>
              <w:ind w:left="1460"/>
              <w:spacing w:after="0"/>
              <w:rPr>
                <w:sz w:val="20"/>
                <w:szCs w:val="20"/>
                <w:color w:val="auto"/>
              </w:rPr>
            </w:pPr>
            <w:r>
              <w:rPr>
                <w:rFonts w:ascii="Arial" w:cs="Arial" w:eastAsia="Arial" w:hAnsi="Arial"/>
                <w:sz w:val="16"/>
                <w:szCs w:val="16"/>
                <w:color w:val="auto"/>
              </w:rPr>
              <w:t>Bulgaria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Canada Inc.</w:t>
            </w:r>
          </w:p>
        </w:tc>
        <w:tc>
          <w:tcPr>
            <w:tcW w:w="2780" w:type="dxa"/>
            <w:vAlign w:val="bottom"/>
          </w:tcPr>
          <w:p>
            <w:pPr>
              <w:ind w:left="146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China Sea Technologies Ltd.</w:t>
            </w:r>
          </w:p>
        </w:tc>
        <w:tc>
          <w:tcPr>
            <w:tcW w:w="2780" w:type="dxa"/>
            <w:vAlign w:val="bottom"/>
          </w:tcPr>
          <w:p>
            <w:pPr>
              <w:ind w:left="1460"/>
              <w:spacing w:after="0"/>
              <w:rPr>
                <w:sz w:val="20"/>
                <w:szCs w:val="20"/>
                <w:color w:val="auto"/>
              </w:rPr>
            </w:pPr>
            <w:r>
              <w:rPr>
                <w:rFonts w:ascii="Arial" w:cs="Arial" w:eastAsia="Arial" w:hAnsi="Arial"/>
                <w:sz w:val="16"/>
                <w:szCs w:val="16"/>
                <w:color w:val="auto"/>
              </w:rPr>
              <w:t>Labuan</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Colombia Ltda.</w:t>
            </w:r>
          </w:p>
        </w:tc>
        <w:tc>
          <w:tcPr>
            <w:tcW w:w="2780" w:type="dxa"/>
            <w:vAlign w:val="bottom"/>
          </w:tcPr>
          <w:p>
            <w:pPr>
              <w:ind w:left="1460"/>
              <w:spacing w:after="0"/>
              <w:rPr>
                <w:sz w:val="20"/>
                <w:szCs w:val="20"/>
                <w:color w:val="auto"/>
              </w:rPr>
            </w:pPr>
            <w:r>
              <w:rPr>
                <w:rFonts w:ascii="Arial" w:cs="Arial" w:eastAsia="Arial" w:hAnsi="Arial"/>
                <w:sz w:val="16"/>
                <w:szCs w:val="16"/>
                <w:color w:val="auto"/>
              </w:rPr>
              <w:t>Colombia</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Sabre Computer Reservierungssystem GmbH</w:t>
            </w:r>
          </w:p>
        </w:tc>
        <w:tc>
          <w:tcPr>
            <w:tcW w:w="2780" w:type="dxa"/>
            <w:vAlign w:val="bottom"/>
          </w:tcPr>
          <w:p>
            <w:pPr>
              <w:ind w:left="148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right="420" w:firstLine="172"/>
        <w:spacing w:after="0" w:line="224" w:lineRule="auto"/>
        <w:tabs>
          <w:tab w:leader="none" w:pos="78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of Voting Interest Directly</w:t>
      </w:r>
    </w:p>
    <w:p>
      <w:pPr>
        <w:ind w:left="560"/>
        <w:spacing w:after="0" w:line="211" w:lineRule="auto"/>
        <w:rPr>
          <w:rFonts w:ascii="Arial" w:cs="Arial" w:eastAsia="Arial" w:hAnsi="Arial"/>
          <w:sz w:val="16"/>
          <w:szCs w:val="16"/>
          <w:b w:val="1"/>
          <w:bCs w:val="1"/>
          <w:color w:val="auto"/>
        </w:rPr>
      </w:pPr>
      <w:r>
        <w:rPr>
          <w:rFonts w:ascii="Arial" w:cs="Arial" w:eastAsia="Arial" w:hAnsi="Arial"/>
          <w:sz w:val="16"/>
          <w:szCs w:val="16"/>
          <w:b w:val="1"/>
          <w:bCs w:val="1"/>
          <w:color w:val="auto"/>
        </w:rPr>
        <w:t>or Indirectly</w:t>
      </w:r>
    </w:p>
    <w:p>
      <w:pPr>
        <w:spacing w:after="0"/>
        <w:rPr>
          <w:sz w:val="20"/>
          <w:szCs w:val="20"/>
          <w:color w:val="auto"/>
        </w:rPr>
      </w:pPr>
      <w:r>
        <w:rPr>
          <w:rFonts w:ascii="Arial" w:cs="Arial" w:eastAsia="Arial" w:hAnsi="Arial"/>
          <w:sz w:val="16"/>
          <w:szCs w:val="16"/>
          <w:b w:val="1"/>
          <w:bCs w:val="1"/>
          <w:color w:val="auto"/>
        </w:rPr>
        <w:t>Held (If Not Wholly-owned)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34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60%</w:t>
      </w:r>
    </w:p>
    <w:p>
      <w:pPr>
        <w:sectPr>
          <w:pgSz w:w="11900" w:h="16838" w:orient="portrait"/>
          <w:cols w:equalWidth="0" w:num="2">
            <w:col w:w="8500" w:space="720"/>
            <w:col w:w="2060"/>
          </w:cols>
          <w:pgMar w:left="240" w:top="349" w:right="379" w:bottom="1055"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20"/>
                <w:szCs w:val="20"/>
                <w:color w:val="auto"/>
              </w:rPr>
            </w:pPr>
            <w:r>
              <w:rPr>
                <w:rFonts w:ascii="Arial" w:cs="Arial" w:eastAsia="Arial" w:hAnsi="Arial"/>
                <w:sz w:val="16"/>
                <w:szCs w:val="16"/>
                <w:color w:val="auto"/>
              </w:rPr>
              <w:t>Sabre Danmark ApS</w:t>
            </w:r>
          </w:p>
        </w:tc>
        <w:tc>
          <w:tcPr>
            <w:tcW w:w="3600" w:type="dxa"/>
            <w:vAlign w:val="bottom"/>
          </w:tcPr>
          <w:p>
            <w:pPr>
              <w:ind w:left="600"/>
              <w:spacing w:after="0"/>
              <w:rPr>
                <w:sz w:val="20"/>
                <w:szCs w:val="20"/>
                <w:color w:val="auto"/>
              </w:rPr>
            </w:pPr>
            <w:r>
              <w:rPr>
                <w:rFonts w:ascii="Arial" w:cs="Arial" w:eastAsia="Arial" w:hAnsi="Arial"/>
                <w:sz w:val="16"/>
                <w:szCs w:val="16"/>
                <w:color w:val="auto"/>
              </w:rPr>
              <w:t>Denmark</w:t>
            </w:r>
          </w:p>
        </w:tc>
        <w:tc>
          <w:tcPr>
            <w:tcW w:w="880" w:type="dxa"/>
            <w:vAlign w:val="bottom"/>
          </w:tcPr>
          <w:p>
            <w:pPr>
              <w:spacing w:after="0"/>
              <w:rPr>
                <w:sz w:val="16"/>
                <w:szCs w:val="16"/>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Decision Technologies International, LLC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Deutschland Marketing GmbH</w:t>
            </w:r>
          </w:p>
        </w:tc>
        <w:tc>
          <w:tcPr>
            <w:tcW w:w="3600" w:type="dxa"/>
            <w:vAlign w:val="bottom"/>
          </w:tcPr>
          <w:p>
            <w:pPr>
              <w:ind w:left="600"/>
              <w:spacing w:after="0"/>
              <w:rPr>
                <w:sz w:val="20"/>
                <w:szCs w:val="20"/>
                <w:color w:val="auto"/>
              </w:rPr>
            </w:pPr>
            <w:r>
              <w:rPr>
                <w:rFonts w:ascii="Arial" w:cs="Arial" w:eastAsia="Arial" w:hAnsi="Arial"/>
                <w:sz w:val="16"/>
                <w:szCs w:val="16"/>
                <w:color w:val="auto"/>
              </w:rPr>
              <w:t>Germany</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Digital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United Kingdom</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EMEA Marketing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United Kingdom</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Espana Marketing, S.A.</w:t>
            </w:r>
          </w:p>
        </w:tc>
        <w:tc>
          <w:tcPr>
            <w:tcW w:w="3600" w:type="dxa"/>
            <w:vAlign w:val="bottom"/>
          </w:tcPr>
          <w:p>
            <w:pPr>
              <w:ind w:left="600"/>
              <w:spacing w:after="0"/>
              <w:rPr>
                <w:sz w:val="20"/>
                <w:szCs w:val="20"/>
                <w:color w:val="auto"/>
              </w:rPr>
            </w:pPr>
            <w:r>
              <w:rPr>
                <w:rFonts w:ascii="Arial" w:cs="Arial" w:eastAsia="Arial" w:hAnsi="Arial"/>
                <w:sz w:val="16"/>
                <w:szCs w:val="16"/>
                <w:color w:val="auto"/>
              </w:rPr>
              <w:t>Spain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Finance (Luxembourg) S.a.r.l.</w:t>
            </w:r>
          </w:p>
        </w:tc>
        <w:tc>
          <w:tcPr>
            <w:tcW w:w="3600" w:type="dxa"/>
            <w:vAlign w:val="bottom"/>
          </w:tcPr>
          <w:p>
            <w:pPr>
              <w:ind w:left="600"/>
              <w:spacing w:after="0"/>
              <w:rPr>
                <w:sz w:val="20"/>
                <w:szCs w:val="20"/>
                <w:color w:val="auto"/>
              </w:rPr>
            </w:pPr>
            <w:r>
              <w:rPr>
                <w:rFonts w:ascii="Arial" w:cs="Arial" w:eastAsia="Arial" w:hAnsi="Arial"/>
                <w:sz w:val="16"/>
                <w:szCs w:val="16"/>
                <w:color w:val="auto"/>
              </w:rPr>
              <w:t>Luxembourg</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France Sarl</w:t>
            </w:r>
          </w:p>
        </w:tc>
        <w:tc>
          <w:tcPr>
            <w:tcW w:w="3600" w:type="dxa"/>
            <w:vAlign w:val="bottom"/>
          </w:tcPr>
          <w:p>
            <w:pPr>
              <w:ind w:left="600"/>
              <w:spacing w:after="0"/>
              <w:rPr>
                <w:sz w:val="20"/>
                <w:szCs w:val="20"/>
                <w:color w:val="auto"/>
              </w:rPr>
            </w:pPr>
            <w:r>
              <w:rPr>
                <w:rFonts w:ascii="Arial" w:cs="Arial" w:eastAsia="Arial" w:hAnsi="Arial"/>
                <w:sz w:val="16"/>
                <w:szCs w:val="16"/>
                <w:color w:val="auto"/>
              </w:rPr>
              <w:t>France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GLBL Inc.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Global Services S.A.</w:t>
            </w:r>
          </w:p>
        </w:tc>
        <w:tc>
          <w:tcPr>
            <w:tcW w:w="3600" w:type="dxa"/>
            <w:vAlign w:val="bottom"/>
          </w:tcPr>
          <w:p>
            <w:pPr>
              <w:ind w:left="600"/>
              <w:spacing w:after="0"/>
              <w:rPr>
                <w:sz w:val="20"/>
                <w:szCs w:val="20"/>
                <w:color w:val="auto"/>
              </w:rPr>
            </w:pPr>
            <w:r>
              <w:rPr>
                <w:rFonts w:ascii="Arial" w:cs="Arial" w:eastAsia="Arial" w:hAnsi="Arial"/>
                <w:sz w:val="16"/>
                <w:szCs w:val="16"/>
                <w:color w:val="auto"/>
              </w:rPr>
              <w:t>Uruguay</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Global Technologies,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United Kingdom</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Headquarters, LLC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Hellas Computer Reservation Systems Services Societe Anonyme</w:t>
            </w:r>
          </w:p>
        </w:tc>
        <w:tc>
          <w:tcPr>
            <w:tcW w:w="3600" w:type="dxa"/>
            <w:vAlign w:val="bottom"/>
          </w:tcPr>
          <w:p>
            <w:pPr>
              <w:ind w:left="600"/>
              <w:spacing w:after="0"/>
              <w:rPr>
                <w:sz w:val="20"/>
                <w:szCs w:val="20"/>
                <w:color w:val="auto"/>
              </w:rPr>
            </w:pPr>
            <w:r>
              <w:rPr>
                <w:rFonts w:ascii="Arial" w:cs="Arial" w:eastAsia="Arial" w:hAnsi="Arial"/>
                <w:sz w:val="16"/>
                <w:szCs w:val="16"/>
                <w:color w:val="auto"/>
              </w:rPr>
              <w:t>Greece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Holdings (Luxembourg) S.a.r.l.</w:t>
            </w:r>
          </w:p>
        </w:tc>
        <w:tc>
          <w:tcPr>
            <w:tcW w:w="3600" w:type="dxa"/>
            <w:vAlign w:val="bottom"/>
          </w:tcPr>
          <w:p>
            <w:pPr>
              <w:ind w:left="600"/>
              <w:spacing w:after="0"/>
              <w:rPr>
                <w:sz w:val="20"/>
                <w:szCs w:val="20"/>
                <w:color w:val="auto"/>
              </w:rPr>
            </w:pPr>
            <w:r>
              <w:rPr>
                <w:rFonts w:ascii="Arial" w:cs="Arial" w:eastAsia="Arial" w:hAnsi="Arial"/>
                <w:sz w:val="16"/>
                <w:szCs w:val="16"/>
                <w:color w:val="auto"/>
              </w:rPr>
              <w:t>Luxembourg</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Holdings Corporation</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Holdings GmbH</w:t>
            </w:r>
          </w:p>
        </w:tc>
        <w:tc>
          <w:tcPr>
            <w:tcW w:w="3600" w:type="dxa"/>
            <w:vAlign w:val="bottom"/>
          </w:tcPr>
          <w:p>
            <w:pPr>
              <w:ind w:left="600"/>
              <w:spacing w:after="0"/>
              <w:rPr>
                <w:sz w:val="20"/>
                <w:szCs w:val="20"/>
                <w:color w:val="auto"/>
              </w:rPr>
            </w:pPr>
            <w:r>
              <w:rPr>
                <w:rFonts w:ascii="Arial" w:cs="Arial" w:eastAsia="Arial" w:hAnsi="Arial"/>
                <w:sz w:val="16"/>
                <w:szCs w:val="16"/>
                <w:color w:val="auto"/>
              </w:rPr>
              <w:t>Germany</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Hospitality Solutions GmbH</w:t>
            </w:r>
          </w:p>
        </w:tc>
        <w:tc>
          <w:tcPr>
            <w:tcW w:w="3600" w:type="dxa"/>
            <w:vAlign w:val="bottom"/>
          </w:tcPr>
          <w:p>
            <w:pPr>
              <w:ind w:left="600"/>
              <w:spacing w:after="0"/>
              <w:rPr>
                <w:sz w:val="20"/>
                <w:szCs w:val="20"/>
                <w:color w:val="auto"/>
              </w:rPr>
            </w:pPr>
            <w:r>
              <w:rPr>
                <w:rFonts w:ascii="Arial" w:cs="Arial" w:eastAsia="Arial" w:hAnsi="Arial"/>
                <w:sz w:val="16"/>
                <w:szCs w:val="16"/>
                <w:color w:val="auto"/>
              </w:rPr>
              <w:t>Germany</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Iceland ehf.</w:t>
            </w:r>
          </w:p>
        </w:tc>
        <w:tc>
          <w:tcPr>
            <w:tcW w:w="3600" w:type="dxa"/>
            <w:vAlign w:val="bottom"/>
          </w:tcPr>
          <w:p>
            <w:pPr>
              <w:ind w:left="600"/>
              <w:spacing w:after="0"/>
              <w:rPr>
                <w:sz w:val="20"/>
                <w:szCs w:val="20"/>
                <w:color w:val="auto"/>
              </w:rPr>
            </w:pPr>
            <w:r>
              <w:rPr>
                <w:rFonts w:ascii="Arial" w:cs="Arial" w:eastAsia="Arial" w:hAnsi="Arial"/>
                <w:sz w:val="16"/>
                <w:szCs w:val="16"/>
                <w:color w:val="auto"/>
              </w:rPr>
              <w:t>Iceland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Informacion S.A. de C.V.</w:t>
            </w:r>
          </w:p>
        </w:tc>
        <w:tc>
          <w:tcPr>
            <w:tcW w:w="3600" w:type="dxa"/>
            <w:vAlign w:val="bottom"/>
          </w:tcPr>
          <w:p>
            <w:pPr>
              <w:ind w:left="600"/>
              <w:spacing w:after="0"/>
              <w:rPr>
                <w:sz w:val="20"/>
                <w:szCs w:val="20"/>
                <w:color w:val="auto"/>
              </w:rPr>
            </w:pPr>
            <w:r>
              <w:rPr>
                <w:rFonts w:ascii="Arial" w:cs="Arial" w:eastAsia="Arial" w:hAnsi="Arial"/>
                <w:sz w:val="16"/>
                <w:szCs w:val="16"/>
                <w:color w:val="auto"/>
              </w:rPr>
              <w:t>Mexico</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International (Bahrain) W.L.L.</w:t>
            </w:r>
          </w:p>
        </w:tc>
        <w:tc>
          <w:tcPr>
            <w:tcW w:w="3600" w:type="dxa"/>
            <w:vAlign w:val="bottom"/>
          </w:tcPr>
          <w:p>
            <w:pPr>
              <w:ind w:left="600"/>
              <w:spacing w:after="0"/>
              <w:rPr>
                <w:sz w:val="20"/>
                <w:szCs w:val="20"/>
                <w:color w:val="auto"/>
              </w:rPr>
            </w:pPr>
            <w:r>
              <w:rPr>
                <w:rFonts w:ascii="Arial" w:cs="Arial" w:eastAsia="Arial" w:hAnsi="Arial"/>
                <w:sz w:val="16"/>
                <w:szCs w:val="16"/>
                <w:color w:val="auto"/>
              </w:rPr>
              <w:t>Bahrain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International (Luxembourg) S.a.r.l.</w:t>
            </w:r>
          </w:p>
        </w:tc>
        <w:tc>
          <w:tcPr>
            <w:tcW w:w="3600" w:type="dxa"/>
            <w:vAlign w:val="bottom"/>
          </w:tcPr>
          <w:p>
            <w:pPr>
              <w:ind w:left="600"/>
              <w:spacing w:after="0"/>
              <w:rPr>
                <w:sz w:val="20"/>
                <w:szCs w:val="20"/>
                <w:color w:val="auto"/>
              </w:rPr>
            </w:pPr>
            <w:r>
              <w:rPr>
                <w:rFonts w:ascii="Arial" w:cs="Arial" w:eastAsia="Arial" w:hAnsi="Arial"/>
                <w:sz w:val="16"/>
                <w:szCs w:val="16"/>
                <w:color w:val="auto"/>
              </w:rPr>
              <w:t>Luxembourg</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International B.V.</w:t>
            </w:r>
          </w:p>
        </w:tc>
        <w:tc>
          <w:tcPr>
            <w:tcW w:w="3600" w:type="dxa"/>
            <w:vAlign w:val="bottom"/>
          </w:tcPr>
          <w:p>
            <w:pPr>
              <w:ind w:left="600"/>
              <w:spacing w:after="0"/>
              <w:rPr>
                <w:sz w:val="20"/>
                <w:szCs w:val="20"/>
                <w:color w:val="auto"/>
              </w:rPr>
            </w:pPr>
            <w:r>
              <w:rPr>
                <w:rFonts w:ascii="Arial" w:cs="Arial" w:eastAsia="Arial" w:hAnsi="Arial"/>
                <w:sz w:val="16"/>
                <w:szCs w:val="16"/>
                <w:color w:val="auto"/>
              </w:rPr>
              <w:t>Luxembourg</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International Holdings, LLC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International Newco, Inc.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International, LLC.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Ireland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Ireland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Israel Travel Technologies LTD.</w:t>
            </w:r>
          </w:p>
        </w:tc>
        <w:tc>
          <w:tcPr>
            <w:tcW w:w="3600" w:type="dxa"/>
            <w:vAlign w:val="bottom"/>
          </w:tcPr>
          <w:p>
            <w:pPr>
              <w:ind w:left="600"/>
              <w:spacing w:after="0"/>
              <w:rPr>
                <w:sz w:val="20"/>
                <w:szCs w:val="20"/>
                <w:color w:val="auto"/>
              </w:rPr>
            </w:pPr>
            <w:r>
              <w:rPr>
                <w:rFonts w:ascii="Arial" w:cs="Arial" w:eastAsia="Arial" w:hAnsi="Arial"/>
                <w:sz w:val="16"/>
                <w:szCs w:val="16"/>
                <w:color w:val="auto"/>
              </w:rPr>
              <w:t>Israel</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Italia S.r.l.</w:t>
            </w:r>
          </w:p>
        </w:tc>
        <w:tc>
          <w:tcPr>
            <w:tcW w:w="3600" w:type="dxa"/>
            <w:vAlign w:val="bottom"/>
          </w:tcPr>
          <w:p>
            <w:pPr>
              <w:ind w:left="600"/>
              <w:spacing w:after="0"/>
              <w:rPr>
                <w:sz w:val="20"/>
                <w:szCs w:val="20"/>
                <w:color w:val="auto"/>
              </w:rPr>
            </w:pPr>
            <w:r>
              <w:rPr>
                <w:rFonts w:ascii="Arial" w:cs="Arial" w:eastAsia="Arial" w:hAnsi="Arial"/>
                <w:sz w:val="16"/>
                <w:szCs w:val="16"/>
                <w:color w:val="auto"/>
              </w:rPr>
              <w:t>Italy</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New Zealand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Marketing Nederland B.V.</w:t>
            </w:r>
          </w:p>
        </w:tc>
        <w:tc>
          <w:tcPr>
            <w:tcW w:w="3600" w:type="dxa"/>
            <w:vAlign w:val="bottom"/>
          </w:tcPr>
          <w:p>
            <w:pPr>
              <w:ind w:left="600"/>
              <w:spacing w:after="0"/>
              <w:rPr>
                <w:sz w:val="20"/>
                <w:szCs w:val="20"/>
                <w:color w:val="auto"/>
              </w:rPr>
            </w:pPr>
            <w:r>
              <w:rPr>
                <w:rFonts w:ascii="Arial" w:cs="Arial" w:eastAsia="Arial" w:hAnsi="Arial"/>
                <w:sz w:val="16"/>
                <w:szCs w:val="16"/>
                <w:color w:val="auto"/>
              </w:rPr>
              <w:t>Netherlands</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Marketing Pte. Ltd.</w:t>
            </w:r>
          </w:p>
        </w:tc>
        <w:tc>
          <w:tcPr>
            <w:tcW w:w="3600" w:type="dxa"/>
            <w:vAlign w:val="bottom"/>
          </w:tcPr>
          <w:p>
            <w:pPr>
              <w:ind w:left="600"/>
              <w:spacing w:after="0"/>
              <w:rPr>
                <w:sz w:val="20"/>
                <w:szCs w:val="20"/>
                <w:color w:val="auto"/>
              </w:rPr>
            </w:pPr>
            <w:r>
              <w:rPr>
                <w:rFonts w:ascii="Arial" w:cs="Arial" w:eastAsia="Arial" w:hAnsi="Arial"/>
                <w:sz w:val="16"/>
                <w:szCs w:val="16"/>
                <w:color w:val="auto"/>
              </w:rPr>
              <w:t>Singapore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Mexico LLC</w:t>
            </w:r>
          </w:p>
        </w:tc>
        <w:tc>
          <w:tcPr>
            <w:tcW w:w="3600" w:type="dxa"/>
            <w:vAlign w:val="bottom"/>
          </w:tcPr>
          <w:p>
            <w:pPr>
              <w:ind w:left="600"/>
              <w:spacing w:after="0"/>
              <w:rPr>
                <w:sz w:val="20"/>
                <w:szCs w:val="20"/>
                <w:color w:val="auto"/>
              </w:rPr>
            </w:pPr>
            <w:r>
              <w:rPr>
                <w:rFonts w:ascii="Arial" w:cs="Arial" w:eastAsia="Arial" w:hAnsi="Arial"/>
                <w:sz w:val="16"/>
                <w:szCs w:val="16"/>
                <w:color w:val="auto"/>
              </w:rPr>
              <w:t>Delaware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Netherlands Holdings B.V.</w:t>
            </w:r>
          </w:p>
        </w:tc>
        <w:tc>
          <w:tcPr>
            <w:tcW w:w="3600" w:type="dxa"/>
            <w:vAlign w:val="bottom"/>
          </w:tcPr>
          <w:p>
            <w:pPr>
              <w:ind w:left="600"/>
              <w:spacing w:after="0"/>
              <w:rPr>
                <w:sz w:val="20"/>
                <w:szCs w:val="20"/>
                <w:color w:val="auto"/>
              </w:rPr>
            </w:pPr>
            <w:r>
              <w:rPr>
                <w:rFonts w:ascii="Arial" w:cs="Arial" w:eastAsia="Arial" w:hAnsi="Arial"/>
                <w:sz w:val="16"/>
                <w:szCs w:val="16"/>
                <w:color w:val="auto"/>
              </w:rPr>
              <w:t>Netherlands</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Norge AS</w:t>
            </w:r>
          </w:p>
        </w:tc>
        <w:tc>
          <w:tcPr>
            <w:tcW w:w="3600" w:type="dxa"/>
            <w:vAlign w:val="bottom"/>
          </w:tcPr>
          <w:p>
            <w:pPr>
              <w:ind w:left="600"/>
              <w:spacing w:after="0"/>
              <w:rPr>
                <w:sz w:val="20"/>
                <w:szCs w:val="20"/>
                <w:color w:val="auto"/>
              </w:rPr>
            </w:pPr>
            <w:r>
              <w:rPr>
                <w:rFonts w:ascii="Arial" w:cs="Arial" w:eastAsia="Arial" w:hAnsi="Arial"/>
                <w:sz w:val="16"/>
                <w:szCs w:val="16"/>
                <w:color w:val="auto"/>
              </w:rPr>
              <w:t>Norway</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Pakistan (Private)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Pakistan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Polska Sp. Z.o.o.</w:t>
            </w:r>
          </w:p>
        </w:tc>
        <w:tc>
          <w:tcPr>
            <w:tcW w:w="3600" w:type="dxa"/>
            <w:vAlign w:val="bottom"/>
          </w:tcPr>
          <w:p>
            <w:pPr>
              <w:ind w:left="600"/>
              <w:spacing w:after="0"/>
              <w:rPr>
                <w:sz w:val="20"/>
                <w:szCs w:val="20"/>
                <w:color w:val="auto"/>
              </w:rPr>
            </w:pPr>
            <w:r>
              <w:rPr>
                <w:rFonts w:ascii="Arial" w:cs="Arial" w:eastAsia="Arial" w:hAnsi="Arial"/>
                <w:sz w:val="16"/>
                <w:szCs w:val="16"/>
                <w:color w:val="auto"/>
              </w:rPr>
              <w:t>Poland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Portugal Servicios Lda</w:t>
            </w:r>
          </w:p>
        </w:tc>
        <w:tc>
          <w:tcPr>
            <w:tcW w:w="3600" w:type="dxa"/>
            <w:vAlign w:val="bottom"/>
          </w:tcPr>
          <w:p>
            <w:pPr>
              <w:ind w:left="600"/>
              <w:spacing w:after="0"/>
              <w:rPr>
                <w:sz w:val="20"/>
                <w:szCs w:val="20"/>
                <w:color w:val="auto"/>
              </w:rPr>
            </w:pPr>
            <w:r>
              <w:rPr>
                <w:rFonts w:ascii="Arial" w:cs="Arial" w:eastAsia="Arial" w:hAnsi="Arial"/>
                <w:sz w:val="16"/>
                <w:szCs w:val="16"/>
                <w:color w:val="auto"/>
              </w:rPr>
              <w:t>Portugal</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Rocade AB</w:t>
            </w:r>
          </w:p>
        </w:tc>
        <w:tc>
          <w:tcPr>
            <w:tcW w:w="3600" w:type="dxa"/>
            <w:vAlign w:val="bottom"/>
          </w:tcPr>
          <w:p>
            <w:pPr>
              <w:ind w:left="600"/>
              <w:spacing w:after="0"/>
              <w:rPr>
                <w:sz w:val="20"/>
                <w:szCs w:val="20"/>
                <w:color w:val="auto"/>
              </w:rPr>
            </w:pPr>
            <w:r>
              <w:rPr>
                <w:rFonts w:ascii="Arial" w:cs="Arial" w:eastAsia="Arial" w:hAnsi="Arial"/>
                <w:sz w:val="16"/>
                <w:szCs w:val="16"/>
                <w:color w:val="auto"/>
              </w:rPr>
              <w:t>Sweden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Rocade Assist</w:t>
            </w:r>
          </w:p>
        </w:tc>
        <w:tc>
          <w:tcPr>
            <w:tcW w:w="3600" w:type="dxa"/>
            <w:vAlign w:val="bottom"/>
          </w:tcPr>
          <w:p>
            <w:pPr>
              <w:ind w:left="600"/>
              <w:spacing w:after="0"/>
              <w:rPr>
                <w:sz w:val="20"/>
                <w:szCs w:val="20"/>
                <w:color w:val="auto"/>
              </w:rPr>
            </w:pPr>
            <w:r>
              <w:rPr>
                <w:rFonts w:ascii="Arial" w:cs="Arial" w:eastAsia="Arial" w:hAnsi="Arial"/>
                <w:sz w:val="16"/>
                <w:szCs w:val="16"/>
                <w:color w:val="auto"/>
              </w:rPr>
              <w:t>Sweden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Seyahat Dagitim Sisternleri A.S.</w:t>
            </w:r>
          </w:p>
        </w:tc>
        <w:tc>
          <w:tcPr>
            <w:tcW w:w="3600" w:type="dxa"/>
            <w:vAlign w:val="bottom"/>
          </w:tcPr>
          <w:p>
            <w:pPr>
              <w:ind w:left="600"/>
              <w:spacing w:after="0"/>
              <w:rPr>
                <w:sz w:val="20"/>
                <w:szCs w:val="20"/>
                <w:color w:val="auto"/>
              </w:rPr>
            </w:pPr>
            <w:r>
              <w:rPr>
                <w:rFonts w:ascii="Arial" w:cs="Arial" w:eastAsia="Arial" w:hAnsi="Arial"/>
                <w:sz w:val="16"/>
                <w:szCs w:val="16"/>
                <w:color w:val="auto"/>
              </w:rPr>
              <w:t>Turkey</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Sociedad Technologica S de RL de CV</w:t>
            </w:r>
          </w:p>
        </w:tc>
        <w:tc>
          <w:tcPr>
            <w:tcW w:w="3600" w:type="dxa"/>
            <w:vAlign w:val="bottom"/>
          </w:tcPr>
          <w:p>
            <w:pPr>
              <w:ind w:left="600"/>
              <w:spacing w:after="0"/>
              <w:rPr>
                <w:sz w:val="20"/>
                <w:szCs w:val="20"/>
                <w:color w:val="auto"/>
              </w:rPr>
            </w:pPr>
            <w:r>
              <w:rPr>
                <w:rFonts w:ascii="Arial" w:cs="Arial" w:eastAsia="Arial" w:hAnsi="Arial"/>
                <w:sz w:val="16"/>
                <w:szCs w:val="16"/>
                <w:color w:val="auto"/>
              </w:rPr>
              <w:t>Mexico</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South Pacific I</w:t>
            </w:r>
          </w:p>
        </w:tc>
        <w:tc>
          <w:tcPr>
            <w:tcW w:w="3600" w:type="dxa"/>
            <w:vAlign w:val="bottom"/>
          </w:tcPr>
          <w:p>
            <w:pPr>
              <w:ind w:left="600"/>
              <w:spacing w:after="0"/>
              <w:rPr>
                <w:sz w:val="20"/>
                <w:szCs w:val="20"/>
                <w:color w:val="auto"/>
              </w:rPr>
            </w:pPr>
            <w:r>
              <w:rPr>
                <w:rFonts w:ascii="Arial" w:cs="Arial" w:eastAsia="Arial" w:hAnsi="Arial"/>
                <w:sz w:val="16"/>
                <w:szCs w:val="16"/>
                <w:color w:val="auto"/>
              </w:rPr>
              <w:t>Australia</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Suomi Oy</w:t>
            </w:r>
          </w:p>
        </w:tc>
        <w:tc>
          <w:tcPr>
            <w:tcW w:w="3600" w:type="dxa"/>
            <w:vAlign w:val="bottom"/>
          </w:tcPr>
          <w:p>
            <w:pPr>
              <w:ind w:left="600"/>
              <w:spacing w:after="0"/>
              <w:rPr>
                <w:sz w:val="20"/>
                <w:szCs w:val="20"/>
                <w:color w:val="auto"/>
              </w:rPr>
            </w:pPr>
            <w:r>
              <w:rPr>
                <w:rFonts w:ascii="Arial" w:cs="Arial" w:eastAsia="Arial" w:hAnsi="Arial"/>
                <w:sz w:val="16"/>
                <w:szCs w:val="16"/>
                <w:color w:val="auto"/>
              </w:rPr>
              <w:t>Finland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Sverige AB</w:t>
            </w:r>
          </w:p>
        </w:tc>
        <w:tc>
          <w:tcPr>
            <w:tcW w:w="3600" w:type="dxa"/>
            <w:vAlign w:val="bottom"/>
          </w:tcPr>
          <w:p>
            <w:pPr>
              <w:ind w:left="600"/>
              <w:spacing w:after="0"/>
              <w:rPr>
                <w:sz w:val="20"/>
                <w:szCs w:val="20"/>
                <w:color w:val="auto"/>
              </w:rPr>
            </w:pPr>
            <w:r>
              <w:rPr>
                <w:rFonts w:ascii="Arial" w:cs="Arial" w:eastAsia="Arial" w:hAnsi="Arial"/>
                <w:sz w:val="16"/>
                <w:szCs w:val="16"/>
                <w:color w:val="auto"/>
              </w:rPr>
              <w:t>Sweden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Technology Holdings Pte. Ltd.</w:t>
            </w:r>
          </w:p>
        </w:tc>
        <w:tc>
          <w:tcPr>
            <w:tcW w:w="3600" w:type="dxa"/>
            <w:vAlign w:val="bottom"/>
          </w:tcPr>
          <w:p>
            <w:pPr>
              <w:ind w:left="600"/>
              <w:spacing w:after="0"/>
              <w:rPr>
                <w:sz w:val="20"/>
                <w:szCs w:val="20"/>
                <w:color w:val="auto"/>
              </w:rPr>
            </w:pPr>
            <w:r>
              <w:rPr>
                <w:rFonts w:ascii="Arial" w:cs="Arial" w:eastAsia="Arial" w:hAnsi="Arial"/>
                <w:sz w:val="16"/>
                <w:szCs w:val="16"/>
                <w:color w:val="auto"/>
              </w:rPr>
              <w:t>Singapore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Technology Holland II B.V.</w:t>
            </w:r>
          </w:p>
        </w:tc>
        <w:tc>
          <w:tcPr>
            <w:tcW w:w="3600" w:type="dxa"/>
            <w:vAlign w:val="bottom"/>
          </w:tcPr>
          <w:p>
            <w:pPr>
              <w:ind w:left="600"/>
              <w:spacing w:after="0"/>
              <w:rPr>
                <w:sz w:val="20"/>
                <w:szCs w:val="20"/>
                <w:color w:val="auto"/>
              </w:rPr>
            </w:pPr>
            <w:r>
              <w:rPr>
                <w:rFonts w:ascii="Arial" w:cs="Arial" w:eastAsia="Arial" w:hAnsi="Arial"/>
                <w:sz w:val="16"/>
                <w:szCs w:val="16"/>
                <w:color w:val="auto"/>
              </w:rPr>
              <w:t>Netherlands</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International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Ireland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Asia Pacific</w:t>
            </w:r>
          </w:p>
        </w:tc>
        <w:tc>
          <w:tcPr>
            <w:tcW w:w="3600" w:type="dxa"/>
            <w:vAlign w:val="bottom"/>
          </w:tcPr>
          <w:p>
            <w:pPr>
              <w:ind w:left="600"/>
              <w:spacing w:after="0"/>
              <w:rPr>
                <w:sz w:val="20"/>
                <w:szCs w:val="20"/>
                <w:color w:val="auto"/>
              </w:rPr>
            </w:pPr>
            <w:r>
              <w:rPr>
                <w:rFonts w:ascii="Arial" w:cs="Arial" w:eastAsia="Arial" w:hAnsi="Arial"/>
                <w:sz w:val="16"/>
                <w:szCs w:val="16"/>
                <w:color w:val="auto"/>
              </w:rPr>
              <w:t>Singapore</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(Australia) Pty Ltd.</w:t>
            </w:r>
          </w:p>
        </w:tc>
        <w:tc>
          <w:tcPr>
            <w:tcW w:w="3600" w:type="dxa"/>
            <w:vAlign w:val="bottom"/>
          </w:tcPr>
          <w:p>
            <w:pPr>
              <w:ind w:left="600"/>
              <w:spacing w:after="0"/>
              <w:rPr>
                <w:sz w:val="20"/>
                <w:szCs w:val="20"/>
                <w:color w:val="auto"/>
              </w:rPr>
            </w:pPr>
            <w:r>
              <w:rPr>
                <w:rFonts w:ascii="Arial" w:cs="Arial" w:eastAsia="Arial" w:hAnsi="Arial"/>
                <w:sz w:val="16"/>
                <w:szCs w:val="16"/>
                <w:color w:val="auto"/>
              </w:rPr>
              <w:t>Australia</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(Bangladesh)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Bangladesh</w:t>
            </w: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(Brunei) Sdn Bhd</w:t>
            </w:r>
          </w:p>
        </w:tc>
        <w:tc>
          <w:tcPr>
            <w:tcW w:w="3600" w:type="dxa"/>
            <w:vAlign w:val="bottom"/>
          </w:tcPr>
          <w:p>
            <w:pPr>
              <w:ind w:left="600"/>
              <w:spacing w:after="0"/>
              <w:rPr>
                <w:sz w:val="20"/>
                <w:szCs w:val="20"/>
                <w:color w:val="auto"/>
              </w:rPr>
            </w:pPr>
            <w:r>
              <w:rPr>
                <w:rFonts w:ascii="Arial" w:cs="Arial" w:eastAsia="Arial" w:hAnsi="Arial"/>
                <w:sz w:val="16"/>
                <w:szCs w:val="16"/>
                <w:color w:val="auto"/>
              </w:rPr>
              <w:t>Brunei Darussalam</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(Central Asia) LLP</w:t>
            </w:r>
          </w:p>
        </w:tc>
        <w:tc>
          <w:tcPr>
            <w:tcW w:w="3600" w:type="dxa"/>
            <w:vAlign w:val="bottom"/>
          </w:tcPr>
          <w:p>
            <w:pPr>
              <w:ind w:left="600"/>
              <w:spacing w:after="0"/>
              <w:rPr>
                <w:sz w:val="20"/>
                <w:szCs w:val="20"/>
                <w:color w:val="auto"/>
              </w:rPr>
            </w:pPr>
            <w:r>
              <w:rPr>
                <w:rFonts w:ascii="Arial" w:cs="Arial" w:eastAsia="Arial" w:hAnsi="Arial"/>
                <w:sz w:val="16"/>
                <w:szCs w:val="16"/>
                <w:color w:val="auto"/>
              </w:rPr>
              <w:t>Kazakhstan</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(Hong Kong)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Hong Kong</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(India) Private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India</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(Lao) Co., Ltd.</w:t>
            </w:r>
          </w:p>
        </w:tc>
        <w:tc>
          <w:tcPr>
            <w:tcW w:w="3600" w:type="dxa"/>
            <w:vAlign w:val="bottom"/>
          </w:tcPr>
          <w:p>
            <w:pPr>
              <w:ind w:left="600"/>
              <w:spacing w:after="0"/>
              <w:rPr>
                <w:sz w:val="20"/>
                <w:szCs w:val="20"/>
                <w:color w:val="auto"/>
              </w:rPr>
            </w:pPr>
            <w:r>
              <w:rPr>
                <w:rFonts w:ascii="Arial" w:cs="Arial" w:eastAsia="Arial" w:hAnsi="Arial"/>
                <w:sz w:val="16"/>
                <w:szCs w:val="16"/>
                <w:color w:val="auto"/>
              </w:rPr>
              <w:t>Lao People's Democratic Republic</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(Malaysia) Sdn. Bhd.</w:t>
            </w:r>
          </w:p>
        </w:tc>
        <w:tc>
          <w:tcPr>
            <w:tcW w:w="3600" w:type="dxa"/>
            <w:vAlign w:val="bottom"/>
          </w:tcPr>
          <w:p>
            <w:pPr>
              <w:ind w:left="600"/>
              <w:spacing w:after="0"/>
              <w:rPr>
                <w:sz w:val="20"/>
                <w:szCs w:val="20"/>
                <w:color w:val="auto"/>
              </w:rPr>
            </w:pPr>
            <w:r>
              <w:rPr>
                <w:rFonts w:ascii="Arial" w:cs="Arial" w:eastAsia="Arial" w:hAnsi="Arial"/>
                <w:sz w:val="16"/>
                <w:szCs w:val="16"/>
                <w:color w:val="auto"/>
              </w:rPr>
              <w:t>Malaysia</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(New Zealand)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New Zealand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(Pakistan) Private Limited</w:t>
            </w:r>
          </w:p>
        </w:tc>
        <w:tc>
          <w:tcPr>
            <w:tcW w:w="3600" w:type="dxa"/>
            <w:vAlign w:val="bottom"/>
          </w:tcPr>
          <w:p>
            <w:pPr>
              <w:ind w:left="600"/>
              <w:spacing w:after="0"/>
              <w:rPr>
                <w:sz w:val="20"/>
                <w:szCs w:val="20"/>
                <w:color w:val="auto"/>
              </w:rPr>
            </w:pPr>
            <w:r>
              <w:rPr>
                <w:rFonts w:ascii="Arial" w:cs="Arial" w:eastAsia="Arial" w:hAnsi="Arial"/>
                <w:sz w:val="16"/>
                <w:szCs w:val="16"/>
                <w:color w:val="auto"/>
              </w:rPr>
              <w:t>Pakistan</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(Philippines) Inc.</w:t>
            </w:r>
          </w:p>
        </w:tc>
        <w:tc>
          <w:tcPr>
            <w:tcW w:w="3600" w:type="dxa"/>
            <w:vAlign w:val="bottom"/>
          </w:tcPr>
          <w:p>
            <w:pPr>
              <w:ind w:left="600"/>
              <w:spacing w:after="0"/>
              <w:rPr>
                <w:sz w:val="20"/>
                <w:szCs w:val="20"/>
                <w:color w:val="auto"/>
              </w:rPr>
            </w:pPr>
            <w:r>
              <w:rPr>
                <w:rFonts w:ascii="Arial" w:cs="Arial" w:eastAsia="Arial" w:hAnsi="Arial"/>
                <w:sz w:val="16"/>
                <w:szCs w:val="16"/>
                <w:color w:val="auto"/>
              </w:rPr>
              <w:t>Philippines</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(Thailand) Ltd.</w:t>
            </w:r>
          </w:p>
        </w:tc>
        <w:tc>
          <w:tcPr>
            <w:tcW w:w="3600" w:type="dxa"/>
            <w:vAlign w:val="bottom"/>
          </w:tcPr>
          <w:p>
            <w:pPr>
              <w:ind w:left="600"/>
              <w:spacing w:after="0"/>
              <w:rPr>
                <w:sz w:val="20"/>
                <w:szCs w:val="20"/>
                <w:color w:val="auto"/>
              </w:rPr>
            </w:pPr>
            <w:r>
              <w:rPr>
                <w:rFonts w:ascii="Arial" w:cs="Arial" w:eastAsia="Arial" w:hAnsi="Arial"/>
                <w:sz w:val="16"/>
                <w:szCs w:val="16"/>
                <w:color w:val="auto"/>
              </w:rPr>
              <w:t>Thailand</w:t>
            </w:r>
          </w:p>
        </w:tc>
        <w:tc>
          <w:tcPr>
            <w:tcW w:w="880" w:type="dxa"/>
            <w:vAlign w:val="bottom"/>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Eqypt LLC</w:t>
            </w:r>
          </w:p>
        </w:tc>
        <w:tc>
          <w:tcPr>
            <w:tcW w:w="3600" w:type="dxa"/>
            <w:vAlign w:val="bottom"/>
          </w:tcPr>
          <w:p>
            <w:pPr>
              <w:ind w:left="600"/>
              <w:spacing w:after="0"/>
              <w:rPr>
                <w:sz w:val="20"/>
                <w:szCs w:val="20"/>
                <w:color w:val="auto"/>
              </w:rPr>
            </w:pPr>
            <w:r>
              <w:rPr>
                <w:rFonts w:ascii="Arial" w:cs="Arial" w:eastAsia="Arial" w:hAnsi="Arial"/>
                <w:sz w:val="16"/>
                <w:szCs w:val="16"/>
                <w:color w:val="auto"/>
              </w:rPr>
              <w:t>Egypt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5840" w:type="dxa"/>
            <w:vAlign w:val="bottom"/>
          </w:tcPr>
          <w:p>
            <w:pPr>
              <w:spacing w:after="0"/>
              <w:rPr>
                <w:sz w:val="20"/>
                <w:szCs w:val="20"/>
                <w:color w:val="auto"/>
              </w:rPr>
            </w:pPr>
            <w:r>
              <w:rPr>
                <w:rFonts w:ascii="Arial" w:cs="Arial" w:eastAsia="Arial" w:hAnsi="Arial"/>
                <w:sz w:val="16"/>
                <w:szCs w:val="16"/>
                <w:color w:val="auto"/>
              </w:rPr>
              <w:t>Sabre Travel Network Jordan LLC</w:t>
            </w:r>
          </w:p>
        </w:tc>
        <w:tc>
          <w:tcPr>
            <w:tcW w:w="3600" w:type="dxa"/>
            <w:vAlign w:val="bottom"/>
          </w:tcPr>
          <w:p>
            <w:pPr>
              <w:ind w:left="600"/>
              <w:spacing w:after="0"/>
              <w:rPr>
                <w:sz w:val="20"/>
                <w:szCs w:val="20"/>
                <w:color w:val="auto"/>
              </w:rPr>
            </w:pPr>
            <w:r>
              <w:rPr>
                <w:rFonts w:ascii="Arial" w:cs="Arial" w:eastAsia="Arial" w:hAnsi="Arial"/>
                <w:sz w:val="16"/>
                <w:szCs w:val="16"/>
                <w:color w:val="auto"/>
              </w:rPr>
              <w:t>Jordan</w:t>
            </w:r>
          </w:p>
        </w:tc>
        <w:tc>
          <w:tcPr>
            <w:tcW w:w="880" w:type="dxa"/>
            <w:vAlign w:val="bottom"/>
          </w:tcPr>
          <w:p>
            <w:pPr>
              <w:spacing w:after="0"/>
              <w:rPr>
                <w:sz w:val="21"/>
                <w:szCs w:val="21"/>
                <w:color w:val="auto"/>
              </w:rPr>
            </w:pPr>
          </w:p>
        </w:tc>
      </w:tr>
    </w:tbl>
    <w:p>
      <w:pPr>
        <w:sectPr>
          <w:pgSz w:w="11900" w:h="16838" w:orient="portrait"/>
          <w:cols w:equalWidth="0" w:num="1">
            <w:col w:w="10320"/>
          </w:cols>
          <w:pgMar w:left="280" w:top="439" w:right="1299" w:bottom="811"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20"/>
                <w:szCs w:val="20"/>
                <w:color w:val="auto"/>
              </w:rPr>
            </w:pPr>
            <w:r>
              <w:rPr>
                <w:rFonts w:ascii="Arial" w:cs="Arial" w:eastAsia="Arial" w:hAnsi="Arial"/>
                <w:sz w:val="16"/>
                <w:szCs w:val="16"/>
                <w:color w:val="auto"/>
              </w:rPr>
              <w:t>Sabre Travel Network Lanka (Private)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Sri Lanka</w:t>
            </w:r>
          </w:p>
        </w:tc>
        <w:tc>
          <w:tcPr>
            <w:tcW w:w="1620" w:type="dxa"/>
            <w:vAlign w:val="bottom"/>
          </w:tcPr>
          <w:p>
            <w:pPr>
              <w:jc w:val="center"/>
              <w:ind w:left="1099"/>
              <w:spacing w:after="0"/>
              <w:rPr>
                <w:sz w:val="20"/>
                <w:szCs w:val="20"/>
                <w:color w:val="auto"/>
              </w:rPr>
            </w:pPr>
            <w:r>
              <w:rPr>
                <w:rFonts w:ascii="Arial" w:cs="Arial" w:eastAsia="Arial" w:hAnsi="Arial"/>
                <w:sz w:val="16"/>
                <w:szCs w:val="16"/>
                <w:color w:val="auto"/>
                <w:w w:val="99"/>
              </w:rPr>
              <w:t>60%</w:t>
            </w: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Travel Network Middle East W.L.L.</w:t>
            </w:r>
          </w:p>
        </w:tc>
        <w:tc>
          <w:tcPr>
            <w:tcW w:w="3420" w:type="dxa"/>
            <w:vAlign w:val="bottom"/>
          </w:tcPr>
          <w:p>
            <w:pPr>
              <w:ind w:left="1100"/>
              <w:spacing w:after="0"/>
              <w:rPr>
                <w:sz w:val="20"/>
                <w:szCs w:val="20"/>
                <w:color w:val="auto"/>
              </w:rPr>
            </w:pPr>
            <w:r>
              <w:rPr>
                <w:rFonts w:ascii="Arial" w:cs="Arial" w:eastAsia="Arial" w:hAnsi="Arial"/>
                <w:sz w:val="16"/>
                <w:szCs w:val="16"/>
                <w:color w:val="auto"/>
              </w:rPr>
              <w:t>Bahrain</w:t>
            </w:r>
          </w:p>
        </w:tc>
        <w:tc>
          <w:tcPr>
            <w:tcW w:w="1620" w:type="dxa"/>
            <w:vAlign w:val="bottom"/>
          </w:tcPr>
          <w:p>
            <w:pPr>
              <w:jc w:val="center"/>
              <w:ind w:left="1099"/>
              <w:spacing w:after="0"/>
              <w:rPr>
                <w:sz w:val="20"/>
                <w:szCs w:val="20"/>
                <w:color w:val="auto"/>
              </w:rPr>
            </w:pPr>
            <w:r>
              <w:rPr>
                <w:rFonts w:ascii="Arial" w:cs="Arial" w:eastAsia="Arial" w:hAnsi="Arial"/>
                <w:sz w:val="16"/>
                <w:szCs w:val="16"/>
                <w:color w:val="auto"/>
                <w:w w:val="99"/>
              </w:rPr>
              <w:t>60%</w:t>
            </w: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Travel Network Romania S.R.L.</w:t>
            </w:r>
          </w:p>
        </w:tc>
        <w:tc>
          <w:tcPr>
            <w:tcW w:w="3420" w:type="dxa"/>
            <w:vAlign w:val="bottom"/>
          </w:tcPr>
          <w:p>
            <w:pPr>
              <w:ind w:left="1100"/>
              <w:spacing w:after="0"/>
              <w:rPr>
                <w:sz w:val="20"/>
                <w:szCs w:val="20"/>
                <w:color w:val="auto"/>
              </w:rPr>
            </w:pPr>
            <w:r>
              <w:rPr>
                <w:rFonts w:ascii="Arial" w:cs="Arial" w:eastAsia="Arial" w:hAnsi="Arial"/>
                <w:sz w:val="16"/>
                <w:szCs w:val="16"/>
                <w:color w:val="auto"/>
              </w:rPr>
              <w:t>Romania</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Travel Network Southern Africa (Proprietary)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South Africa</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Travel Network Taiwan Ltd.</w:t>
            </w:r>
          </w:p>
        </w:tc>
        <w:tc>
          <w:tcPr>
            <w:tcW w:w="3420" w:type="dxa"/>
            <w:vAlign w:val="bottom"/>
          </w:tcPr>
          <w:p>
            <w:pPr>
              <w:ind w:left="1100"/>
              <w:spacing w:after="0"/>
              <w:rPr>
                <w:sz w:val="20"/>
                <w:szCs w:val="20"/>
                <w:color w:val="auto"/>
              </w:rPr>
            </w:pPr>
            <w:r>
              <w:rPr>
                <w:rFonts w:ascii="Arial" w:cs="Arial" w:eastAsia="Arial" w:hAnsi="Arial"/>
                <w:sz w:val="16"/>
                <w:szCs w:val="16"/>
                <w:color w:val="auto"/>
              </w:rPr>
              <w:t>Taiwan</w:t>
            </w:r>
          </w:p>
        </w:tc>
        <w:tc>
          <w:tcPr>
            <w:tcW w:w="1620" w:type="dxa"/>
            <w:vAlign w:val="bottom"/>
          </w:tcPr>
          <w:p>
            <w:pPr>
              <w:jc w:val="center"/>
              <w:ind w:left="1079"/>
              <w:spacing w:after="0"/>
              <w:rPr>
                <w:sz w:val="20"/>
                <w:szCs w:val="20"/>
                <w:color w:val="auto"/>
              </w:rPr>
            </w:pPr>
            <w:r>
              <w:rPr>
                <w:rFonts w:ascii="Arial" w:cs="Arial" w:eastAsia="Arial" w:hAnsi="Arial"/>
                <w:sz w:val="16"/>
                <w:szCs w:val="16"/>
                <w:color w:val="auto"/>
              </w:rPr>
              <w:t>4.39%</w:t>
            </w: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Travel Technologies (Private)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India</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UK Marketing Ltd.</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Kingdom</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Ukraine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Kingdom</w:t>
            </w:r>
          </w:p>
        </w:tc>
        <w:tc>
          <w:tcPr>
            <w:tcW w:w="1620" w:type="dxa"/>
            <w:vAlign w:val="bottom"/>
          </w:tcPr>
          <w:p>
            <w:pPr>
              <w:jc w:val="center"/>
              <w:ind w:left="1099"/>
              <w:spacing w:after="0"/>
              <w:rPr>
                <w:sz w:val="20"/>
                <w:szCs w:val="20"/>
                <w:color w:val="auto"/>
              </w:rPr>
            </w:pPr>
            <w:r>
              <w:rPr>
                <w:rFonts w:ascii="Arial" w:cs="Arial" w:eastAsia="Arial" w:hAnsi="Arial"/>
                <w:sz w:val="16"/>
                <w:szCs w:val="16"/>
                <w:color w:val="auto"/>
                <w:w w:val="99"/>
              </w:rPr>
              <w:t>30%</w:t>
            </w: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Ukraine LLC</w:t>
            </w:r>
          </w:p>
        </w:tc>
        <w:tc>
          <w:tcPr>
            <w:tcW w:w="3420" w:type="dxa"/>
            <w:vAlign w:val="bottom"/>
          </w:tcPr>
          <w:p>
            <w:pPr>
              <w:ind w:left="1100"/>
              <w:spacing w:after="0"/>
              <w:rPr>
                <w:sz w:val="20"/>
                <w:szCs w:val="20"/>
                <w:color w:val="auto"/>
              </w:rPr>
            </w:pPr>
            <w:r>
              <w:rPr>
                <w:rFonts w:ascii="Arial" w:cs="Arial" w:eastAsia="Arial" w:hAnsi="Arial"/>
                <w:sz w:val="16"/>
                <w:szCs w:val="16"/>
                <w:color w:val="auto"/>
              </w:rPr>
              <w:t>Ukraine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Vietnam JSC</w:t>
            </w:r>
          </w:p>
        </w:tc>
        <w:tc>
          <w:tcPr>
            <w:tcW w:w="3420" w:type="dxa"/>
            <w:vAlign w:val="bottom"/>
          </w:tcPr>
          <w:p>
            <w:pPr>
              <w:ind w:left="1100"/>
              <w:spacing w:after="0"/>
              <w:rPr>
                <w:sz w:val="20"/>
                <w:szCs w:val="20"/>
                <w:color w:val="auto"/>
              </w:rPr>
            </w:pPr>
            <w:r>
              <w:rPr>
                <w:rFonts w:ascii="Arial" w:cs="Arial" w:eastAsia="Arial" w:hAnsi="Arial"/>
                <w:sz w:val="16"/>
                <w:szCs w:val="16"/>
                <w:color w:val="auto"/>
              </w:rPr>
              <w:t>Vietnam</w:t>
            </w:r>
          </w:p>
        </w:tc>
        <w:tc>
          <w:tcPr>
            <w:tcW w:w="1620" w:type="dxa"/>
            <w:vAlign w:val="bottom"/>
          </w:tcPr>
          <w:p>
            <w:pPr>
              <w:jc w:val="center"/>
              <w:ind w:left="1099"/>
              <w:spacing w:after="0"/>
              <w:rPr>
                <w:sz w:val="20"/>
                <w:szCs w:val="20"/>
                <w:color w:val="auto"/>
              </w:rPr>
            </w:pPr>
            <w:r>
              <w:rPr>
                <w:rFonts w:ascii="Arial" w:cs="Arial" w:eastAsia="Arial" w:hAnsi="Arial"/>
                <w:sz w:val="16"/>
                <w:szCs w:val="16"/>
                <w:color w:val="auto"/>
                <w:w w:val="99"/>
              </w:rPr>
              <w:t>24%</w:t>
            </w: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 Zenon Cyprus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Cyprus</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SabreMark G.P., LLC</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SabreMark Limited Partnership</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Switch Automated Booking Services Co WLL</w:t>
            </w:r>
          </w:p>
        </w:tc>
        <w:tc>
          <w:tcPr>
            <w:tcW w:w="3420" w:type="dxa"/>
            <w:vAlign w:val="bottom"/>
          </w:tcPr>
          <w:p>
            <w:pPr>
              <w:ind w:left="1100"/>
              <w:spacing w:after="0"/>
              <w:rPr>
                <w:sz w:val="20"/>
                <w:szCs w:val="20"/>
                <w:color w:val="auto"/>
              </w:rPr>
            </w:pPr>
            <w:r>
              <w:rPr>
                <w:rFonts w:ascii="Arial" w:cs="Arial" w:eastAsia="Arial" w:hAnsi="Arial"/>
                <w:sz w:val="16"/>
                <w:szCs w:val="16"/>
                <w:color w:val="auto"/>
              </w:rPr>
              <w:t>Kuwait</w:t>
            </w:r>
          </w:p>
        </w:tc>
        <w:tc>
          <w:tcPr>
            <w:tcW w:w="1620" w:type="dxa"/>
            <w:vAlign w:val="bottom"/>
          </w:tcPr>
          <w:p>
            <w:pPr>
              <w:jc w:val="center"/>
              <w:ind w:left="1099"/>
              <w:spacing w:after="0"/>
              <w:rPr>
                <w:sz w:val="20"/>
                <w:szCs w:val="20"/>
                <w:color w:val="auto"/>
              </w:rPr>
            </w:pPr>
            <w:r>
              <w:rPr>
                <w:rFonts w:ascii="Arial" w:cs="Arial" w:eastAsia="Arial" w:hAnsi="Arial"/>
                <w:sz w:val="16"/>
                <w:szCs w:val="16"/>
                <w:color w:val="auto"/>
                <w:w w:val="99"/>
              </w:rPr>
              <w:t>49%</w:t>
            </w: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TG India Holdings Company</w:t>
            </w:r>
          </w:p>
        </w:tc>
        <w:tc>
          <w:tcPr>
            <w:tcW w:w="3420" w:type="dxa"/>
            <w:vAlign w:val="bottom"/>
          </w:tcPr>
          <w:p>
            <w:pPr>
              <w:ind w:left="1100"/>
              <w:spacing w:after="0"/>
              <w:rPr>
                <w:sz w:val="20"/>
                <w:szCs w:val="20"/>
                <w:color w:val="auto"/>
              </w:rPr>
            </w:pPr>
            <w:r>
              <w:rPr>
                <w:rFonts w:ascii="Arial" w:cs="Arial" w:eastAsia="Arial" w:hAnsi="Arial"/>
                <w:sz w:val="16"/>
                <w:szCs w:val="16"/>
                <w:color w:val="auto"/>
              </w:rPr>
              <w:t>Cayman Islands</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TG India Management Company</w:t>
            </w:r>
          </w:p>
        </w:tc>
        <w:tc>
          <w:tcPr>
            <w:tcW w:w="3420" w:type="dxa"/>
            <w:vAlign w:val="bottom"/>
          </w:tcPr>
          <w:p>
            <w:pPr>
              <w:ind w:left="1100"/>
              <w:spacing w:after="0"/>
              <w:rPr>
                <w:sz w:val="20"/>
                <w:szCs w:val="20"/>
                <w:color w:val="auto"/>
              </w:rPr>
            </w:pPr>
            <w:r>
              <w:rPr>
                <w:rFonts w:ascii="Arial" w:cs="Arial" w:eastAsia="Arial" w:hAnsi="Arial"/>
                <w:sz w:val="16"/>
                <w:szCs w:val="16"/>
                <w:color w:val="auto"/>
              </w:rPr>
              <w:t>Cayman Islands</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Travelocity Global Technologies Private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India</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TravLynx LLC</w:t>
            </w:r>
          </w:p>
        </w:tc>
        <w:tc>
          <w:tcPr>
            <w:tcW w:w="3420" w:type="dxa"/>
            <w:vAlign w:val="bottom"/>
          </w:tcPr>
          <w:p>
            <w:pPr>
              <w:ind w:left="1100"/>
              <w:spacing w:after="0"/>
              <w:rPr>
                <w:sz w:val="20"/>
                <w:szCs w:val="20"/>
                <w:color w:val="auto"/>
              </w:rPr>
            </w:pPr>
            <w:r>
              <w:rPr>
                <w:rFonts w:ascii="Arial" w:cs="Arial" w:eastAsia="Arial" w:hAnsi="Arial"/>
                <w:sz w:val="16"/>
                <w:szCs w:val="16"/>
                <w:color w:val="auto"/>
              </w:rPr>
              <w:t>Florida</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GmbH</w:t>
            </w:r>
          </w:p>
        </w:tc>
        <w:tc>
          <w:tcPr>
            <w:tcW w:w="3420" w:type="dxa"/>
            <w:vAlign w:val="bottom"/>
          </w:tcPr>
          <w:p>
            <w:pPr>
              <w:ind w:left="1100"/>
              <w:spacing w:after="0"/>
              <w:rPr>
                <w:sz w:val="20"/>
                <w:szCs w:val="20"/>
                <w:color w:val="auto"/>
              </w:rPr>
            </w:pPr>
            <w:r>
              <w:rPr>
                <w:rFonts w:ascii="Arial" w:cs="Arial" w:eastAsia="Arial" w:hAnsi="Arial"/>
                <w:sz w:val="16"/>
                <w:szCs w:val="16"/>
                <w:color w:val="auto"/>
              </w:rPr>
              <w:t>Germany</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Australia Pty Ltd</w:t>
            </w:r>
          </w:p>
        </w:tc>
        <w:tc>
          <w:tcPr>
            <w:tcW w:w="3420" w:type="dxa"/>
            <w:vAlign w:val="bottom"/>
          </w:tcPr>
          <w:p>
            <w:pPr>
              <w:ind w:left="1100"/>
              <w:spacing w:after="0"/>
              <w:rPr>
                <w:sz w:val="20"/>
                <w:szCs w:val="20"/>
                <w:color w:val="auto"/>
              </w:rPr>
            </w:pPr>
            <w:r>
              <w:rPr>
                <w:rFonts w:ascii="Arial" w:cs="Arial" w:eastAsia="Arial" w:hAnsi="Arial"/>
                <w:sz w:val="16"/>
                <w:szCs w:val="16"/>
                <w:color w:val="auto"/>
              </w:rPr>
              <w:t>Australia</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Common, Inc.</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Europe</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Kingdom</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Holdings I, LLC</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Holdings, Inc.</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International B.V.</w:t>
            </w:r>
          </w:p>
        </w:tc>
        <w:tc>
          <w:tcPr>
            <w:tcW w:w="3420" w:type="dxa"/>
            <w:vAlign w:val="bottom"/>
          </w:tcPr>
          <w:p>
            <w:pPr>
              <w:ind w:left="1100"/>
              <w:spacing w:after="0"/>
              <w:rPr>
                <w:sz w:val="20"/>
                <w:szCs w:val="20"/>
                <w:color w:val="auto"/>
              </w:rPr>
            </w:pPr>
            <w:r>
              <w:rPr>
                <w:rFonts w:ascii="Arial" w:cs="Arial" w:eastAsia="Arial" w:hAnsi="Arial"/>
                <w:sz w:val="16"/>
                <w:szCs w:val="16"/>
                <w:color w:val="auto"/>
              </w:rPr>
              <w:t>Netherlands</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LLC</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LP</w:t>
            </w:r>
          </w:p>
        </w:tc>
        <w:tc>
          <w:tcPr>
            <w:tcW w:w="342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Sabre GmbH</w:t>
            </w:r>
          </w:p>
        </w:tc>
        <w:tc>
          <w:tcPr>
            <w:tcW w:w="3420" w:type="dxa"/>
            <w:vAlign w:val="bottom"/>
          </w:tcPr>
          <w:p>
            <w:pPr>
              <w:ind w:left="1100"/>
              <w:spacing w:after="0"/>
              <w:rPr>
                <w:sz w:val="20"/>
                <w:szCs w:val="20"/>
                <w:color w:val="auto"/>
              </w:rPr>
            </w:pPr>
            <w:r>
              <w:rPr>
                <w:rFonts w:ascii="Arial" w:cs="Arial" w:eastAsia="Arial" w:hAnsi="Arial"/>
                <w:sz w:val="16"/>
                <w:szCs w:val="16"/>
                <w:color w:val="auto"/>
              </w:rPr>
              <w:t>Germany</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TVL Travel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Kingdom</w:t>
            </w:r>
          </w:p>
        </w:tc>
        <w:tc>
          <w:tcPr>
            <w:tcW w:w="162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6"/>
                <w:szCs w:val="16"/>
                <w:color w:val="auto"/>
              </w:rPr>
              <w:t>Zuji Holdings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Cayman Islands</w:t>
            </w:r>
          </w:p>
        </w:tc>
        <w:tc>
          <w:tcPr>
            <w:tcW w:w="1620" w:type="dxa"/>
            <w:vAlign w:val="bottom"/>
          </w:tcPr>
          <w:p>
            <w:pPr>
              <w:spacing w:after="0"/>
              <w:rPr>
                <w:sz w:val="21"/>
                <w:szCs w:val="21"/>
                <w:color w:val="auto"/>
              </w:rPr>
            </w:pPr>
          </w:p>
        </w:tc>
      </w:tr>
    </w:tbl>
    <w:p>
      <w:pPr>
        <w:sectPr>
          <w:pgSz w:w="11900" w:h="16838" w:orient="portrait"/>
          <w:cols w:equalWidth="0" w:num="1">
            <w:col w:w="10380"/>
          </w:cols>
          <w:pgMar w:left="280" w:top="438" w:right="1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356" w:lineRule="exact"/>
        <w:rPr>
          <w:sz w:val="20"/>
          <w:szCs w:val="20"/>
          <w:color w:val="auto"/>
        </w:rPr>
      </w:pPr>
    </w:p>
    <w:p>
      <w:pPr>
        <w:ind w:left="340" w:right="520" w:hanging="332"/>
        <w:spacing w:after="0" w:line="246"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S-8 No. 333-231014) pertaining to the Sabre Corporation 2019 Omnibus Incentive Compensation Plan and the Sabre Corporation 2019 Director Equity Compensation Plan,</w:t>
      </w: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S-3 No. 333-224616) and related Prospectus of Sabre Corporation,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S-8 No. 333-211661) pertaining to the Sabre Corporation 2016 Omnibus Incentive Compensation Plan, and</w:t>
      </w:r>
    </w:p>
    <w:p>
      <w:pPr>
        <w:spacing w:after="0" w:line="5" w:lineRule="exact"/>
        <w:rPr>
          <w:rFonts w:ascii="Arial" w:cs="Arial" w:eastAsia="Arial" w:hAnsi="Arial"/>
          <w:sz w:val="16"/>
          <w:szCs w:val="16"/>
          <w:color w:val="auto"/>
        </w:rPr>
      </w:pPr>
    </w:p>
    <w:p>
      <w:pPr>
        <w:ind w:left="340" w:right="320" w:hanging="332"/>
        <w:spacing w:after="0" w:line="260"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S-8 No. 333-196056) pertaining to the Sovereign Holdings, Inc. Management Equity Incentive Plan, Sovereign Holdings, Inc. 2012 Management Equity Incentive Plan, and the Sabre Corporation 2014 Omnibus Incentive Compensation Plan;</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of our reports dated February 26, 2020, with respect to the consolidated financial statements and schedule of Sabre Corporation, and the effectiveness of internal control over financial reporting of Sabre Corporation, included in this Annual Report (Form 10-K) for the year ended December 31, 2019.</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Dallas, Texas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2020</w:t>
      </w:r>
    </w:p>
    <w:p>
      <w:pPr>
        <w:sectPr>
          <w:pgSz w:w="11900" w:h="16838" w:orient="portrait"/>
          <w:cols w:equalWidth="0" w:num="1">
            <w:col w:w="11420"/>
          </w:cols>
          <w:pgMar w:left="240" w:top="89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I, Sean Menke, certify that:</w:t>
      </w:r>
    </w:p>
    <w:p>
      <w:pPr>
        <w:spacing w:after="0" w:line="22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21"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300" w:right="340" w:hanging="320"/>
        <w:spacing w:after="0" w:line="260" w:lineRule="auto"/>
        <w:tabs>
          <w:tab w:leader="none" w:pos="12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20"/>
        <w:spacing w:after="0"/>
        <w:tabs>
          <w:tab w:leader="none" w:pos="700" w:val="left"/>
          <w:tab w:leader="none" w:pos="6520" w:val="left"/>
          <w:tab w:leader="none" w:pos="69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26, 2020</w:t>
      </w:r>
      <w:r>
        <w:rPr>
          <w:sz w:val="20"/>
          <w:szCs w:val="20"/>
          <w:color w:val="auto"/>
        </w:rPr>
        <w:tab/>
      </w:r>
      <w:r>
        <w:rPr>
          <w:rFonts w:ascii="Arial" w:cs="Arial" w:eastAsia="Arial" w:hAnsi="Arial"/>
          <w:sz w:val="16"/>
          <w:szCs w:val="16"/>
          <w:color w:val="auto"/>
        </w:rPr>
        <w:t>By:</w:t>
        <w:tab/>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19050</wp:posOffset>
            </wp:positionV>
            <wp:extent cx="28555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Sean Menke</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420"/>
          </w:cols>
          <w:pgMar w:left="240" w:top="999"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31.2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I, Douglas Barnett, certify that:</w:t>
      </w:r>
    </w:p>
    <w:p>
      <w:pPr>
        <w:spacing w:after="0" w:line="22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21"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300" w:right="340" w:hanging="320"/>
        <w:spacing w:after="0" w:line="260" w:lineRule="auto"/>
        <w:tabs>
          <w:tab w:leader="none" w:pos="12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20"/>
        <w:spacing w:after="0"/>
        <w:tabs>
          <w:tab w:leader="none" w:pos="640" w:val="left"/>
          <w:tab w:leader="none" w:pos="6500" w:val="left"/>
          <w:tab w:leader="none" w:pos="6880" w:val="left"/>
        </w:tabs>
        <w:rPr>
          <w:sz w:val="20"/>
          <w:szCs w:val="20"/>
          <w:color w:val="auto"/>
        </w:rPr>
      </w:pPr>
      <w:r>
        <w:rPr>
          <w:rFonts w:ascii="Arial" w:cs="Arial" w:eastAsia="Arial" w:hAnsi="Arial"/>
          <w:sz w:val="16"/>
          <w:szCs w:val="16"/>
          <w:color w:val="auto"/>
        </w:rPr>
        <w:t>Date:</w:t>
        <w:tab/>
        <w:t>February 26, 2020</w:t>
      </w:r>
      <w:r>
        <w:rPr>
          <w:sz w:val="20"/>
          <w:szCs w:val="20"/>
          <w:color w:val="auto"/>
        </w:rPr>
        <w:tab/>
      </w:r>
      <w:r>
        <w:rPr>
          <w:rFonts w:ascii="Arial" w:cs="Arial" w:eastAsia="Arial" w:hAnsi="Arial"/>
          <w:sz w:val="16"/>
          <w:szCs w:val="16"/>
          <w:color w:val="auto"/>
        </w:rPr>
        <w:t>By:</w:t>
        <w:tab/>
        <w:t>/s/ Douglas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19050</wp:posOffset>
            </wp:positionV>
            <wp:extent cx="28555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Douglas Barnett</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420"/>
          </w:cols>
          <w:pgMar w:left="240" w:top="99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80" w:hanging="328"/>
        <w:spacing w:after="0" w:line="26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2019 (the “Report”), filed on the date hereof with the Securities and Exchange Commission fully complies with the requirements of Section 13(a) or 15(d) of the Securities Exchange Act of 1934; and</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302" w:lineRule="exact"/>
        <w:rPr>
          <w:sz w:val="20"/>
          <w:szCs w:val="20"/>
          <w:color w:val="auto"/>
        </w:rPr>
      </w:pPr>
    </w:p>
    <w:p>
      <w:pPr>
        <w:ind w:left="20"/>
        <w:spacing w:after="0"/>
        <w:tabs>
          <w:tab w:leader="none" w:pos="700" w:val="left"/>
          <w:tab w:leader="none" w:pos="5600" w:val="left"/>
          <w:tab w:leader="none" w:pos="5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26, 2020</w:t>
      </w:r>
      <w:r>
        <w:rPr>
          <w:sz w:val="20"/>
          <w:szCs w:val="20"/>
          <w:color w:val="auto"/>
        </w:rPr>
        <w:tab/>
      </w:r>
      <w:r>
        <w:rPr>
          <w:rFonts w:ascii="Arial" w:cs="Arial" w:eastAsia="Arial" w:hAnsi="Arial"/>
          <w:sz w:val="16"/>
          <w:szCs w:val="16"/>
          <w:color w:val="auto"/>
        </w:rPr>
        <w:t>By:</w:t>
        <w:tab/>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19050</wp:posOffset>
            </wp:positionV>
            <wp:extent cx="3439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3"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Sean Menke</w:t>
      </w:r>
    </w:p>
    <w:p>
      <w:pPr>
        <w:spacing w:after="0" w:line="5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(principal executive officer of the registrant)</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89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80" w:hanging="328"/>
        <w:spacing w:after="0" w:line="26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2019 (the “Report”), filed on the date hereof with the Securities and Exchange Commission fully complies with the requirements of Section 13(a) or 15(d) of the Securities Exchange Act of 1934; and</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302" w:lineRule="exact"/>
        <w:rPr>
          <w:sz w:val="20"/>
          <w:szCs w:val="20"/>
          <w:color w:val="auto"/>
        </w:rPr>
      </w:pPr>
    </w:p>
    <w:p>
      <w:pPr>
        <w:ind w:left="20"/>
        <w:spacing w:after="0"/>
        <w:tabs>
          <w:tab w:leader="none" w:pos="680" w:val="left"/>
          <w:tab w:leader="none" w:pos="5620" w:val="left"/>
          <w:tab w:leader="none" w:pos="60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26, 2020</w:t>
      </w:r>
      <w:r>
        <w:rPr>
          <w:sz w:val="20"/>
          <w:szCs w:val="20"/>
          <w:color w:val="auto"/>
        </w:rPr>
        <w:tab/>
      </w:r>
      <w:r>
        <w:rPr>
          <w:rFonts w:ascii="Arial" w:cs="Arial" w:eastAsia="Arial" w:hAnsi="Arial"/>
          <w:sz w:val="16"/>
          <w:szCs w:val="16"/>
          <w:color w:val="auto"/>
        </w:rPr>
        <w:t>By:</w:t>
        <w:tab/>
        <w:t>/s/ Douglas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19050</wp:posOffset>
            </wp:positionV>
            <wp:extent cx="34220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Douglas Barnett</w:t>
      </w:r>
    </w:p>
    <w:p>
      <w:pPr>
        <w:spacing w:after="0" w:line="5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(principal financial officer of the registrant)</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2"/>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lvl w:ilvl="1">
      <w:lvlJc w:val="left"/>
      <w:lvlText w:val="%2."/>
      <w:numFmt w:val="lowerLetter"/>
      <w:start w:val="1"/>
    </w:lvl>
  </w:abstractNum>
  <w:abstractNum w:abstractNumId="17">
    <w:nsid w:val="3006C83E"/>
    <w:multiLevelType w:val="hybridMultilevel"/>
    <w:lvl w:ilvl="0">
      <w:lvlJc w:val="left"/>
      <w:lvlText w:val="%1"/>
      <w:numFmt w:val="decimal"/>
      <w:start w:val="1"/>
    </w:lvl>
    <w:lvl w:ilvl="1">
      <w:lvlJc w:val="left"/>
      <w:lvlText w:val="%2."/>
      <w:numFmt w:val="lowerLetter"/>
      <w:start w:val="3"/>
    </w:lvl>
  </w:abstractNum>
  <w:abstractNum w:abstractNumId="18">
    <w:nsid w:val="614FD4A1"/>
    <w:multiLevelType w:val="hybridMultilevel"/>
    <w:lvl w:ilvl="0">
      <w:lvlJc w:val="left"/>
      <w:lvlText w:val="(%1)"/>
      <w:numFmt w:val="decimal"/>
      <w:start w:val="4"/>
    </w:lvl>
    <w:lvl w:ilvl="1">
      <w:lvlJc w:val="left"/>
      <w:lvlText w:val="%2"/>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lvl w:ilvl="1">
      <w:lvlJc w:val="left"/>
      <w:lvlText w:val="\endash "/>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3"/>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41" Type="http://schemas.openxmlformats.org/officeDocument/2006/relationships/image" Target="media/image151.png"/><Relationship Id="rId242" Type="http://schemas.openxmlformats.org/officeDocument/2006/relationships/image" Target="media/image152.png"/><Relationship Id="rId243" Type="http://schemas.openxmlformats.org/officeDocument/2006/relationships/image" Target="media/image153.png"/><Relationship Id="rId244" Type="http://schemas.openxmlformats.org/officeDocument/2006/relationships/image" Target="media/image154.png"/><Relationship Id="rId245" Type="http://schemas.openxmlformats.org/officeDocument/2006/relationships/image" Target="media/image155.png"/><Relationship Id="rId246" Type="http://schemas.openxmlformats.org/officeDocument/2006/relationships/image" Target="media/image156.png"/><Relationship Id="rId247" Type="http://schemas.openxmlformats.org/officeDocument/2006/relationships/image" Target="media/image157.png"/><Relationship Id="rId248" Type="http://schemas.openxmlformats.org/officeDocument/2006/relationships/image" Target="media/image158.png"/><Relationship Id="rId249" Type="http://schemas.openxmlformats.org/officeDocument/2006/relationships/image" Target="media/image159.png"/><Relationship Id="rId250" Type="http://schemas.openxmlformats.org/officeDocument/2006/relationships/image" Target="media/image160.png"/><Relationship Id="rId56" Type="http://schemas.openxmlformats.org/officeDocument/2006/relationships/hyperlink" Target="http://www.sec.gov/Archives/edgar/data/1597033/000159703319000018/sabr1231201810-k.htm" TargetMode="External"/><Relationship Id="rId147" Type="http://schemas.openxmlformats.org/officeDocument/2006/relationships/hyperlink" Target="http://www.sec.gov/Archives/edgar/data/1597033/000119312515019563/d857868dex21.htm" TargetMode="External"/><Relationship Id="rId148" Type="http://schemas.openxmlformats.org/officeDocument/2006/relationships/hyperlink" Target="http://www.sec.gov/Archives/edgar/data/1597033/000129993315000766/exhibit1.htm" TargetMode="External"/><Relationship Id="rId149" Type="http://schemas.openxmlformats.org/officeDocument/2006/relationships/hyperlink" Target="http://www.sec.gov/Archives/edgar/data/1597033/000119312514152855/d714865dex31.htm" TargetMode="External"/><Relationship Id="rId150" Type="http://schemas.openxmlformats.org/officeDocument/2006/relationships/hyperlink" Target="http://www.sec.gov/Archives/edgar/data/1597033/000119312519117126/d712381dex31.htm" TargetMode="External"/><Relationship Id="rId151" Type="http://schemas.openxmlformats.org/officeDocument/2006/relationships/hyperlink" Target="http://www.sec.gov/Archives/edgar/data/1597033/000119312518175302/d594680dex32.htm" TargetMode="External"/><Relationship Id="rId152" Type="http://schemas.openxmlformats.org/officeDocument/2006/relationships/hyperlink" Target="http://www.sec.gov/Archives/edgar/data/1597033/000119312519117126/d712381dex32.htm" TargetMode="External"/><Relationship Id="rId153" Type="http://schemas.openxmlformats.org/officeDocument/2006/relationships/hyperlink" Target="http://www.sec.gov/Archives/edgar/data/1597033/000159703320000011/sixthamendedandrestate.htm" TargetMode="External"/><Relationship Id="rId154" Type="http://schemas.openxmlformats.org/officeDocument/2006/relationships/hyperlink" Target="http://www.sec.gov/Archives/edgar/data/1597033/000119312515131305/d909949dex41.htm" TargetMode="External"/><Relationship Id="rId155" Type="http://schemas.openxmlformats.org/officeDocument/2006/relationships/hyperlink" Target="http://www.sec.gov/Archives/edgar/data/1597033/000119312515372169/d32536dex41.htm" TargetMode="External"/><Relationship Id="rId156" Type="http://schemas.openxmlformats.org/officeDocument/2006/relationships/hyperlink" Target="http://www.sec.gov/Archives/edgar/data/1597033/000119312514015201/d652688dex101.htm" TargetMode="External"/><Relationship Id="rId157" Type="http://schemas.openxmlformats.org/officeDocument/2006/relationships/hyperlink" Target="http://www.sec.gov/Archives/edgar/data/1597033/000119312514015201/d652688dex102.htm" TargetMode="External"/><Relationship Id="rId158" Type="http://schemas.openxmlformats.org/officeDocument/2006/relationships/hyperlink" Target="http://www.sec.gov/Archives/edgar/data/1597033/000119312514015201/d652688dex103.htm" TargetMode="External"/><Relationship Id="rId159" Type="http://schemas.openxmlformats.org/officeDocument/2006/relationships/hyperlink" Target="http://www.sec.gov/Archives/edgar/data/1597033/000119312514015201/d652688dex104.htm" TargetMode="External"/><Relationship Id="rId160" Type="http://schemas.openxmlformats.org/officeDocument/2006/relationships/hyperlink" Target="http://www.sec.gov/Archives/edgar/data/1597033/000119312514015201/d652688dex105.htm" TargetMode="External"/><Relationship Id="rId164" Type="http://schemas.openxmlformats.org/officeDocument/2006/relationships/hyperlink" Target="http://www.sec.gov/Archives/edgar/data/1597033/000119312514015201/d652688dex107.htm" TargetMode="External"/><Relationship Id="rId165" Type="http://schemas.openxmlformats.org/officeDocument/2006/relationships/hyperlink" Target="http://www.sec.gov/Archives/edgar/data/1597033/000119312514015201/d652688dex108.htm" TargetMode="External"/><Relationship Id="rId166" Type="http://schemas.openxmlformats.org/officeDocument/2006/relationships/hyperlink" Target="http://www.sec.gov/Archives/edgar/data/1597033/000119312514015201/d652688dex109.htm" TargetMode="External"/><Relationship Id="rId167" Type="http://schemas.openxmlformats.org/officeDocument/2006/relationships/hyperlink" Target="http://www.sec.gov/Archives/edgar/data/1597033/000119312514015201/d652688dex1016.htm" TargetMode="External"/><Relationship Id="rId168" Type="http://schemas.openxmlformats.org/officeDocument/2006/relationships/hyperlink" Target="http://www.sec.gov/Archives/edgar/data/1597033/000119312514015201/d652688dex1017.htm" TargetMode="External"/><Relationship Id="rId169" Type="http://schemas.openxmlformats.org/officeDocument/2006/relationships/hyperlink" Target="http://www.sec.gov/Archives/edgar/data/1597033/000119312514015201/d652688dex1018.htm" TargetMode="External"/><Relationship Id="rId170" Type="http://schemas.openxmlformats.org/officeDocument/2006/relationships/hyperlink" Target="http://www.sec.gov/Archives/edgar/data/1597033/000119312514015201/d652688dex1020.htm" TargetMode="External"/><Relationship Id="rId171" Type="http://schemas.openxmlformats.org/officeDocument/2006/relationships/hyperlink" Target="http://www.sec.gov/Archives/edgar/data/1597033/000119312514015201/d652688dex1021.htm" TargetMode="External"/><Relationship Id="rId172" Type="http://schemas.openxmlformats.org/officeDocument/2006/relationships/hyperlink" Target="http://www.sec.gov/Archives/edgar/data/1597033/000119312514015201/d652688dex1033.htm" TargetMode="External"/><Relationship Id="rId173" Type="http://schemas.openxmlformats.org/officeDocument/2006/relationships/hyperlink" Target="http://www.sec.gov/Archives/edgar/data/1597033/000119312514090103/d652688dex1038.htm" TargetMode="External"/><Relationship Id="rId174" Type="http://schemas.openxmlformats.org/officeDocument/2006/relationships/hyperlink" Target="http://www.sec.gov/Archives/edgar/data/1597033/000119312514090103/d652688dex1039.htm" TargetMode="External"/><Relationship Id="rId175" Type="http://schemas.openxmlformats.org/officeDocument/2006/relationships/hyperlink" Target="http://www.sec.gov/Archives/edgar/data/1597033/000119312514090103/d652688dex1040.htm" TargetMode="External"/><Relationship Id="rId176" Type="http://schemas.openxmlformats.org/officeDocument/2006/relationships/hyperlink" Target="http://www.sec.gov/Archives/edgar/data/1597033/000119312514155070/d714044dex101.htm" TargetMode="External"/><Relationship Id="rId177" Type="http://schemas.openxmlformats.org/officeDocument/2006/relationships/hyperlink" Target="http://www.sec.gov/Archives/edgar/data/1597033/000119312514155070/d714044dex102.htm" TargetMode="External"/><Relationship Id="rId178" Type="http://schemas.openxmlformats.org/officeDocument/2006/relationships/hyperlink" Target="http://www.sec.gov/Archives/edgar/data/1597033/000159703318000023/formofindemnificationagree.htm" TargetMode="External"/><Relationship Id="rId182" Type="http://schemas.openxmlformats.org/officeDocument/2006/relationships/hyperlink" Target="http://www.sec.gov/Archives/edgar/data/1597033/000119312514116484/d652688dex1047.htm" TargetMode="External"/><Relationship Id="rId183" Type="http://schemas.openxmlformats.org/officeDocument/2006/relationships/hyperlink" Target="http://www.sec.gov/Archives/edgar/data/1597033/000119312514116484/d652688dex1048.htm" TargetMode="External"/><Relationship Id="rId184" Type="http://schemas.openxmlformats.org/officeDocument/2006/relationships/hyperlink" Target="http://www.sec.gov/Archives/edgar/data/1597033/000156459015003303/sabr-ex1049_20150331327.htm" TargetMode="External"/><Relationship Id="rId185" Type="http://schemas.openxmlformats.org/officeDocument/2006/relationships/hyperlink" Target="http://www.sec.gov/Archives/edgar/data/1597033/000156459015003303/sabr-ex1050_20150331328.htm" TargetMode="External"/><Relationship Id="rId186" Type="http://schemas.openxmlformats.org/officeDocument/2006/relationships/hyperlink" Target="http://www.sec.gov/Archives/edgar/data/1597033/000119312514116484/d652688dex1051.htm" TargetMode="External"/><Relationship Id="rId187" Type="http://schemas.openxmlformats.org/officeDocument/2006/relationships/hyperlink" Target="http://www.sec.gov/Archives/edgar/data/1597033/000119312514116484/d652688dex1052.htm" TargetMode="External"/><Relationship Id="rId188" Type="http://schemas.openxmlformats.org/officeDocument/2006/relationships/hyperlink" Target="http://www.sec.gov/Archives/edgar/data/1597033/000119312514122536/d652688dex1053.htm" TargetMode="External"/><Relationship Id="rId189" Type="http://schemas.openxmlformats.org/officeDocument/2006/relationships/hyperlink" Target="http://www.sec.gov/Archives/edgar/data/1597033/000119312515019572/d793574dex1057.htm" TargetMode="External"/><Relationship Id="rId190" Type="http://schemas.openxmlformats.org/officeDocument/2006/relationships/hyperlink" Target="http://www.sec.gov/Archives/edgar/data/1597033/000156459015001223/sabr-ex1058_20141231408.htm" TargetMode="External"/><Relationship Id="rId191" Type="http://schemas.openxmlformats.org/officeDocument/2006/relationships/hyperlink" Target="http://www.sec.gov/Archives/edgar/data/1597033/000129993315000391/exhibit1.htm" TargetMode="External"/><Relationship Id="rId192" Type="http://schemas.openxmlformats.org/officeDocument/2006/relationships/hyperlink" Target="http://www.sec.gov/Archives/edgar/data/1597033/000119312515131305/d909949dex101.htm" TargetMode="External"/><Relationship Id="rId193" Type="http://schemas.openxmlformats.org/officeDocument/2006/relationships/hyperlink" Target="http://www.sec.gov/Archives/edgar/data/1597033/000119312515372169/d32536dex101.htm" TargetMode="External"/><Relationship Id="rId194" Type="http://schemas.openxmlformats.org/officeDocument/2006/relationships/hyperlink" Target="http://www.sec.gov/Archives/edgar/data/1597033/000159703315000084/ex101sabreexecdeferredcomp.htm" TargetMode="External"/><Relationship Id="rId195" Type="http://schemas.openxmlformats.org/officeDocument/2006/relationships/hyperlink" Target="http://www.sec.gov/Archives/edgar/data/1597033/000159703316000136/sabr10k2015-ex1065.htm" TargetMode="External"/><Relationship Id="rId196" Type="http://schemas.openxmlformats.org/officeDocument/2006/relationships/hyperlink" Target="http://www.sec.gov/Archives/edgar/data/1597033/000159703316000213/sabr8k052616-ex101.htm" TargetMode="External"/><Relationship Id="rId197" Type="http://schemas.openxmlformats.org/officeDocument/2006/relationships/hyperlink" Target="http://www.sec.gov/Archives/edgar/data/1597033/000159703317000104/exhibit1044rsuformofagreem.htm" TargetMode="External"/><Relationship Id="rId198" Type="http://schemas.openxmlformats.org/officeDocument/2006/relationships/hyperlink" Target="http://www.sec.gov/Archives/edgar/data/1597033/000159703317000104/exhibit1045nqsoformofagree.htm" TargetMode="External"/><Relationship Id="rId199" Type="http://schemas.openxmlformats.org/officeDocument/2006/relationships/hyperlink" Target="http://www.sec.gov/Archives/edgar/data/1597033/000159703316000199/sabr10q033116-ex1066.htm" TargetMode="External"/><Relationship Id="rId203" Type="http://schemas.openxmlformats.org/officeDocument/2006/relationships/hyperlink" Target="http://www.sec.gov/Archives/edgar/data/1597033/000159703316000199/sabr10q033116-ex1067.htm" TargetMode="External"/><Relationship Id="rId204" Type="http://schemas.openxmlformats.org/officeDocument/2006/relationships/hyperlink" Target="http://www.sec.gov/Archives/edgar/data/1597033/000119312516651315/d215540dex101.htm" TargetMode="External"/><Relationship Id="rId205" Type="http://schemas.openxmlformats.org/officeDocument/2006/relationships/hyperlink" Target="http://www.sec.gov/Archives/edgar/data/1597033/000119312516651315/d215540dex102.htm" TargetMode="External"/><Relationship Id="rId206" Type="http://schemas.openxmlformats.org/officeDocument/2006/relationships/hyperlink" Target="http://www.sec.gov/Archives/edgar/data/1597033/000119312516651315/d215540dex103.htm" TargetMode="External"/><Relationship Id="rId207" Type="http://schemas.openxmlformats.org/officeDocument/2006/relationships/hyperlink" Target="http://www.sec.gov/Archives/edgar/data/1597033/000159703316000317/exhibit101employmentagreem.htm" TargetMode="External"/><Relationship Id="rId208" Type="http://schemas.openxmlformats.org/officeDocument/2006/relationships/hyperlink" Target="http://www.sec.gov/Archives/edgar/data/1597033/000159703316000317/exhibit102letteragreement.htm" TargetMode="External"/><Relationship Id="rId209" Type="http://schemas.openxmlformats.org/officeDocument/2006/relationships/hyperlink" Target="http://www.sec.gov/Archives/edgar/data/1597033/000159703317000026/a201610ksabrexhibit1056_hp.htm" TargetMode="External"/><Relationship Id="rId210" Type="http://schemas.openxmlformats.org/officeDocument/2006/relationships/hyperlink" Target="http://www.sec.gov/Archives/edgar/data/1597033/000119312517056419/d349651dex101.htm" TargetMode="External"/><Relationship Id="rId211" Type="http://schemas.openxmlformats.org/officeDocument/2006/relationships/hyperlink" Target="http://www.sec.gov/Archives/edgar/data/1597033/000159703317000149/exhibit1060employmentagree.htm" TargetMode="External"/><Relationship Id="rId212" Type="http://schemas.openxmlformats.org/officeDocument/2006/relationships/hyperlink" Target="http://www.sec.gov/Archives/edgar/data/1597033/000159703317000149/exhibit1061employmentagree.htm" TargetMode="External"/><Relationship Id="rId213" Type="http://schemas.openxmlformats.org/officeDocument/2006/relationships/hyperlink" Target="http://www.sec.gov/Archives/edgar/data/1597033/000159703317000149/exhibit1062amendment2tomas.htm" TargetMode="External"/><Relationship Id="rId214" Type="http://schemas.openxmlformats.org/officeDocument/2006/relationships/hyperlink" Target="http://www.sec.gov/Archives/edgar/data/1597033/000159703317000158/a3387158_7sabre-2017repric.htm" TargetMode="External"/><Relationship Id="rId215" Type="http://schemas.openxmlformats.org/officeDocument/2006/relationships/hyperlink" Target="http://www.sec.gov/Archives/edgar/data/1597033/000159703317000158/a3387160_6sabre-2017repric.htm" TargetMode="External"/><Relationship Id="rId216" Type="http://schemas.openxmlformats.org/officeDocument/2006/relationships/hyperlink" Target="http://www.sec.gov/Archives/edgar/data/1597033/000159703317000158/a3387159_5sabre-2017repric.htm" TargetMode="External"/><Relationship Id="rId217" Type="http://schemas.openxmlformats.org/officeDocument/2006/relationships/hyperlink" Target="http://www.sec.gov/Archives/edgar/data/1597033/000159703317000184/sabreexecutiveseverancepla.htm" TargetMode="External"/><Relationship Id="rId221" Type="http://schemas.openxmlformats.org/officeDocument/2006/relationships/hyperlink" Target="http://www.sec.gov/Archives/edgar/data/1597033/000159703318000028/fifthtermbloanrefinancinga.htm" TargetMode="External"/><Relationship Id="rId222" Type="http://schemas.openxmlformats.org/officeDocument/2006/relationships/hyperlink" Target="http://www.sec.gov/Archives/edgar/data/1597033/000159703318000077/exhibit10372018annualgrant.htm" TargetMode="External"/><Relationship Id="rId223" Type="http://schemas.openxmlformats.org/officeDocument/2006/relationships/hyperlink" Target="http://www.sec.gov/Archives/edgar/data/1597033/000159703318000077/exhbit10382018annualgrant-.htm" TargetMode="External"/><Relationship Id="rId224" Type="http://schemas.openxmlformats.org/officeDocument/2006/relationships/hyperlink" Target="http://www.sec.gov/Archives/edgar/data/1597033/000159703318000077/exhibit10582016omnibusplan.htm" TargetMode="External"/><Relationship Id="rId225" Type="http://schemas.openxmlformats.org/officeDocument/2006/relationships/hyperlink" Target="http://www.sec.gov/Archives/edgar/data/1597033/000119312518210611/d805562dex101.htm" TargetMode="External"/><Relationship Id="rId226" Type="http://schemas.openxmlformats.org/officeDocument/2006/relationships/hyperlink" Target="http://www.sec.gov/Archives/edgar/data/1597033/000119312518220154/d539113dex101.htm" TargetMode="External"/><Relationship Id="rId227" Type="http://schemas.openxmlformats.org/officeDocument/2006/relationships/hyperlink" Target="http://www.sec.gov/Archives/edgar/data/1597033/000159703318000118/offcyclegrantrsuformofagre.htm" TargetMode="External"/><Relationship Id="rId228" Type="http://schemas.openxmlformats.org/officeDocument/2006/relationships/hyperlink" Target="http://www.sec.gov/Archives/edgar/data/1597033/000159703318000118/offcyclegrantnqsoformofagr.htm" TargetMode="External"/><Relationship Id="rId229" Type="http://schemas.openxmlformats.org/officeDocument/2006/relationships/hyperlink" Target="http://www.sec.gov/Archives/edgar/data/1597033/000159703318000153/sabreofferletter-kwarmbier.htm" TargetMode="External"/><Relationship Id="rId230" Type="http://schemas.openxmlformats.org/officeDocument/2006/relationships/hyperlink" Target="http://www.sec.gov/Archives/edgar/data/1597033/000159703318000153/sabreofferletter-ctanyelxo.htm" TargetMode="External"/><Relationship Id="rId231" Type="http://schemas.openxmlformats.org/officeDocument/2006/relationships/hyperlink" Target="http://www.sec.gov/Archives/edgar/data/1597033/000159703319000065/exhibit10682016omnibusplan.htm" TargetMode="External"/><Relationship Id="rId232" Type="http://schemas.openxmlformats.org/officeDocument/2006/relationships/hyperlink" Target="http://www.sec.gov/Archives/edgar/data/1597033/000159703319000065/exhibit10692016omnibusplan.htm" TargetMode="External"/><Relationship Id="rId233" Type="http://schemas.openxmlformats.org/officeDocument/2006/relationships/hyperlink" Target="http://www.sec.gov/Archives/edgar/data/1597033/000159703319000065/exhibit10702016psu-2019ann.htm" TargetMode="External"/><Relationship Id="rId234" Type="http://schemas.openxmlformats.org/officeDocument/2006/relationships/hyperlink" Target="http://www.sec.gov/Archives/edgar/data/1597033/000159703319000065/exhibit1071formofchairmanb.htm" TargetMode="External"/><Relationship Id="rId235" Type="http://schemas.openxmlformats.org/officeDocument/2006/relationships/hyperlink" Target="http://www.sec.gov/Archives/edgar/data/1597033/000159703319000065/exhibit10722016omnibusplan.htm" TargetMode="External"/><Relationship Id="rId236" Type="http://schemas.openxmlformats.org/officeDocument/2006/relationships/hyperlink" Target="http://www.sec.gov/Archives/edgar/data/1597033/000119312519117126/d712381dex101.htm" TargetMode="External"/><Relationship Id="rId237" Type="http://schemas.openxmlformats.org/officeDocument/2006/relationships/hyperlink" Target="http://www.sec.gov/Archives/edgar/data/1597033/000119312519117126/d712381dex102.htm" TargetMode="External"/><Relationship Id="rId238" Type="http://schemas.openxmlformats.org/officeDocument/2006/relationships/hyperlink" Target="http://www.sec.gov/Archives/edgar/data/1597033/000159703319000092/exh1075executivestocko.htm" TargetMode="External"/><Relationship Id="rId239" Type="http://schemas.openxmlformats.org/officeDocument/2006/relationships/hyperlink" Target="http://www.sec.gov/Archives/edgar/data/1597033/000159703319000092/exh1076restrictedstock.htm" TargetMode="External"/><Relationship Id="rId240" Type="http://schemas.openxmlformats.org/officeDocument/2006/relationships/hyperlink" Target="http://www.sec.gov/Archives/edgar/data/1597033/000159703319000092/exh1077nonemployeedi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2020-02-26T15:42:24Z</dcterms:created>
  <dcterms:modified xsi:type="dcterms:W3CDTF">2020-02-26T15:42:24Z</dcterms:modified>
</cp:coreProperties>
</file>