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As filed with the Securities and Exchange Commission on May 3, 2022</w:t>
      </w:r>
    </w:p>
    <w:p>
      <w:pPr>
        <w:spacing w:after="0" w:line="2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120015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SABRE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920" w:type="dxa"/>
        <w:tblCellMar>
          <w:top w:w="0" w:type="dxa"/>
          <w:left w:w="0" w:type="dxa"/>
          <w:bottom w:w="0" w:type="dxa"/>
          <w:right w:w="0" w:type="dxa"/>
        </w:tblCellMar>
      </w:tblPr>
      <w:tr>
        <w:trPr>
          <w:trHeight w:val="212"/>
        </w:trPr>
        <w:tc>
          <w:tcPr>
            <w:tcW w:w="6420" w:type="dxa"/>
            <w:vAlign w:val="bottom"/>
          </w:tcPr>
          <w:p>
            <w:pPr>
              <w:jc w:val="center"/>
              <w:ind w:right="4457"/>
              <w:spacing w:after="0"/>
              <w:rPr>
                <w:sz w:val="20"/>
                <w:szCs w:val="20"/>
                <w:color w:val="auto"/>
              </w:rPr>
            </w:pPr>
            <w:r>
              <w:rPr>
                <w:rFonts w:ascii="Arial" w:cs="Arial" w:eastAsia="Arial" w:hAnsi="Arial"/>
                <w:sz w:val="18"/>
                <w:szCs w:val="18"/>
                <w:b w:val="1"/>
                <w:bCs w:val="1"/>
                <w:color w:val="auto"/>
                <w:w w:val="91"/>
              </w:rPr>
              <w:t>Delaware</w:t>
            </w:r>
          </w:p>
        </w:tc>
        <w:tc>
          <w:tcPr>
            <w:tcW w:w="2920" w:type="dxa"/>
            <w:vAlign w:val="bottom"/>
          </w:tcPr>
          <w:p>
            <w:pPr>
              <w:jc w:val="center"/>
              <w:ind w:left="819"/>
              <w:spacing w:after="0"/>
              <w:rPr>
                <w:sz w:val="20"/>
                <w:szCs w:val="20"/>
                <w:color w:val="auto"/>
              </w:rPr>
            </w:pPr>
            <w:r>
              <w:rPr>
                <w:rFonts w:ascii="Arial" w:cs="Arial" w:eastAsia="Arial" w:hAnsi="Arial"/>
                <w:sz w:val="18"/>
                <w:szCs w:val="18"/>
                <w:b w:val="1"/>
                <w:bCs w:val="1"/>
                <w:color w:val="auto"/>
                <w:w w:val="89"/>
              </w:rPr>
              <w:t>20-8647322</w:t>
            </w:r>
          </w:p>
        </w:tc>
      </w:tr>
      <w:tr>
        <w:trPr>
          <w:trHeight w:val="149"/>
        </w:trPr>
        <w:tc>
          <w:tcPr>
            <w:tcW w:w="6420" w:type="dxa"/>
            <w:vAlign w:val="bottom"/>
          </w:tcPr>
          <w:p>
            <w:pPr>
              <w:jc w:val="center"/>
              <w:ind w:right="4457"/>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20" w:type="dxa"/>
            <w:vAlign w:val="bottom"/>
          </w:tcPr>
          <w:p>
            <w:pPr>
              <w:jc w:val="center"/>
              <w:ind w:left="819"/>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53"/>
        </w:trPr>
        <w:tc>
          <w:tcPr>
            <w:tcW w:w="6420" w:type="dxa"/>
            <w:vAlign w:val="bottom"/>
          </w:tcPr>
          <w:p>
            <w:pPr>
              <w:jc w:val="center"/>
              <w:ind w:right="4457"/>
              <w:spacing w:after="0" w:line="153" w:lineRule="exact"/>
              <w:rPr>
                <w:sz w:val="20"/>
                <w:szCs w:val="20"/>
                <w:color w:val="auto"/>
              </w:rPr>
            </w:pPr>
            <w:r>
              <w:rPr>
                <w:rFonts w:ascii="Arial" w:cs="Arial" w:eastAsia="Arial" w:hAnsi="Arial"/>
                <w:sz w:val="14"/>
                <w:szCs w:val="14"/>
                <w:b w:val="1"/>
                <w:bCs w:val="1"/>
                <w:color w:val="auto"/>
                <w:w w:val="94"/>
              </w:rPr>
              <w:t>incorporation or organization)</w:t>
            </w:r>
          </w:p>
        </w:tc>
        <w:tc>
          <w:tcPr>
            <w:tcW w:w="2920" w:type="dxa"/>
            <w:vAlign w:val="bottom"/>
          </w:tcPr>
          <w:p>
            <w:pPr>
              <w:jc w:val="center"/>
              <w:ind w:left="819"/>
              <w:spacing w:after="0" w:line="153" w:lineRule="exact"/>
              <w:rPr>
                <w:sz w:val="20"/>
                <w:szCs w:val="20"/>
                <w:color w:val="auto"/>
              </w:rPr>
            </w:pPr>
            <w:r>
              <w:rPr>
                <w:rFonts w:ascii="Arial" w:cs="Arial" w:eastAsia="Arial" w:hAnsi="Arial"/>
                <w:sz w:val="14"/>
                <w:szCs w:val="14"/>
                <w:b w:val="1"/>
                <w:bCs w:val="1"/>
                <w:color w:val="auto"/>
                <w:w w:val="96"/>
              </w:rPr>
              <w:t>Identification No.)</w:t>
            </w:r>
          </w:p>
        </w:tc>
      </w:tr>
      <w:tr>
        <w:trPr>
          <w:trHeight w:val="216"/>
        </w:trPr>
        <w:tc>
          <w:tcPr>
            <w:tcW w:w="6420" w:type="dxa"/>
            <w:vAlign w:val="bottom"/>
          </w:tcPr>
          <w:p>
            <w:pPr>
              <w:jc w:val="center"/>
              <w:ind w:left="2897"/>
              <w:spacing w:after="0"/>
              <w:rPr>
                <w:sz w:val="20"/>
                <w:szCs w:val="20"/>
                <w:color w:val="auto"/>
              </w:rPr>
            </w:pPr>
            <w:r>
              <w:rPr>
                <w:rFonts w:ascii="Arial" w:cs="Arial" w:eastAsia="Arial" w:hAnsi="Arial"/>
                <w:sz w:val="18"/>
                <w:szCs w:val="18"/>
                <w:b w:val="1"/>
                <w:bCs w:val="1"/>
                <w:color w:val="auto"/>
                <w:w w:val="90"/>
              </w:rPr>
              <w:t>3150 Sabre Drive</w:t>
            </w:r>
          </w:p>
        </w:tc>
        <w:tc>
          <w:tcPr>
            <w:tcW w:w="2920" w:type="dxa"/>
            <w:vAlign w:val="bottom"/>
          </w:tcPr>
          <w:p>
            <w:pPr>
              <w:spacing w:after="0"/>
              <w:rPr>
                <w:sz w:val="18"/>
                <w:szCs w:val="18"/>
                <w:color w:val="auto"/>
              </w:rPr>
            </w:pPr>
          </w:p>
        </w:tc>
      </w:tr>
      <w:tr>
        <w:trPr>
          <w:trHeight w:val="241"/>
        </w:trPr>
        <w:tc>
          <w:tcPr>
            <w:tcW w:w="6420" w:type="dxa"/>
            <w:vAlign w:val="bottom"/>
          </w:tcPr>
          <w:p>
            <w:pPr>
              <w:jc w:val="center"/>
              <w:ind w:left="2897"/>
              <w:spacing w:after="0"/>
              <w:rPr>
                <w:sz w:val="20"/>
                <w:szCs w:val="20"/>
                <w:color w:val="auto"/>
              </w:rPr>
            </w:pPr>
            <w:r>
              <w:rPr>
                <w:rFonts w:ascii="Arial" w:cs="Arial" w:eastAsia="Arial" w:hAnsi="Arial"/>
                <w:sz w:val="18"/>
                <w:szCs w:val="18"/>
                <w:b w:val="1"/>
                <w:bCs w:val="1"/>
                <w:color w:val="auto"/>
                <w:w w:val="91"/>
              </w:rPr>
              <w:t>Southlake, TX 76092</w:t>
            </w:r>
          </w:p>
        </w:tc>
        <w:tc>
          <w:tcPr>
            <w:tcW w:w="2920" w:type="dxa"/>
            <w:vAlign w:val="bottom"/>
          </w:tcPr>
          <w:p>
            <w:pPr>
              <w:jc w:val="center"/>
              <w:ind w:left="819"/>
              <w:spacing w:after="0"/>
              <w:rPr>
                <w:sz w:val="20"/>
                <w:szCs w:val="20"/>
                <w:color w:val="auto"/>
              </w:rPr>
            </w:pPr>
            <w:r>
              <w:rPr>
                <w:rFonts w:ascii="Arial" w:cs="Arial" w:eastAsia="Arial" w:hAnsi="Arial"/>
                <w:sz w:val="18"/>
                <w:szCs w:val="18"/>
                <w:b w:val="1"/>
                <w:bCs w:val="1"/>
                <w:color w:val="auto"/>
                <w:w w:val="90"/>
              </w:rPr>
              <w:t>Telephone: (682) 605-1000</w:t>
            </w:r>
          </w:p>
        </w:tc>
      </w:tr>
    </w:tbl>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SABRE CORPORATION 2022 DIRECTOR EQUITY COMPENSATION PLAN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Douglas Barnett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Sabre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3150 Sabre Drive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Southlake, TX 76092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(682) 605-1000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ind w:right="240"/>
        <w:spacing w:after="0" w:line="266" w:lineRule="auto"/>
        <w:rPr>
          <w:sz w:val="20"/>
          <w:szCs w:val="20"/>
          <w:color w:val="auto"/>
        </w:rPr>
      </w:pPr>
      <w:r>
        <w:rPr>
          <w:rFonts w:ascii="Arial" w:cs="Arial" w:eastAsia="Arial" w:hAnsi="Arial"/>
          <w:sz w:val="18"/>
          <w:szCs w:val="18"/>
          <w:b w:val="1"/>
          <w:bCs w:val="1"/>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transaction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33" w:right="4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121"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This Registration Statement on Form S-8 is being filed for the purpose of registering 830,000 shares of Common Stock of the Registrant that may be issued under the 2022 Director Plan.</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SECTION 10(a) PROSPECTUS</w:t>
      </w:r>
    </w:p>
    <w:p>
      <w:pPr>
        <w:spacing w:after="0" w:line="121"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The information specified in Items 1 and 2 of Part I of the Form S-8 is omitted from this filing in accordance with the provisions of Rule 428 under the Securities Act and the introductory note to Part I of the Form S-8. The document(s) containing the information specified in Part I of Form S-8 will be sent or given to the recipients of the applicable grants, as required by Rule 428 under the Securities Act. Such documents are not being filed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either as part of this Registration Statement or as prospectuses or prospectus supplements pursuant to Rule 424. These documents and the documents incorporated by reference in this Registration Statement pursuant to Item 3 of Part II hereof, taken together, constitute a prospectus that meets the requirements of Section 10(a) of the Securities Act.</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680" w:firstLine="2713"/>
        <w:spacing w:after="0" w:line="377" w:lineRule="auto"/>
        <w:rPr>
          <w:sz w:val="20"/>
          <w:szCs w:val="20"/>
          <w:color w:val="auto"/>
        </w:rPr>
      </w:pPr>
      <w:r>
        <w:rPr>
          <w:rFonts w:ascii="Arial" w:cs="Arial" w:eastAsia="Arial" w:hAnsi="Arial"/>
          <w:sz w:val="18"/>
          <w:szCs w:val="18"/>
          <w:b w:val="1"/>
          <w:bCs w:val="1"/>
          <w:color w:val="auto"/>
        </w:rPr>
        <w:t>INFORMATION REQUIRED IN THE REGISTRATION STATEMENT Item 3. Incorporation of Documents by Reference.</w:t>
      </w:r>
    </w:p>
    <w:p>
      <w:pPr>
        <w:spacing w:after="0" w:line="2"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The following documents, which previously have been filed by the Registrant with the Commission, are incorporated herein by reference and made a part hereof:</w:t>
      </w:r>
    </w:p>
    <w:p>
      <w:pPr>
        <w:spacing w:after="0" w:line="76" w:lineRule="exact"/>
        <w:rPr>
          <w:sz w:val="20"/>
          <w:szCs w:val="20"/>
          <w:color w:val="auto"/>
        </w:rPr>
      </w:pPr>
    </w:p>
    <w:p>
      <w:pPr>
        <w:ind w:left="1180" w:hanging="644"/>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Annual Report on </w:t>
      </w:r>
      <w:hyperlink r:id="rId1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2021, filed with the Commission on February 18, 2022;</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Current Report on </w:t>
      </w:r>
      <w:hyperlink r:id="rId19">
        <w:r>
          <w:rPr>
            <w:rFonts w:ascii="Arial" w:cs="Arial" w:eastAsia="Arial" w:hAnsi="Arial"/>
            <w:sz w:val="18"/>
            <w:szCs w:val="18"/>
            <w:u w:val="single" w:color="auto"/>
            <w:color w:val="0000EE"/>
          </w:rPr>
          <w:t>Form 8-K</w:t>
        </w:r>
      </w:hyperlink>
      <w:r>
        <w:rPr>
          <w:rFonts w:ascii="Arial" w:cs="Arial" w:eastAsia="Arial" w:hAnsi="Arial"/>
          <w:sz w:val="18"/>
          <w:szCs w:val="18"/>
          <w:color w:val="auto"/>
        </w:rPr>
        <w:t>, filed with the Commission on March 8, 2022;</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Current Report on </w:t>
      </w:r>
      <w:hyperlink r:id="rId20">
        <w:r>
          <w:rPr>
            <w:rFonts w:ascii="Arial" w:cs="Arial" w:eastAsia="Arial" w:hAnsi="Arial"/>
            <w:sz w:val="18"/>
            <w:szCs w:val="18"/>
            <w:u w:val="single" w:color="auto"/>
            <w:color w:val="0000EE"/>
          </w:rPr>
          <w:t>Form 8-K</w:t>
        </w:r>
      </w:hyperlink>
      <w:r>
        <w:rPr>
          <w:rFonts w:ascii="Arial" w:cs="Arial" w:eastAsia="Arial" w:hAnsi="Arial"/>
          <w:sz w:val="18"/>
          <w:szCs w:val="18"/>
          <w:color w:val="auto"/>
        </w:rPr>
        <w:t>, filed with the Commission on March 14, 2022;</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Current Report on </w:t>
      </w:r>
      <w:hyperlink r:id="rId21">
        <w:r>
          <w:rPr>
            <w:rFonts w:ascii="Arial" w:cs="Arial" w:eastAsia="Arial" w:hAnsi="Arial"/>
            <w:sz w:val="18"/>
            <w:szCs w:val="18"/>
            <w:u w:val="single" w:color="auto"/>
            <w:color w:val="0000EE"/>
          </w:rPr>
          <w:t>Form 8-K</w:t>
        </w:r>
      </w:hyperlink>
      <w:r>
        <w:rPr>
          <w:rFonts w:ascii="Arial" w:cs="Arial" w:eastAsia="Arial" w:hAnsi="Arial"/>
          <w:sz w:val="18"/>
          <w:szCs w:val="18"/>
          <w:color w:val="auto"/>
        </w:rPr>
        <w:t>, filed with the Commission on April 29, 2022;</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on </w:t>
      </w:r>
      <w:hyperlink r:id="rId22">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2022, filed with the Commission on May 3, 2022;</w:t>
      </w:r>
    </w:p>
    <w:p>
      <w:pPr>
        <w:spacing w:after="0" w:line="130" w:lineRule="exact"/>
        <w:rPr>
          <w:rFonts w:ascii="Arial" w:cs="Arial" w:eastAsia="Arial" w:hAnsi="Arial"/>
          <w:sz w:val="18"/>
          <w:szCs w:val="18"/>
          <w:color w:val="auto"/>
        </w:rPr>
      </w:pPr>
    </w:p>
    <w:p>
      <w:pPr>
        <w:ind w:left="1180" w:right="580" w:hanging="644"/>
        <w:spacing w:after="0" w:line="308" w:lineRule="auto"/>
        <w:tabs>
          <w:tab w:leader="none" w:pos="1180"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The description of the Common Stock contained in the Registrant’s Registration Statement on </w:t>
      </w:r>
      <w:hyperlink r:id="rId23">
        <w:r>
          <w:rPr>
            <w:rFonts w:ascii="Arial" w:cs="Arial" w:eastAsia="Arial" w:hAnsi="Arial"/>
            <w:sz w:val="17"/>
            <w:szCs w:val="17"/>
            <w:u w:val="single" w:color="auto"/>
            <w:color w:val="0000EE"/>
          </w:rPr>
          <w:t>Form 8-A</w:t>
        </w:r>
      </w:hyperlink>
      <w:r>
        <w:rPr>
          <w:rFonts w:ascii="Arial" w:cs="Arial" w:eastAsia="Arial" w:hAnsi="Arial"/>
          <w:sz w:val="17"/>
          <w:szCs w:val="17"/>
          <w:color w:val="auto"/>
        </w:rPr>
        <w:t>, filed with the SEC on April 17, 2014 and any amendment or report filed with the SEC for the purpose of updating such description; and</w:t>
      </w:r>
    </w:p>
    <w:p>
      <w:pPr>
        <w:spacing w:after="0" w:line="51" w:lineRule="exact"/>
        <w:rPr>
          <w:rFonts w:ascii="Arial" w:cs="Arial" w:eastAsia="Arial" w:hAnsi="Arial"/>
          <w:sz w:val="17"/>
          <w:szCs w:val="17"/>
          <w:color w:val="auto"/>
        </w:rPr>
      </w:pPr>
    </w:p>
    <w:p>
      <w:pPr>
        <w:ind w:left="1180" w:right="500" w:hanging="644"/>
        <w:spacing w:after="0" w:line="301" w:lineRule="auto"/>
        <w:tabs>
          <w:tab w:leader="none" w:pos="1180" w:val="left"/>
        </w:tabs>
        <w:numPr>
          <w:ilvl w:val="0"/>
          <w:numId w:val="1"/>
        </w:numPr>
        <w:rPr>
          <w:rFonts w:ascii="Arial" w:cs="Arial" w:eastAsia="Arial" w:hAnsi="Arial"/>
          <w:sz w:val="16"/>
          <w:szCs w:val="16"/>
          <w:color w:val="auto"/>
        </w:rPr>
      </w:pPr>
      <w:r>
        <w:rPr>
          <w:rFonts w:ascii="Arial" w:cs="Arial" w:eastAsia="Arial" w:hAnsi="Arial"/>
          <w:sz w:val="16"/>
          <w:szCs w:val="16"/>
          <w:color w:val="auto"/>
        </w:rPr>
        <w:t>All other reports and other documents subsequently filed by the Registrant pursuant to Sections 13(a), 13(c), 14 and 15(d) of the Securities Exchange Act of 1934 (the “</w:t>
      </w:r>
      <w:r>
        <w:rPr>
          <w:rFonts w:ascii="Arial" w:cs="Arial" w:eastAsia="Arial" w:hAnsi="Arial"/>
          <w:sz w:val="16"/>
          <w:szCs w:val="16"/>
          <w:u w:val="single" w:color="auto"/>
          <w:color w:val="auto"/>
        </w:rPr>
        <w:t>Exchange Act</w:t>
      </w:r>
      <w:r>
        <w:rPr>
          <w:rFonts w:ascii="Arial" w:cs="Arial" w:eastAsia="Arial" w:hAnsi="Arial"/>
          <w:sz w:val="16"/>
          <w:szCs w:val="16"/>
          <w:color w:val="auto"/>
        </w:rPr>
        <w:t>”) prior to the filing of a post-effective amendment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w:t>
      </w:r>
    </w:p>
    <w:p>
      <w:pPr>
        <w:spacing w:after="0" w:line="157" w:lineRule="exact"/>
        <w:rPr>
          <w:rFonts w:ascii="Arial" w:cs="Arial" w:eastAsia="Arial" w:hAnsi="Arial"/>
          <w:sz w:val="18"/>
          <w:szCs w:val="18"/>
          <w:color w:val="auto"/>
        </w:rPr>
      </w:pPr>
    </w:p>
    <w:p>
      <w:pPr>
        <w:jc w:val="both"/>
        <w:ind w:right="60" w:firstLine="440"/>
        <w:spacing w:after="0" w:line="257" w:lineRule="auto"/>
        <w:rPr>
          <w:sz w:val="20"/>
          <w:szCs w:val="20"/>
          <w:color w:val="auto"/>
        </w:rPr>
      </w:pPr>
      <w:r>
        <w:rPr>
          <w:rFonts w:ascii="Arial" w:cs="Arial" w:eastAsia="Arial" w:hAnsi="Arial"/>
          <w:sz w:val="18"/>
          <w:szCs w:val="18"/>
          <w:color w:val="auto"/>
        </w:rPr>
        <w:t>For purposes of this Registration Statement, any document or any statement contained in a document incorporated or deemed to be incorporated herein by reference shall be deemed to be modified or superseded to the extent that a subsequently filed document or a statement contained herein or in any other subsequently filed document which also is or is deemed to be incorporated herein by reference modifies or supersedes such document or such statement in such document. Any statement so modified or superseded shall not be deemed, except as so modified or superseded, to constitute a part of this Registration Statement.</w:t>
      </w:r>
    </w:p>
    <w:p>
      <w:pPr>
        <w:spacing w:after="0" w:line="292"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6"/>
          <w:szCs w:val="16"/>
          <w:color w:val="auto"/>
        </w:rPr>
        <w:t>The legality of the shares of Common Stock registered hereunder will be passed upon by Steve Milton, the Registrant’s Corporate Secretary.</w:t>
      </w:r>
    </w:p>
    <w:p>
      <w:pPr>
        <w:spacing w:after="0" w:line="181"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0"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6. Indemnification of Directors and Officers.</w:t>
      </w:r>
    </w:p>
    <w:p>
      <w:pPr>
        <w:spacing w:after="0" w:line="12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Section 102 of the Delaware General Corporation Law, as amended (“</w:t>
      </w:r>
      <w:r>
        <w:rPr>
          <w:rFonts w:ascii="Arial" w:cs="Arial" w:eastAsia="Arial" w:hAnsi="Arial"/>
          <w:sz w:val="18"/>
          <w:szCs w:val="18"/>
          <w:u w:val="single" w:color="auto"/>
          <w:color w:val="auto"/>
        </w:rPr>
        <w:t>DGCL</w:t>
      </w:r>
      <w:r>
        <w:rPr>
          <w:rFonts w:ascii="Arial" w:cs="Arial" w:eastAsia="Arial" w:hAnsi="Arial"/>
          <w:sz w:val="18"/>
          <w:szCs w:val="18"/>
          <w:color w:val="auto"/>
        </w:rPr>
        <w:t>”) allows a corporation to eliminate or limit the personal liability of directors to a corporation or its stockholders for monetary damages for breach of fiduciary duty as a director, except where the director breached his duty of loyalty, failed to act in good faith, engaged in intentional misconduct or knowingly violated a law, authorized the payment of a dividend or approved a stock repurchase or redemption in violation of Delaware corporate law or engaged in a transaction from which the director obtained an improper personal benefit.</w:t>
      </w:r>
    </w:p>
    <w:p>
      <w:pPr>
        <w:spacing w:after="0" w:line="188"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Section 145 of the DGCL provides, among other things, that a corporation may indemnify any person who was or is a party or is threatened to be made a party to any threatened, pending or completed action, suit or proceeding (other than an action by or in the right of the corporation) by reason of the fact that the person is or was a director, officer, employee or agent of the corporation, or is or was serving at the corporation’s request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The power to indemnify applies if (i) such person acted in good faith and in a manner he or she reasonably believed to be in or not opposed to the best interests of the corporation, and with respect to any criminal action or proceeding, had no reasonable cause to believe his conduct was unlawful or, (ii) to the extent that such person is a present or former director or officer of a corporation, such person is successful on the merits or otherwise in defense of any action, suit or proceeding. The power to indemnify applies to actions brought by or in the right of the corporation as well, but only to the extent of defense expenses (including attorneys’ fees but excluding amounts paid in settlement) actually and reasonably incurred and not to any satisfaction of judgment or settlement of the claim itself, and with the further limitation that in such actions no indemnification shall be made in the event such person is adjusted to be liable to the corporation, unless a court determines that in light of all the circumstances indemnification should apply.</w:t>
      </w:r>
    </w:p>
    <w:p>
      <w:pPr>
        <w:spacing w:after="0" w:line="168"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Section 174 of the DGCL provides, among other things, that a director who willfully and negligently approves of an unlawful payment of dividends or an unlawful stock purchase or redemption may be held liable for such actions to the full amount of the dividend unlawfully paid or the purchase or redemption of the corporation’s stock, with interest from the time such liability accrued. A director who was either absent when the unlawful actions were approved or dissented at the time may avoid liability by causing his or her dissent to such actions to be entered on the books containing the minutes of the meetings of the board of directors at the time the action occurred or immediately after the absent director receives notice of the unlawful acts.</w:t>
      </w:r>
    </w:p>
    <w:p>
      <w:pPr>
        <w:spacing w:after="0" w:line="192"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The Registrant’s amended and restated certificate of incorporation provides that no director shall be personally liable to the Registrant or any of its stockholders for monetary damages for breach of fiduciary duty as a director, except to the extent such exemption from liability or limitation thereof is not permitted under the DGCL.</w:t>
      </w:r>
    </w:p>
    <w:p>
      <w:pPr>
        <w:spacing w:after="0" w:line="184" w:lineRule="exact"/>
        <w:rPr>
          <w:sz w:val="20"/>
          <w:szCs w:val="20"/>
          <w:color w:val="auto"/>
        </w:rPr>
      </w:pPr>
    </w:p>
    <w:p>
      <w:pPr>
        <w:ind w:right="180" w:firstLine="440"/>
        <w:spacing w:after="0" w:line="253" w:lineRule="auto"/>
        <w:rPr>
          <w:sz w:val="20"/>
          <w:szCs w:val="20"/>
          <w:color w:val="auto"/>
        </w:rPr>
      </w:pPr>
      <w:r>
        <w:rPr>
          <w:rFonts w:ascii="Arial" w:cs="Arial" w:eastAsia="Arial" w:hAnsi="Arial"/>
          <w:sz w:val="18"/>
          <w:szCs w:val="18"/>
          <w:color w:val="auto"/>
        </w:rPr>
        <w:t>The Registrant’s amended and restated bylaws provide that it will indemnify, to the fullest extent permitted by the DGCL, any person made or threatened to be made a party to any action by reason of the fact that the person is or was our director or officer, or our director or officer who, while a director or officer, is or was serving at the request of the Registrant as a director, officer, employee, agent or manager of another corporation, partnership, limited liability company, joint venture, trust or other enterprise or non-profit entity, including service with respect to an employee benefit plan. Expenses incurred by a director or officer in defending against such legal proceedings are payable before the final disposition of the action, provided that the director or officer undertakes to repay the Registrant if it is later determined that he or she is not entitled to indemnification. Our amended and restated bylaws also provide that, subject to applicable law, the Registrant may, by action of its board of directors, grant rights to indemnification and advancement of expenses to persons other than its directors and officers with such scope and effect as the board of directors may then determine.</w:t>
      </w:r>
    </w:p>
    <w:p>
      <w:pPr>
        <w:spacing w:after="0" w:line="196" w:lineRule="exact"/>
        <w:rPr>
          <w:sz w:val="20"/>
          <w:szCs w:val="20"/>
          <w:color w:val="auto"/>
        </w:rPr>
      </w:pPr>
    </w:p>
    <w:p>
      <w:pPr>
        <w:ind w:right="900" w:firstLine="440"/>
        <w:spacing w:after="0" w:line="277" w:lineRule="auto"/>
        <w:rPr>
          <w:sz w:val="20"/>
          <w:szCs w:val="20"/>
          <w:color w:val="auto"/>
        </w:rPr>
      </w:pPr>
      <w:r>
        <w:rPr>
          <w:rFonts w:ascii="Arial" w:cs="Arial" w:eastAsia="Arial" w:hAnsi="Arial"/>
          <w:sz w:val="18"/>
          <w:szCs w:val="18"/>
          <w:color w:val="auto"/>
        </w:rPr>
        <w:t>The Registrant has entered into customary indemnification agreements with its directors that provide them, in general, with customary indemnification in connection with their service to us or on our behalf.</w:t>
      </w:r>
    </w:p>
    <w:p>
      <w:pPr>
        <w:spacing w:after="0" w:line="170"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The Registrant maintains standard policies of insurance under which coverage is provided (a) to its directors and officers against loss rising from claims made by reason of breach of duty or other wrongful act, and (b) to the Registrant with respect to payments which it may make to such officers and directors pursuant to the above indemnification provision or otherwise as a matter of law.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 Exhibits.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6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140" w:type="dxa"/>
            <w:vAlign w:val="bottom"/>
            <w:gridSpan w:val="8"/>
            <w:vMerge w:val="restart"/>
          </w:tcPr>
          <w:p>
            <w:pPr>
              <w:ind w:left="7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62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6140" w:type="dxa"/>
            <w:vAlign w:val="bottom"/>
            <w:tcBorders>
              <w:bottom w:val="single" w:sz="8" w:color="auto"/>
            </w:tcBorders>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4.1</w:t>
            </w:r>
          </w:p>
        </w:tc>
        <w:tc>
          <w:tcPr>
            <w:tcW w:w="620" w:type="dxa"/>
            <w:vAlign w:val="bottom"/>
          </w:tcPr>
          <w:p>
            <w:pPr>
              <w:spacing w:after="0"/>
              <w:rPr>
                <w:sz w:val="23"/>
                <w:szCs w:val="23"/>
                <w:color w:val="auto"/>
              </w:rPr>
            </w:pPr>
          </w:p>
        </w:tc>
        <w:tc>
          <w:tcPr>
            <w:tcW w:w="9420" w:type="dxa"/>
            <w:vAlign w:val="bottom"/>
            <w:tcBorders>
              <w:bottom w:val="single" w:sz="8" w:color="0000EE"/>
            </w:tcBorders>
            <w:gridSpan w:val="9"/>
          </w:tcPr>
          <w:p>
            <w:pPr>
              <w:spacing w:after="0"/>
              <w:rPr>
                <w:rFonts w:ascii="Arial" w:cs="Arial" w:eastAsia="Arial" w:hAnsi="Arial"/>
                <w:sz w:val="18"/>
                <w:szCs w:val="18"/>
                <w:color w:val="0000EE"/>
                <w:w w:val="91"/>
              </w:rPr>
            </w:pPr>
            <w:hyperlink r:id="rId26">
              <w:r>
                <w:rPr>
                  <w:rFonts w:ascii="Arial" w:cs="Arial" w:eastAsia="Arial" w:hAnsi="Arial"/>
                  <w:sz w:val="18"/>
                  <w:szCs w:val="18"/>
                  <w:color w:val="0000EE"/>
                  <w:w w:val="91"/>
                </w:rPr>
                <w:t>Fourth Amended and Restated Certificate of Incorporation of Sabre Corporation (incorporated by reference to Exhibit 3.1 of Sabre</w:t>
              </w:r>
            </w:hyperlink>
          </w:p>
        </w:tc>
        <w:tc>
          <w:tcPr>
            <w:tcW w:w="34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32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26">
              <w:r>
                <w:rPr>
                  <w:rFonts w:ascii="Arial" w:cs="Arial" w:eastAsia="Arial" w:hAnsi="Arial"/>
                  <w:sz w:val="18"/>
                  <w:szCs w:val="18"/>
                  <w:color w:val="0000EE"/>
                  <w:w w:val="92"/>
                </w:rPr>
                <w:t>Corporation’s Current Report on Form 8-K filed with the Securities and Exchange Commission on April 24, 2019).</w:t>
              </w:r>
            </w:hyperlink>
          </w:p>
        </w:tc>
        <w:tc>
          <w:tcPr>
            <w:tcW w:w="14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4.2</w:t>
            </w:r>
          </w:p>
        </w:tc>
        <w:tc>
          <w:tcPr>
            <w:tcW w:w="620" w:type="dxa"/>
            <w:vAlign w:val="bottom"/>
          </w:tcPr>
          <w:p>
            <w:pPr>
              <w:spacing w:after="0"/>
              <w:rPr>
                <w:sz w:val="24"/>
                <w:szCs w:val="24"/>
                <w:color w:val="auto"/>
              </w:rPr>
            </w:pPr>
          </w:p>
        </w:tc>
        <w:tc>
          <w:tcPr>
            <w:tcW w:w="9760" w:type="dxa"/>
            <w:vAlign w:val="bottom"/>
            <w:gridSpan w:val="12"/>
          </w:tcPr>
          <w:p>
            <w:pPr>
              <w:spacing w:after="0"/>
              <w:rPr>
                <w:rFonts w:ascii="Arial" w:cs="Arial" w:eastAsia="Arial" w:hAnsi="Arial"/>
                <w:sz w:val="18"/>
                <w:szCs w:val="18"/>
                <w:color w:val="0000EE"/>
                <w:w w:val="93"/>
              </w:rPr>
            </w:pPr>
            <w:hyperlink r:id="rId27">
              <w:r>
                <w:rPr>
                  <w:rFonts w:ascii="Arial" w:cs="Arial" w:eastAsia="Arial" w:hAnsi="Arial"/>
                  <w:sz w:val="18"/>
                  <w:szCs w:val="18"/>
                  <w:color w:val="0000EE"/>
                  <w:w w:val="93"/>
                </w:rPr>
                <w:t>Sixth Amended and Restated Bylaws of Sabre Corporation (incorporated by reference to Exhibit 3.1 of Sabre Corporation’s Current</w:t>
              </w:r>
            </w:hyperlink>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5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27">
              <w:r>
                <w:rPr>
                  <w:rFonts w:ascii="Arial" w:cs="Arial" w:eastAsia="Arial" w:hAnsi="Arial"/>
                  <w:sz w:val="18"/>
                  <w:szCs w:val="18"/>
                  <w:color w:val="0000EE"/>
                </w:rPr>
                <w:t>Report on Form 8-K filed with the Securities and Exchange Commission on February 6, 2020).</w:t>
              </w:r>
            </w:hyperlink>
          </w:p>
        </w:tc>
        <w:tc>
          <w:tcPr>
            <w:tcW w:w="2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4.3</w:t>
            </w:r>
          </w:p>
        </w:tc>
        <w:tc>
          <w:tcPr>
            <w:tcW w:w="620" w:type="dxa"/>
            <w:vAlign w:val="bottom"/>
          </w:tcPr>
          <w:p>
            <w:pPr>
              <w:spacing w:after="0"/>
              <w:rPr>
                <w:sz w:val="24"/>
                <w:szCs w:val="24"/>
                <w:color w:val="auto"/>
              </w:rPr>
            </w:pPr>
          </w:p>
        </w:tc>
        <w:tc>
          <w:tcPr>
            <w:tcW w:w="9760" w:type="dxa"/>
            <w:vAlign w:val="bottom"/>
            <w:gridSpan w:val="12"/>
          </w:tcPr>
          <w:p>
            <w:pPr>
              <w:spacing w:after="0"/>
              <w:rPr>
                <w:rFonts w:ascii="Arial" w:cs="Arial" w:eastAsia="Arial" w:hAnsi="Arial"/>
                <w:sz w:val="18"/>
                <w:szCs w:val="18"/>
                <w:color w:val="0000EE"/>
                <w:w w:val="91"/>
              </w:rPr>
            </w:pPr>
            <w:hyperlink r:id="rId28">
              <w:r>
                <w:rPr>
                  <w:rFonts w:ascii="Arial" w:cs="Arial" w:eastAsia="Arial" w:hAnsi="Arial"/>
                  <w:sz w:val="18"/>
                  <w:szCs w:val="18"/>
                  <w:color w:val="0000EE"/>
                  <w:w w:val="91"/>
                </w:rPr>
                <w:t>Sabre Corporation 2022 Director Equity Compensation Plan (incorporated by reference to Exhibit 10.1 of Sabre Corporation’s Current</w:t>
              </w:r>
            </w:hyperlink>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7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28">
              <w:r>
                <w:rPr>
                  <w:rFonts w:ascii="Arial" w:cs="Arial" w:eastAsia="Arial" w:hAnsi="Arial"/>
                  <w:sz w:val="18"/>
                  <w:szCs w:val="18"/>
                  <w:color w:val="0000EE"/>
                </w:rPr>
                <w:t>Report on Form 8-K filed with the Securities and Exchange Commission on April 29, 2022).</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5.1*</w:t>
            </w:r>
          </w:p>
        </w:tc>
        <w:tc>
          <w:tcPr>
            <w:tcW w:w="620" w:type="dxa"/>
            <w:vAlign w:val="bottom"/>
          </w:tcPr>
          <w:p>
            <w:pPr>
              <w:spacing w:after="0"/>
              <w:rPr>
                <w:sz w:val="24"/>
                <w:szCs w:val="24"/>
                <w:color w:val="auto"/>
              </w:rPr>
            </w:pPr>
          </w:p>
        </w:tc>
        <w:tc>
          <w:tcPr>
            <w:tcW w:w="18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w:anchor="page6">
              <w:r>
                <w:rPr>
                  <w:rFonts w:ascii="Arial" w:cs="Arial" w:eastAsia="Arial" w:hAnsi="Arial"/>
                  <w:sz w:val="18"/>
                  <w:szCs w:val="18"/>
                  <w:color w:val="0000EE"/>
                  <w:w w:val="94"/>
                </w:rPr>
                <w:t>Opinion of Steve Milton.</w:t>
              </w:r>
            </w:hyperlink>
          </w:p>
        </w:tc>
        <w:tc>
          <w:tcPr>
            <w:tcW w:w="4860" w:type="dxa"/>
            <w:vAlign w:val="bottom"/>
            <w:tcBorders>
              <w:top w:val="single" w:sz="8" w:color="0000EE"/>
            </w:tcBorders>
            <w:gridSpan w:val="4"/>
          </w:tcPr>
          <w:p>
            <w:pPr>
              <w:spacing w:after="0"/>
              <w:rPr>
                <w:sz w:val="24"/>
                <w:szCs w:val="24"/>
                <w:color w:val="auto"/>
              </w:rPr>
            </w:pPr>
          </w:p>
        </w:tc>
        <w:tc>
          <w:tcPr>
            <w:tcW w:w="30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23.1*</w:t>
            </w:r>
          </w:p>
        </w:tc>
        <w:tc>
          <w:tcPr>
            <w:tcW w:w="620" w:type="dxa"/>
            <w:vAlign w:val="bottom"/>
          </w:tcPr>
          <w:p>
            <w:pPr>
              <w:spacing w:after="0"/>
              <w:rPr>
                <w:sz w:val="24"/>
                <w:szCs w:val="24"/>
                <w:color w:val="auto"/>
              </w:rPr>
            </w:pPr>
          </w:p>
        </w:tc>
        <w:tc>
          <w:tcPr>
            <w:tcW w:w="9760" w:type="dxa"/>
            <w:vAlign w:val="bottom"/>
            <w:gridSpan w:val="1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Consent of Steve Milton (included in Exhibit 5.1).</w:t>
              </w:r>
            </w:hyperlink>
          </w:p>
        </w:tc>
        <w:tc>
          <w:tcPr>
            <w:tcW w:w="0" w:type="dxa"/>
            <w:vAlign w:val="bottom"/>
          </w:tcPr>
          <w:p>
            <w:pPr>
              <w:spacing w:after="0"/>
              <w:rPr>
                <w:sz w:val="1"/>
                <w:szCs w:val="1"/>
                <w:color w:val="auto"/>
              </w:rPr>
            </w:pP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23.2*</w:t>
            </w:r>
          </w:p>
        </w:tc>
        <w:tc>
          <w:tcPr>
            <w:tcW w:w="620" w:type="dxa"/>
            <w:vAlign w:val="bottom"/>
          </w:tcPr>
          <w:p>
            <w:pPr>
              <w:spacing w:after="0"/>
              <w:rPr>
                <w:sz w:val="24"/>
                <w:szCs w:val="24"/>
                <w:color w:val="auto"/>
              </w:rPr>
            </w:pPr>
          </w:p>
        </w:tc>
        <w:tc>
          <w:tcPr>
            <w:tcW w:w="3620" w:type="dxa"/>
            <w:vAlign w:val="bottom"/>
            <w:tcBorders>
              <w:top w:val="single" w:sz="8" w:color="0000EE"/>
            </w:tcBorders>
            <w:gridSpan w:val="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Consent of Ernst &amp; Young LLP.</w:t>
              </w:r>
            </w:hyperlink>
          </w:p>
        </w:tc>
        <w:tc>
          <w:tcPr>
            <w:tcW w:w="61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37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24.1*</w:t>
            </w:r>
          </w:p>
        </w:tc>
        <w:tc>
          <w:tcPr>
            <w:tcW w:w="620" w:type="dxa"/>
            <w:vAlign w:val="bottom"/>
          </w:tcPr>
          <w:p>
            <w:pPr>
              <w:spacing w:after="0"/>
              <w:rPr>
                <w:sz w:val="24"/>
                <w:szCs w:val="24"/>
                <w:color w:val="auto"/>
              </w:rPr>
            </w:pPr>
          </w:p>
        </w:tc>
        <w:tc>
          <w:tcPr>
            <w:tcW w:w="60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Powers of Attorney (included on the signature page of this Registration Statement).</w:t>
              </w:r>
            </w:hyperlink>
          </w:p>
        </w:tc>
        <w:tc>
          <w:tcPr>
            <w:tcW w:w="37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107*</w:t>
            </w:r>
          </w:p>
        </w:tc>
        <w:tc>
          <w:tcPr>
            <w:tcW w:w="620" w:type="dxa"/>
            <w:vAlign w:val="bottom"/>
          </w:tcPr>
          <w:p>
            <w:pPr>
              <w:spacing w:after="0"/>
              <w:rPr>
                <w:sz w:val="24"/>
                <w:szCs w:val="24"/>
                <w:color w:val="auto"/>
              </w:rPr>
            </w:pPr>
          </w:p>
        </w:tc>
        <w:tc>
          <w:tcPr>
            <w:tcW w:w="9760" w:type="dxa"/>
            <w:vAlign w:val="bottom"/>
            <w:gridSpan w:val="1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Filing Fee Table.</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sz w:val="20"/>
          <w:szCs w:val="20"/>
          <w:color w:val="auto"/>
        </w:rPr>
      </w:pPr>
    </w:p>
    <w:p>
      <w:pPr>
        <w:ind w:left="244" w:hanging="244"/>
        <w:spacing w:after="0"/>
        <w:tabs>
          <w:tab w:leader="none" w:pos="24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704" w:hanging="264"/>
        <w:spacing w:after="0"/>
        <w:tabs>
          <w:tab w:leader="none" w:pos="704"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204" w:hanging="213"/>
        <w:spacing w:after="0"/>
        <w:tabs>
          <w:tab w:leader="none" w:pos="1204"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17" w:lineRule="exact"/>
        <w:rPr>
          <w:rFonts w:ascii="Arial" w:cs="Arial" w:eastAsia="Arial" w:hAnsi="Arial"/>
          <w:sz w:val="18"/>
          <w:szCs w:val="18"/>
          <w:color w:val="auto"/>
        </w:rPr>
      </w:pPr>
    </w:p>
    <w:p>
      <w:pPr>
        <w:ind w:left="984" w:right="220" w:firstLine="7"/>
        <w:spacing w:after="0" w:line="263" w:lineRule="auto"/>
        <w:tabs>
          <w:tab w:leader="none" w:pos="1249"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75" w:lineRule="exact"/>
        <w:rPr>
          <w:rFonts w:ascii="Arial" w:cs="Arial" w:eastAsia="Arial" w:hAnsi="Arial"/>
          <w:sz w:val="18"/>
          <w:szCs w:val="18"/>
          <w:color w:val="auto"/>
        </w:rPr>
      </w:pPr>
    </w:p>
    <w:p>
      <w:pPr>
        <w:ind w:left="984" w:right="300" w:firstLine="7"/>
        <w:spacing w:after="0" w:line="277" w:lineRule="auto"/>
        <w:tabs>
          <w:tab w:leader="none" w:pos="1299"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444" w:right="60"/>
        <w:spacing w:after="0" w:line="263"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paragraphs (a)(1)(i) and (a)(1)(ii) do not apply if the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periodic reports filed with or furnished to the Commission by the registrant pursuant to Section 13 or 15(d) of the Exchange Act that are incorporated by reference in this registration statement.</w:t>
      </w:r>
    </w:p>
    <w:p>
      <w:pPr>
        <w:spacing w:after="0" w:line="76" w:lineRule="exact"/>
        <w:rPr>
          <w:sz w:val="20"/>
          <w:szCs w:val="20"/>
          <w:color w:val="auto"/>
        </w:rPr>
      </w:pPr>
    </w:p>
    <w:p>
      <w:pPr>
        <w:ind w:left="444" w:right="40" w:hanging="4"/>
        <w:spacing w:after="0" w:line="263" w:lineRule="auto"/>
        <w:tabs>
          <w:tab w:leader="none" w:pos="699"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75" w:lineRule="exact"/>
        <w:rPr>
          <w:rFonts w:ascii="Arial" w:cs="Arial" w:eastAsia="Arial" w:hAnsi="Arial"/>
          <w:sz w:val="18"/>
          <w:szCs w:val="18"/>
          <w:color w:val="auto"/>
        </w:rPr>
      </w:pPr>
    </w:p>
    <w:p>
      <w:pPr>
        <w:ind w:left="444" w:right="660" w:hanging="4"/>
        <w:spacing w:after="0" w:line="277" w:lineRule="auto"/>
        <w:tabs>
          <w:tab w:leader="none" w:pos="699"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4" w:right="220" w:hanging="4"/>
        <w:spacing w:after="0" w:line="257" w:lineRule="auto"/>
        <w:tabs>
          <w:tab w:leader="none" w:pos="259"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79" w:lineRule="exact"/>
        <w:rPr>
          <w:rFonts w:ascii="Arial" w:cs="Arial" w:eastAsia="Arial" w:hAnsi="Arial"/>
          <w:sz w:val="18"/>
          <w:szCs w:val="18"/>
          <w:color w:val="auto"/>
        </w:rPr>
      </w:pPr>
    </w:p>
    <w:p>
      <w:pPr>
        <w:ind w:left="4" w:right="120" w:hanging="4"/>
        <w:spacing w:after="0" w:line="254" w:lineRule="auto"/>
        <w:tabs>
          <w:tab w:leader="none" w:pos="249"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4"/>
          </w:cols>
          <w:pgMar w:left="436" w:top="270" w:right="4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12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the requirements for filing on Form S-8 and has duly caused this registration statement to be signed on its behalf by the undersigned, thereunto duly authorized, in the City of Southlake, State of Texas, on the 3</w:t>
      </w:r>
      <w:r>
        <w:rPr>
          <w:rFonts w:ascii="Arial" w:cs="Arial" w:eastAsia="Arial" w:hAnsi="Arial"/>
          <w:sz w:val="15"/>
          <w:szCs w:val="15"/>
          <w:color w:val="auto"/>
        </w:rPr>
        <w:t>rd</w:t>
      </w:r>
      <w:r>
        <w:rPr>
          <w:rFonts w:ascii="Arial" w:cs="Arial" w:eastAsia="Arial" w:hAnsi="Arial"/>
          <w:sz w:val="18"/>
          <w:szCs w:val="18"/>
          <w:color w:val="auto"/>
        </w:rPr>
        <w:t xml:space="preserve"> day of May, 2022.</w:t>
      </w:r>
    </w:p>
    <w:p>
      <w:pPr>
        <w:spacing w:after="0" w:line="85"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SABRE CORPORATION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Sean Menke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Sean Menke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Chair of the Board and Chief Executive Officer</w:t>
      </w:r>
    </w:p>
    <w:p>
      <w:pPr>
        <w:spacing w:after="0" w:line="103"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KNOW ALL BY THESE PRESENTS that each individual whose signature appears below constitutes and appoints Sean Menke, Douglas Barnett and Steve Milton, and each of them acting individually, as his or her true and lawful attorney-in-fact, each with full power of substitution and resubstitution, for him or her and in his or her name, place and stead, in any and all capacities (unless revoked in writing), to sign any and all amendments (including post-effective amendments thereto) to this registration statement on Form S-8, and to file the same, with exhibits thereto and other documents in connection therewith, with the Securities and Exchange Commission, granting to such attorney-in-fact and agents full power and authority to do and perform each and every act and thing requisite and necessary to be done in connection therewith, as full to all intents and purposes as he or she might or could do in person, hereby ratifying and confirming all that such attorney-in-fact and agents, or their or his or her substitute or substitutes, may lawfully do or cause to be done by virtue hereof.</w:t>
      </w:r>
    </w:p>
    <w:p>
      <w:pPr>
        <w:spacing w:after="0" w:line="70"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This document may be executed in counterparts that when so executed shall constitute one registration statement, notwithstanding that all of the undersigned are not signatories to the original of the same counterpart.</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Signatures</w:t>
            </w:r>
          </w:p>
        </w:tc>
        <w:tc>
          <w:tcPr>
            <w:tcW w:w="2280" w:type="dxa"/>
            <w:vAlign w:val="bottom"/>
            <w:vMerge w:val="restart"/>
          </w:tcPr>
          <w:p>
            <w:pPr>
              <w:jc w:val="right"/>
              <w:spacing w:after="0"/>
              <w:rPr>
                <w:sz w:val="20"/>
                <w:szCs w:val="20"/>
                <w:color w:val="auto"/>
              </w:rPr>
            </w:pPr>
            <w:r>
              <w:rPr>
                <w:rFonts w:ascii="Arial" w:cs="Arial" w:eastAsia="Arial" w:hAnsi="Arial"/>
                <w:sz w:val="18"/>
                <w:szCs w:val="18"/>
                <w:color w:val="auto"/>
              </w:rPr>
              <w:t>Chair of the Board,</w:t>
            </w:r>
          </w:p>
        </w:tc>
        <w:tc>
          <w:tcPr>
            <w:tcW w:w="2280" w:type="dxa"/>
            <w:vAlign w:val="bottom"/>
            <w:gridSpan w:val="2"/>
          </w:tcPr>
          <w:p>
            <w:pPr>
              <w:jc w:val="center"/>
              <w:ind w:right="1960"/>
              <w:spacing w:after="0"/>
              <w:rPr>
                <w:sz w:val="20"/>
                <w:szCs w:val="20"/>
                <w:color w:val="auto"/>
              </w:rPr>
            </w:pPr>
            <w:r>
              <w:rPr>
                <w:rFonts w:ascii="Arial" w:cs="Arial" w:eastAsia="Arial" w:hAnsi="Arial"/>
                <w:sz w:val="14"/>
                <w:szCs w:val="14"/>
                <w:b w:val="1"/>
                <w:bCs w:val="1"/>
                <w:color w:val="auto"/>
                <w:w w:val="97"/>
              </w:rPr>
              <w:t>Title</w:t>
            </w:r>
          </w:p>
        </w:tc>
        <w:tc>
          <w:tcPr>
            <w:tcW w:w="1340" w:type="dxa"/>
            <w:vAlign w:val="bottom"/>
            <w:gridSpan w:val="3"/>
          </w:tcPr>
          <w:p>
            <w:pPr>
              <w:jc w:val="center"/>
              <w:ind w:left="351"/>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80" w:type="dxa"/>
            <w:vAlign w:val="bottom"/>
            <w:vMerge w:val="continue"/>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280" w:type="dxa"/>
            <w:vAlign w:val="bottom"/>
            <w:vMerge w:val="continue"/>
          </w:tcPr>
          <w:p>
            <w:pPr>
              <w:spacing w:after="0"/>
              <w:rPr>
                <w:sz w:val="16"/>
                <w:szCs w:val="16"/>
                <w:color w:val="auto"/>
              </w:rPr>
            </w:pPr>
          </w:p>
        </w:tc>
        <w:tc>
          <w:tcPr>
            <w:tcW w:w="2280" w:type="dxa"/>
            <w:vAlign w:val="bottom"/>
            <w:gridSpan w:val="2"/>
          </w:tcPr>
          <w:p>
            <w:pPr>
              <w:spacing w:after="0" w:line="195" w:lineRule="exact"/>
              <w:rPr>
                <w:sz w:val="20"/>
                <w:szCs w:val="20"/>
                <w:color w:val="auto"/>
              </w:rPr>
            </w:pPr>
            <w:r>
              <w:rPr>
                <w:rFonts w:ascii="Arial" w:cs="Arial" w:eastAsia="Arial" w:hAnsi="Arial"/>
                <w:sz w:val="18"/>
                <w:szCs w:val="18"/>
                <w:color w:val="auto"/>
              </w:rPr>
              <w:t>Chief Executive Officer</w:t>
            </w: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4560" w:type="dxa"/>
            <w:vAlign w:val="bottom"/>
            <w:gridSpan w:val="3"/>
          </w:tcPr>
          <w:p>
            <w:pPr>
              <w:jc w:val="center"/>
              <w:ind w:left="210"/>
              <w:spacing w:after="0"/>
              <w:rPr>
                <w:sz w:val="20"/>
                <w:szCs w:val="20"/>
                <w:color w:val="auto"/>
              </w:rPr>
            </w:pPr>
            <w:r>
              <w:rPr>
                <w:rFonts w:ascii="Arial" w:cs="Arial" w:eastAsia="Arial" w:hAnsi="Arial"/>
                <w:sz w:val="18"/>
                <w:szCs w:val="18"/>
                <w:color w:val="auto"/>
                <w:w w:val="91"/>
              </w:rPr>
              <w:t>and Director</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Sean Menke</w:t>
            </w:r>
          </w:p>
        </w:tc>
        <w:tc>
          <w:tcPr>
            <w:tcW w:w="4560" w:type="dxa"/>
            <w:vAlign w:val="bottom"/>
            <w:gridSpan w:val="3"/>
          </w:tcPr>
          <w:p>
            <w:pPr>
              <w:jc w:val="center"/>
              <w:ind w:left="210"/>
              <w:spacing w:after="0"/>
              <w:rPr>
                <w:sz w:val="20"/>
                <w:szCs w:val="20"/>
                <w:color w:val="auto"/>
              </w:rPr>
            </w:pPr>
            <w:r>
              <w:rPr>
                <w:rFonts w:ascii="Arial" w:cs="Arial" w:eastAsia="Arial" w:hAnsi="Arial"/>
                <w:sz w:val="18"/>
                <w:szCs w:val="18"/>
                <w:color w:val="auto"/>
                <w:w w:val="94"/>
              </w:rPr>
              <w:t>(Principal Executive Officer)</w:t>
            </w:r>
          </w:p>
        </w:tc>
        <w:tc>
          <w:tcPr>
            <w:tcW w:w="1340" w:type="dxa"/>
            <w:vAlign w:val="bottom"/>
            <w:gridSpan w:val="3"/>
          </w:tcPr>
          <w:p>
            <w:pPr>
              <w:jc w:val="center"/>
              <w:ind w:left="351"/>
              <w:spacing w:after="0"/>
              <w:rPr>
                <w:sz w:val="20"/>
                <w:szCs w:val="20"/>
                <w:color w:val="auto"/>
              </w:rPr>
            </w:pPr>
            <w:r>
              <w:rPr>
                <w:rFonts w:ascii="Arial" w:cs="Arial" w:eastAsia="Arial" w:hAnsi="Arial"/>
                <w:sz w:val="18"/>
                <w:szCs w:val="18"/>
                <w:color w:val="auto"/>
                <w:w w:val="90"/>
              </w:rPr>
              <w:t>May 3, 2022</w:t>
            </w:r>
          </w:p>
        </w:tc>
        <w:tc>
          <w:tcPr>
            <w:tcW w:w="0" w:type="dxa"/>
            <w:vAlign w:val="bottom"/>
          </w:tcPr>
          <w:p>
            <w:pPr>
              <w:spacing w:after="0"/>
              <w:rPr>
                <w:sz w:val="1"/>
                <w:szCs w:val="1"/>
                <w:color w:val="auto"/>
              </w:rPr>
            </w:pPr>
          </w:p>
        </w:tc>
      </w:tr>
      <w:tr>
        <w:trPr>
          <w:trHeight w:val="228"/>
        </w:trPr>
        <w:tc>
          <w:tcPr>
            <w:tcW w:w="49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Sean Menke</w:t>
            </w:r>
          </w:p>
        </w:tc>
        <w:tc>
          <w:tcPr>
            <w:tcW w:w="4560" w:type="dxa"/>
            <w:vAlign w:val="bottom"/>
            <w:gridSpan w:val="3"/>
            <w:vMerge w:val="restart"/>
          </w:tcPr>
          <w:p>
            <w:pPr>
              <w:jc w:val="center"/>
              <w:ind w:left="230"/>
              <w:spacing w:after="0"/>
              <w:rPr>
                <w:sz w:val="20"/>
                <w:szCs w:val="20"/>
                <w:color w:val="auto"/>
              </w:rPr>
            </w:pPr>
            <w:r>
              <w:rPr>
                <w:rFonts w:ascii="Arial" w:cs="Arial" w:eastAsia="Arial" w:hAnsi="Arial"/>
                <w:sz w:val="18"/>
                <w:szCs w:val="18"/>
                <w:color w:val="auto"/>
                <w:w w:val="90"/>
              </w:rPr>
              <w:t>Executive Vice President and</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560" w:type="dxa"/>
            <w:vAlign w:val="bottom"/>
            <w:gridSpan w:val="3"/>
            <w:vMerge w:val="continue"/>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560" w:type="dxa"/>
            <w:vAlign w:val="bottom"/>
            <w:gridSpan w:val="3"/>
          </w:tcPr>
          <w:p>
            <w:pPr>
              <w:jc w:val="center"/>
              <w:ind w:left="230"/>
              <w:spacing w:after="0"/>
              <w:rPr>
                <w:sz w:val="20"/>
                <w:szCs w:val="20"/>
                <w:color w:val="auto"/>
              </w:rPr>
            </w:pPr>
            <w:r>
              <w:rPr>
                <w:rFonts w:ascii="Arial" w:cs="Arial" w:eastAsia="Arial" w:hAnsi="Arial"/>
                <w:sz w:val="18"/>
                <w:szCs w:val="18"/>
                <w:color w:val="auto"/>
                <w:w w:val="94"/>
              </w:rPr>
              <w:t>Chief Financial Officer</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Douglas Barnett</w:t>
            </w:r>
          </w:p>
        </w:tc>
        <w:tc>
          <w:tcPr>
            <w:tcW w:w="4560" w:type="dxa"/>
            <w:vAlign w:val="bottom"/>
            <w:gridSpan w:val="3"/>
          </w:tcPr>
          <w:p>
            <w:pPr>
              <w:jc w:val="center"/>
              <w:ind w:left="230"/>
              <w:spacing w:after="0"/>
              <w:rPr>
                <w:sz w:val="20"/>
                <w:szCs w:val="20"/>
                <w:color w:val="auto"/>
              </w:rPr>
            </w:pPr>
            <w:r>
              <w:rPr>
                <w:rFonts w:ascii="Arial" w:cs="Arial" w:eastAsia="Arial" w:hAnsi="Arial"/>
                <w:sz w:val="18"/>
                <w:szCs w:val="18"/>
                <w:color w:val="auto"/>
                <w:w w:val="94"/>
              </w:rPr>
              <w:t>(Principal Financial Officer)</w:t>
            </w:r>
          </w:p>
        </w:tc>
        <w:tc>
          <w:tcPr>
            <w:tcW w:w="1340" w:type="dxa"/>
            <w:vAlign w:val="bottom"/>
            <w:gridSpan w:val="3"/>
          </w:tcPr>
          <w:p>
            <w:pPr>
              <w:jc w:val="center"/>
              <w:ind w:left="351"/>
              <w:spacing w:after="0"/>
              <w:rPr>
                <w:sz w:val="20"/>
                <w:szCs w:val="20"/>
                <w:color w:val="auto"/>
              </w:rPr>
            </w:pPr>
            <w:r>
              <w:rPr>
                <w:rFonts w:ascii="Arial" w:cs="Arial" w:eastAsia="Arial" w:hAnsi="Arial"/>
                <w:sz w:val="18"/>
                <w:szCs w:val="18"/>
                <w:color w:val="auto"/>
                <w:w w:val="90"/>
              </w:rPr>
              <w:t>May 3, 2022</w:t>
            </w:r>
          </w:p>
        </w:tc>
        <w:tc>
          <w:tcPr>
            <w:tcW w:w="0" w:type="dxa"/>
            <w:vAlign w:val="bottom"/>
          </w:tcPr>
          <w:p>
            <w:pPr>
              <w:spacing w:after="0"/>
              <w:rPr>
                <w:sz w:val="1"/>
                <w:szCs w:val="1"/>
                <w:color w:val="auto"/>
              </w:rPr>
            </w:pPr>
          </w:p>
        </w:tc>
      </w:tr>
      <w:tr>
        <w:trPr>
          <w:trHeight w:val="228"/>
        </w:trPr>
        <w:tc>
          <w:tcPr>
            <w:tcW w:w="49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Douglas Barnett</w:t>
            </w:r>
          </w:p>
        </w:tc>
        <w:tc>
          <w:tcPr>
            <w:tcW w:w="4560" w:type="dxa"/>
            <w:vAlign w:val="bottom"/>
            <w:gridSpan w:val="3"/>
            <w:vMerge w:val="restart"/>
          </w:tcPr>
          <w:p>
            <w:pPr>
              <w:jc w:val="center"/>
              <w:ind w:left="210"/>
              <w:spacing w:after="0"/>
              <w:rPr>
                <w:sz w:val="20"/>
                <w:szCs w:val="20"/>
                <w:color w:val="auto"/>
              </w:rPr>
            </w:pPr>
            <w:r>
              <w:rPr>
                <w:rFonts w:ascii="Arial" w:cs="Arial" w:eastAsia="Arial" w:hAnsi="Arial"/>
                <w:sz w:val="18"/>
                <w:szCs w:val="18"/>
                <w:color w:val="auto"/>
                <w:w w:val="90"/>
              </w:rPr>
              <w:t>Senior Vice President and Corporate Controller</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560" w:type="dxa"/>
            <w:vAlign w:val="bottom"/>
            <w:gridSpan w:val="3"/>
            <w:vMerge w:val="continue"/>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Jami Kindle</w:t>
            </w:r>
          </w:p>
        </w:tc>
        <w:tc>
          <w:tcPr>
            <w:tcW w:w="4560" w:type="dxa"/>
            <w:vAlign w:val="bottom"/>
            <w:gridSpan w:val="3"/>
          </w:tcPr>
          <w:p>
            <w:pPr>
              <w:jc w:val="center"/>
              <w:ind w:left="210"/>
              <w:spacing w:after="0"/>
              <w:rPr>
                <w:sz w:val="20"/>
                <w:szCs w:val="20"/>
                <w:color w:val="auto"/>
              </w:rPr>
            </w:pPr>
            <w:r>
              <w:rPr>
                <w:rFonts w:ascii="Arial" w:cs="Arial" w:eastAsia="Arial" w:hAnsi="Arial"/>
                <w:sz w:val="18"/>
                <w:szCs w:val="18"/>
                <w:color w:val="auto"/>
                <w:w w:val="95"/>
              </w:rPr>
              <w:t>(Principal Accounting Officer)</w:t>
            </w:r>
          </w:p>
        </w:tc>
        <w:tc>
          <w:tcPr>
            <w:tcW w:w="1340" w:type="dxa"/>
            <w:vAlign w:val="bottom"/>
            <w:gridSpan w:val="3"/>
          </w:tcPr>
          <w:p>
            <w:pPr>
              <w:jc w:val="center"/>
              <w:ind w:left="351"/>
              <w:spacing w:after="0"/>
              <w:rPr>
                <w:sz w:val="20"/>
                <w:szCs w:val="20"/>
                <w:color w:val="auto"/>
              </w:rPr>
            </w:pPr>
            <w:r>
              <w:rPr>
                <w:rFonts w:ascii="Arial" w:cs="Arial" w:eastAsia="Arial" w:hAnsi="Arial"/>
                <w:sz w:val="18"/>
                <w:szCs w:val="18"/>
                <w:color w:val="auto"/>
                <w:w w:val="90"/>
              </w:rPr>
              <w:t>May 3, 2022</w:t>
            </w:r>
          </w:p>
        </w:tc>
        <w:tc>
          <w:tcPr>
            <w:tcW w:w="0" w:type="dxa"/>
            <w:vAlign w:val="bottom"/>
          </w:tcPr>
          <w:p>
            <w:pPr>
              <w:spacing w:after="0"/>
              <w:rPr>
                <w:sz w:val="1"/>
                <w:szCs w:val="1"/>
                <w:color w:val="auto"/>
              </w:rPr>
            </w:pPr>
          </w:p>
        </w:tc>
      </w:tr>
      <w:tr>
        <w:trPr>
          <w:trHeight w:val="228"/>
        </w:trPr>
        <w:tc>
          <w:tcPr>
            <w:tcW w:w="49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4"/>
              </w:rPr>
              <w:t>Jami Kindle</w:t>
            </w: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George R. Bravante, Jr.</w:t>
            </w:r>
          </w:p>
        </w:tc>
        <w:tc>
          <w:tcPr>
            <w:tcW w:w="4560" w:type="dxa"/>
            <w:vAlign w:val="bottom"/>
            <w:gridSpan w:val="3"/>
          </w:tcPr>
          <w:p>
            <w:pPr>
              <w:jc w:val="center"/>
              <w:ind w:left="230"/>
              <w:spacing w:after="0"/>
              <w:rPr>
                <w:sz w:val="20"/>
                <w:szCs w:val="20"/>
                <w:color w:val="auto"/>
              </w:rPr>
            </w:pPr>
            <w:r>
              <w:rPr>
                <w:rFonts w:ascii="Arial" w:cs="Arial" w:eastAsia="Arial" w:hAnsi="Arial"/>
                <w:sz w:val="18"/>
                <w:szCs w:val="18"/>
                <w:color w:val="auto"/>
                <w:w w:val="95"/>
              </w:rPr>
              <w:t>Director</w:t>
            </w:r>
          </w:p>
        </w:tc>
        <w:tc>
          <w:tcPr>
            <w:tcW w:w="1340" w:type="dxa"/>
            <w:vAlign w:val="bottom"/>
            <w:gridSpan w:val="3"/>
          </w:tcPr>
          <w:p>
            <w:pPr>
              <w:jc w:val="center"/>
              <w:ind w:left="351"/>
              <w:spacing w:after="0"/>
              <w:rPr>
                <w:sz w:val="20"/>
                <w:szCs w:val="20"/>
                <w:color w:val="auto"/>
              </w:rPr>
            </w:pPr>
            <w:r>
              <w:rPr>
                <w:rFonts w:ascii="Arial" w:cs="Arial" w:eastAsia="Arial" w:hAnsi="Arial"/>
                <w:sz w:val="18"/>
                <w:szCs w:val="18"/>
                <w:color w:val="auto"/>
                <w:w w:val="90"/>
              </w:rPr>
              <w:t>May 3, 2022</w:t>
            </w:r>
          </w:p>
        </w:tc>
        <w:tc>
          <w:tcPr>
            <w:tcW w:w="0" w:type="dxa"/>
            <w:vAlign w:val="bottom"/>
          </w:tcPr>
          <w:p>
            <w:pPr>
              <w:spacing w:after="0"/>
              <w:rPr>
                <w:sz w:val="1"/>
                <w:szCs w:val="1"/>
                <w:color w:val="auto"/>
              </w:rPr>
            </w:pPr>
          </w:p>
        </w:tc>
      </w:tr>
      <w:tr>
        <w:trPr>
          <w:trHeight w:val="228"/>
        </w:trPr>
        <w:tc>
          <w:tcPr>
            <w:tcW w:w="49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George R. Bravante, Jr.</w:t>
            </w: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Hervé Couturier</w:t>
            </w:r>
          </w:p>
        </w:tc>
        <w:tc>
          <w:tcPr>
            <w:tcW w:w="4560" w:type="dxa"/>
            <w:vAlign w:val="bottom"/>
            <w:gridSpan w:val="3"/>
          </w:tcPr>
          <w:p>
            <w:pPr>
              <w:jc w:val="center"/>
              <w:ind w:left="230"/>
              <w:spacing w:after="0"/>
              <w:rPr>
                <w:sz w:val="20"/>
                <w:szCs w:val="20"/>
                <w:color w:val="auto"/>
              </w:rPr>
            </w:pPr>
            <w:r>
              <w:rPr>
                <w:rFonts w:ascii="Arial" w:cs="Arial" w:eastAsia="Arial" w:hAnsi="Arial"/>
                <w:sz w:val="18"/>
                <w:szCs w:val="18"/>
                <w:color w:val="auto"/>
                <w:w w:val="95"/>
              </w:rPr>
              <w:t>Director</w:t>
            </w:r>
          </w:p>
        </w:tc>
        <w:tc>
          <w:tcPr>
            <w:tcW w:w="1340" w:type="dxa"/>
            <w:vAlign w:val="bottom"/>
            <w:gridSpan w:val="3"/>
          </w:tcPr>
          <w:p>
            <w:pPr>
              <w:jc w:val="center"/>
              <w:ind w:left="351"/>
              <w:spacing w:after="0"/>
              <w:rPr>
                <w:sz w:val="20"/>
                <w:szCs w:val="20"/>
                <w:color w:val="auto"/>
              </w:rPr>
            </w:pPr>
            <w:r>
              <w:rPr>
                <w:rFonts w:ascii="Arial" w:cs="Arial" w:eastAsia="Arial" w:hAnsi="Arial"/>
                <w:sz w:val="18"/>
                <w:szCs w:val="18"/>
                <w:color w:val="auto"/>
                <w:w w:val="90"/>
              </w:rPr>
              <w:t>May 3, 2022</w:t>
            </w:r>
          </w:p>
        </w:tc>
        <w:tc>
          <w:tcPr>
            <w:tcW w:w="0" w:type="dxa"/>
            <w:vAlign w:val="bottom"/>
          </w:tcPr>
          <w:p>
            <w:pPr>
              <w:spacing w:after="0"/>
              <w:rPr>
                <w:sz w:val="1"/>
                <w:szCs w:val="1"/>
                <w:color w:val="auto"/>
              </w:rPr>
            </w:pPr>
          </w:p>
        </w:tc>
      </w:tr>
      <w:tr>
        <w:trPr>
          <w:trHeight w:val="228"/>
        </w:trPr>
        <w:tc>
          <w:tcPr>
            <w:tcW w:w="49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4"/>
              </w:rPr>
              <w:t>Hervé Couturier</w:t>
            </w: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Gail Mandel</w:t>
            </w:r>
          </w:p>
        </w:tc>
        <w:tc>
          <w:tcPr>
            <w:tcW w:w="4560" w:type="dxa"/>
            <w:vAlign w:val="bottom"/>
            <w:gridSpan w:val="3"/>
          </w:tcPr>
          <w:p>
            <w:pPr>
              <w:jc w:val="center"/>
              <w:ind w:left="230"/>
              <w:spacing w:after="0"/>
              <w:rPr>
                <w:sz w:val="20"/>
                <w:szCs w:val="20"/>
                <w:color w:val="auto"/>
              </w:rPr>
            </w:pPr>
            <w:r>
              <w:rPr>
                <w:rFonts w:ascii="Arial" w:cs="Arial" w:eastAsia="Arial" w:hAnsi="Arial"/>
                <w:sz w:val="18"/>
                <w:szCs w:val="18"/>
                <w:color w:val="auto"/>
                <w:w w:val="95"/>
              </w:rPr>
              <w:t>Director</w:t>
            </w:r>
          </w:p>
        </w:tc>
        <w:tc>
          <w:tcPr>
            <w:tcW w:w="1340" w:type="dxa"/>
            <w:vAlign w:val="bottom"/>
            <w:gridSpan w:val="3"/>
          </w:tcPr>
          <w:p>
            <w:pPr>
              <w:jc w:val="center"/>
              <w:ind w:left="351"/>
              <w:spacing w:after="0"/>
              <w:rPr>
                <w:sz w:val="20"/>
                <w:szCs w:val="20"/>
                <w:color w:val="auto"/>
              </w:rPr>
            </w:pPr>
            <w:r>
              <w:rPr>
                <w:rFonts w:ascii="Arial" w:cs="Arial" w:eastAsia="Arial" w:hAnsi="Arial"/>
                <w:sz w:val="18"/>
                <w:szCs w:val="18"/>
                <w:color w:val="auto"/>
                <w:w w:val="90"/>
              </w:rPr>
              <w:t>May 3, 2022</w:t>
            </w:r>
          </w:p>
        </w:tc>
        <w:tc>
          <w:tcPr>
            <w:tcW w:w="0" w:type="dxa"/>
            <w:vAlign w:val="bottom"/>
          </w:tcPr>
          <w:p>
            <w:pPr>
              <w:spacing w:after="0"/>
              <w:rPr>
                <w:sz w:val="1"/>
                <w:szCs w:val="1"/>
                <w:color w:val="auto"/>
              </w:rPr>
            </w:pPr>
          </w:p>
        </w:tc>
      </w:tr>
      <w:tr>
        <w:trPr>
          <w:trHeight w:val="228"/>
        </w:trPr>
        <w:tc>
          <w:tcPr>
            <w:tcW w:w="49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4"/>
              </w:rPr>
              <w:t>Gail Mandel</w:t>
            </w: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Phyllis Newhouse</w:t>
            </w:r>
          </w:p>
        </w:tc>
        <w:tc>
          <w:tcPr>
            <w:tcW w:w="4560" w:type="dxa"/>
            <w:vAlign w:val="bottom"/>
            <w:gridSpan w:val="3"/>
          </w:tcPr>
          <w:p>
            <w:pPr>
              <w:jc w:val="center"/>
              <w:ind w:left="230"/>
              <w:spacing w:after="0"/>
              <w:rPr>
                <w:sz w:val="20"/>
                <w:szCs w:val="20"/>
                <w:color w:val="auto"/>
              </w:rPr>
            </w:pPr>
            <w:r>
              <w:rPr>
                <w:rFonts w:ascii="Arial" w:cs="Arial" w:eastAsia="Arial" w:hAnsi="Arial"/>
                <w:sz w:val="18"/>
                <w:szCs w:val="18"/>
                <w:color w:val="auto"/>
                <w:w w:val="95"/>
              </w:rPr>
              <w:t>Director</w:t>
            </w:r>
          </w:p>
        </w:tc>
        <w:tc>
          <w:tcPr>
            <w:tcW w:w="1340" w:type="dxa"/>
            <w:vAlign w:val="bottom"/>
            <w:gridSpan w:val="3"/>
          </w:tcPr>
          <w:p>
            <w:pPr>
              <w:jc w:val="center"/>
              <w:ind w:left="351"/>
              <w:spacing w:after="0"/>
              <w:rPr>
                <w:sz w:val="20"/>
                <w:szCs w:val="20"/>
                <w:color w:val="auto"/>
              </w:rPr>
            </w:pPr>
            <w:r>
              <w:rPr>
                <w:rFonts w:ascii="Arial" w:cs="Arial" w:eastAsia="Arial" w:hAnsi="Arial"/>
                <w:sz w:val="18"/>
                <w:szCs w:val="18"/>
                <w:color w:val="auto"/>
                <w:w w:val="90"/>
              </w:rPr>
              <w:t>May 3, 2022</w:t>
            </w:r>
          </w:p>
        </w:tc>
        <w:tc>
          <w:tcPr>
            <w:tcW w:w="0" w:type="dxa"/>
            <w:vAlign w:val="bottom"/>
          </w:tcPr>
          <w:p>
            <w:pPr>
              <w:spacing w:after="0"/>
              <w:rPr>
                <w:sz w:val="1"/>
                <w:szCs w:val="1"/>
                <w:color w:val="auto"/>
              </w:rPr>
            </w:pPr>
          </w:p>
        </w:tc>
      </w:tr>
      <w:tr>
        <w:trPr>
          <w:trHeight w:val="228"/>
        </w:trPr>
        <w:tc>
          <w:tcPr>
            <w:tcW w:w="49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Phyllis Newhouse</w:t>
            </w: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Karl Peterson</w:t>
            </w:r>
          </w:p>
        </w:tc>
        <w:tc>
          <w:tcPr>
            <w:tcW w:w="4560" w:type="dxa"/>
            <w:vAlign w:val="bottom"/>
            <w:gridSpan w:val="3"/>
          </w:tcPr>
          <w:p>
            <w:pPr>
              <w:jc w:val="center"/>
              <w:ind w:left="230"/>
              <w:spacing w:after="0"/>
              <w:rPr>
                <w:sz w:val="20"/>
                <w:szCs w:val="20"/>
                <w:color w:val="auto"/>
              </w:rPr>
            </w:pPr>
            <w:r>
              <w:rPr>
                <w:rFonts w:ascii="Arial" w:cs="Arial" w:eastAsia="Arial" w:hAnsi="Arial"/>
                <w:sz w:val="18"/>
                <w:szCs w:val="18"/>
                <w:color w:val="auto"/>
                <w:w w:val="95"/>
              </w:rPr>
              <w:t>Director</w:t>
            </w:r>
          </w:p>
        </w:tc>
        <w:tc>
          <w:tcPr>
            <w:tcW w:w="1340" w:type="dxa"/>
            <w:vAlign w:val="bottom"/>
            <w:gridSpan w:val="3"/>
          </w:tcPr>
          <w:p>
            <w:pPr>
              <w:jc w:val="center"/>
              <w:ind w:left="351"/>
              <w:spacing w:after="0"/>
              <w:rPr>
                <w:sz w:val="20"/>
                <w:szCs w:val="20"/>
                <w:color w:val="auto"/>
              </w:rPr>
            </w:pPr>
            <w:r>
              <w:rPr>
                <w:rFonts w:ascii="Arial" w:cs="Arial" w:eastAsia="Arial" w:hAnsi="Arial"/>
                <w:sz w:val="18"/>
                <w:szCs w:val="18"/>
                <w:color w:val="auto"/>
                <w:w w:val="90"/>
              </w:rPr>
              <w:t>May 3, 2022</w:t>
            </w:r>
          </w:p>
        </w:tc>
        <w:tc>
          <w:tcPr>
            <w:tcW w:w="0" w:type="dxa"/>
            <w:vAlign w:val="bottom"/>
          </w:tcPr>
          <w:p>
            <w:pPr>
              <w:spacing w:after="0"/>
              <w:rPr>
                <w:sz w:val="1"/>
                <w:szCs w:val="1"/>
                <w:color w:val="auto"/>
              </w:rPr>
            </w:pPr>
          </w:p>
        </w:tc>
      </w:tr>
      <w:tr>
        <w:trPr>
          <w:trHeight w:val="228"/>
        </w:trPr>
        <w:tc>
          <w:tcPr>
            <w:tcW w:w="49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Karl Peterson</w:t>
            </w: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Zane Rowe</w:t>
            </w:r>
          </w:p>
        </w:tc>
        <w:tc>
          <w:tcPr>
            <w:tcW w:w="4560" w:type="dxa"/>
            <w:vAlign w:val="bottom"/>
            <w:gridSpan w:val="3"/>
          </w:tcPr>
          <w:p>
            <w:pPr>
              <w:jc w:val="center"/>
              <w:ind w:left="230"/>
              <w:spacing w:after="0"/>
              <w:rPr>
                <w:sz w:val="20"/>
                <w:szCs w:val="20"/>
                <w:color w:val="auto"/>
              </w:rPr>
            </w:pPr>
            <w:r>
              <w:rPr>
                <w:rFonts w:ascii="Arial" w:cs="Arial" w:eastAsia="Arial" w:hAnsi="Arial"/>
                <w:sz w:val="18"/>
                <w:szCs w:val="18"/>
                <w:color w:val="auto"/>
                <w:w w:val="95"/>
              </w:rPr>
              <w:t>Director</w:t>
            </w:r>
          </w:p>
        </w:tc>
        <w:tc>
          <w:tcPr>
            <w:tcW w:w="1340" w:type="dxa"/>
            <w:vAlign w:val="bottom"/>
            <w:gridSpan w:val="3"/>
          </w:tcPr>
          <w:p>
            <w:pPr>
              <w:jc w:val="center"/>
              <w:ind w:left="351"/>
              <w:spacing w:after="0"/>
              <w:rPr>
                <w:sz w:val="20"/>
                <w:szCs w:val="20"/>
                <w:color w:val="auto"/>
              </w:rPr>
            </w:pPr>
            <w:r>
              <w:rPr>
                <w:rFonts w:ascii="Arial" w:cs="Arial" w:eastAsia="Arial" w:hAnsi="Arial"/>
                <w:sz w:val="18"/>
                <w:szCs w:val="18"/>
                <w:color w:val="auto"/>
                <w:w w:val="90"/>
              </w:rPr>
              <w:t>May 3, 2022</w:t>
            </w:r>
          </w:p>
        </w:tc>
        <w:tc>
          <w:tcPr>
            <w:tcW w:w="0" w:type="dxa"/>
            <w:vAlign w:val="bottom"/>
          </w:tcPr>
          <w:p>
            <w:pPr>
              <w:spacing w:after="0"/>
              <w:rPr>
                <w:sz w:val="1"/>
                <w:szCs w:val="1"/>
                <w:color w:val="auto"/>
              </w:rPr>
            </w:pPr>
          </w:p>
        </w:tc>
      </w:tr>
      <w:tr>
        <w:trPr>
          <w:trHeight w:val="228"/>
        </w:trPr>
        <w:tc>
          <w:tcPr>
            <w:tcW w:w="49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Zane Rowe</w:t>
            </w: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Gregg Saretsky</w:t>
            </w:r>
          </w:p>
        </w:tc>
        <w:tc>
          <w:tcPr>
            <w:tcW w:w="4560" w:type="dxa"/>
            <w:vAlign w:val="bottom"/>
            <w:gridSpan w:val="3"/>
          </w:tcPr>
          <w:p>
            <w:pPr>
              <w:jc w:val="center"/>
              <w:ind w:left="230"/>
              <w:spacing w:after="0"/>
              <w:rPr>
                <w:sz w:val="20"/>
                <w:szCs w:val="20"/>
                <w:color w:val="auto"/>
              </w:rPr>
            </w:pPr>
            <w:r>
              <w:rPr>
                <w:rFonts w:ascii="Arial" w:cs="Arial" w:eastAsia="Arial" w:hAnsi="Arial"/>
                <w:sz w:val="18"/>
                <w:szCs w:val="18"/>
                <w:color w:val="auto"/>
                <w:w w:val="95"/>
              </w:rPr>
              <w:t>Director</w:t>
            </w:r>
          </w:p>
        </w:tc>
        <w:tc>
          <w:tcPr>
            <w:tcW w:w="1340" w:type="dxa"/>
            <w:vAlign w:val="bottom"/>
            <w:gridSpan w:val="3"/>
          </w:tcPr>
          <w:p>
            <w:pPr>
              <w:jc w:val="center"/>
              <w:ind w:left="351"/>
              <w:spacing w:after="0"/>
              <w:rPr>
                <w:sz w:val="20"/>
                <w:szCs w:val="20"/>
                <w:color w:val="auto"/>
              </w:rPr>
            </w:pPr>
            <w:r>
              <w:rPr>
                <w:rFonts w:ascii="Arial" w:cs="Arial" w:eastAsia="Arial" w:hAnsi="Arial"/>
                <w:sz w:val="18"/>
                <w:szCs w:val="18"/>
                <w:color w:val="auto"/>
                <w:w w:val="90"/>
              </w:rPr>
              <w:t>May 3, 2022</w:t>
            </w:r>
          </w:p>
        </w:tc>
        <w:tc>
          <w:tcPr>
            <w:tcW w:w="0" w:type="dxa"/>
            <w:vAlign w:val="bottom"/>
          </w:tcPr>
          <w:p>
            <w:pPr>
              <w:spacing w:after="0"/>
              <w:rPr>
                <w:sz w:val="1"/>
                <w:szCs w:val="1"/>
                <w:color w:val="auto"/>
              </w:rPr>
            </w:pPr>
          </w:p>
        </w:tc>
      </w:tr>
      <w:tr>
        <w:trPr>
          <w:trHeight w:val="228"/>
        </w:trPr>
        <w:tc>
          <w:tcPr>
            <w:tcW w:w="49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Gregg Saretsky</w:t>
            </w: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7"/>
              </w:rPr>
              <w:t>/s/ John Scott</w:t>
            </w:r>
          </w:p>
        </w:tc>
        <w:tc>
          <w:tcPr>
            <w:tcW w:w="4560" w:type="dxa"/>
            <w:vAlign w:val="bottom"/>
            <w:gridSpan w:val="3"/>
          </w:tcPr>
          <w:p>
            <w:pPr>
              <w:jc w:val="center"/>
              <w:ind w:left="230"/>
              <w:spacing w:after="0"/>
              <w:rPr>
                <w:sz w:val="20"/>
                <w:szCs w:val="20"/>
                <w:color w:val="auto"/>
              </w:rPr>
            </w:pPr>
            <w:r>
              <w:rPr>
                <w:rFonts w:ascii="Arial" w:cs="Arial" w:eastAsia="Arial" w:hAnsi="Arial"/>
                <w:sz w:val="18"/>
                <w:szCs w:val="18"/>
                <w:color w:val="auto"/>
                <w:w w:val="95"/>
              </w:rPr>
              <w:t>Director</w:t>
            </w:r>
          </w:p>
        </w:tc>
        <w:tc>
          <w:tcPr>
            <w:tcW w:w="1340" w:type="dxa"/>
            <w:vAlign w:val="bottom"/>
            <w:gridSpan w:val="3"/>
          </w:tcPr>
          <w:p>
            <w:pPr>
              <w:jc w:val="center"/>
              <w:ind w:left="351"/>
              <w:spacing w:after="0"/>
              <w:rPr>
                <w:sz w:val="20"/>
                <w:szCs w:val="20"/>
                <w:color w:val="auto"/>
              </w:rPr>
            </w:pPr>
            <w:r>
              <w:rPr>
                <w:rFonts w:ascii="Arial" w:cs="Arial" w:eastAsia="Arial" w:hAnsi="Arial"/>
                <w:sz w:val="18"/>
                <w:szCs w:val="18"/>
                <w:color w:val="auto"/>
                <w:w w:val="90"/>
              </w:rPr>
              <w:t>May 3, 2022</w:t>
            </w:r>
          </w:p>
        </w:tc>
        <w:tc>
          <w:tcPr>
            <w:tcW w:w="0" w:type="dxa"/>
            <w:vAlign w:val="bottom"/>
          </w:tcPr>
          <w:p>
            <w:pPr>
              <w:spacing w:after="0"/>
              <w:rPr>
                <w:sz w:val="1"/>
                <w:szCs w:val="1"/>
                <w:color w:val="auto"/>
              </w:rPr>
            </w:pPr>
          </w:p>
        </w:tc>
      </w:tr>
      <w:tr>
        <w:trPr>
          <w:trHeight w:val="228"/>
        </w:trPr>
        <w:tc>
          <w:tcPr>
            <w:tcW w:w="49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5"/>
              </w:rPr>
              <w:t>John Scott</w:t>
            </w: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Wendi Sturgis</w:t>
            </w:r>
          </w:p>
        </w:tc>
        <w:tc>
          <w:tcPr>
            <w:tcW w:w="4560" w:type="dxa"/>
            <w:vAlign w:val="bottom"/>
            <w:gridSpan w:val="3"/>
          </w:tcPr>
          <w:p>
            <w:pPr>
              <w:jc w:val="center"/>
              <w:ind w:left="230"/>
              <w:spacing w:after="0"/>
              <w:rPr>
                <w:sz w:val="20"/>
                <w:szCs w:val="20"/>
                <w:color w:val="auto"/>
              </w:rPr>
            </w:pPr>
            <w:r>
              <w:rPr>
                <w:rFonts w:ascii="Arial" w:cs="Arial" w:eastAsia="Arial" w:hAnsi="Arial"/>
                <w:sz w:val="18"/>
                <w:szCs w:val="18"/>
                <w:color w:val="auto"/>
                <w:w w:val="95"/>
              </w:rPr>
              <w:t>Director</w:t>
            </w:r>
          </w:p>
        </w:tc>
        <w:tc>
          <w:tcPr>
            <w:tcW w:w="1340" w:type="dxa"/>
            <w:vAlign w:val="bottom"/>
            <w:gridSpan w:val="3"/>
          </w:tcPr>
          <w:p>
            <w:pPr>
              <w:jc w:val="center"/>
              <w:ind w:left="351"/>
              <w:spacing w:after="0"/>
              <w:rPr>
                <w:sz w:val="20"/>
                <w:szCs w:val="20"/>
                <w:color w:val="auto"/>
              </w:rPr>
            </w:pPr>
            <w:r>
              <w:rPr>
                <w:rFonts w:ascii="Arial" w:cs="Arial" w:eastAsia="Arial" w:hAnsi="Arial"/>
                <w:sz w:val="18"/>
                <w:szCs w:val="18"/>
                <w:color w:val="auto"/>
                <w:w w:val="90"/>
              </w:rPr>
              <w:t>May 3, 2022</w:t>
            </w:r>
          </w:p>
        </w:tc>
        <w:tc>
          <w:tcPr>
            <w:tcW w:w="0" w:type="dxa"/>
            <w:vAlign w:val="bottom"/>
          </w:tcPr>
          <w:p>
            <w:pPr>
              <w:spacing w:after="0"/>
              <w:rPr>
                <w:sz w:val="1"/>
                <w:szCs w:val="1"/>
                <w:color w:val="auto"/>
              </w:rPr>
            </w:pPr>
          </w:p>
        </w:tc>
      </w:tr>
      <w:tr>
        <w:trPr>
          <w:trHeight w:val="228"/>
        </w:trPr>
        <w:tc>
          <w:tcPr>
            <w:tcW w:w="49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Wendi Sturgis</w:t>
            </w: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2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280" w:type="dxa"/>
            <w:vAlign w:val="bottom"/>
          </w:tcPr>
          <w:p>
            <w:pPr>
              <w:jc w:val="right"/>
              <w:ind w:right="161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70" w:right="4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[Opinion of Steve Milton]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3,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Sabre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3150 Sabre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Southlake, TX 76092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Sabre Corporation 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 am the Associate General Counsel and Corporate Secretary of Sabre Corporation,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This opinion is rendered in connection with the preparation and filing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of a registration statement on Form S-8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relating to the registration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of 830,000 shares of the Company’s common stock, par value $0.01 per share (the “</w:t>
      </w:r>
      <w:r>
        <w:rPr>
          <w:rFonts w:ascii="Arial" w:cs="Arial" w:eastAsia="Arial" w:hAnsi="Arial"/>
          <w:sz w:val="18"/>
          <w:szCs w:val="18"/>
          <w:u w:val="single" w:color="auto"/>
          <w:color w:val="auto"/>
        </w:rPr>
        <w:t>Shares</w:t>
      </w:r>
      <w:r>
        <w:rPr>
          <w:rFonts w:ascii="Arial" w:cs="Arial" w:eastAsia="Arial" w:hAnsi="Arial"/>
          <w:sz w:val="18"/>
          <w:szCs w:val="18"/>
          <w:color w:val="auto"/>
        </w:rPr>
        <w:t>”), to be issued under the Sabre Corporation 2022 Director Equity Compensation Plan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188"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 or a member of my staff upon whom I have relied, have examined the Plan and such corporate and other documents and records, and certificates of public officials, officers and representatives of the Company and such other persons, and I have made such investigations of law as I have deemed appropriate as a basis for the opinion expressed below.</w:t>
      </w:r>
    </w:p>
    <w:p>
      <w:pPr>
        <w:spacing w:after="0" w:line="184"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color w:val="auto"/>
        </w:rPr>
        <w:t>In rendering the opinion expressed below, I have assumed the authenticity of all documents submitted to me as originals and the conformity to the originals of all documents submitted to me as copies. In addition, I have assumed and have not verified the accuracy as to factual matters of each document I have reviewed.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Based on the foregoing, and subject to the further assumptions and qualifications set forth below, it is my opinion that the Shares have</w:t>
      </w:r>
    </w:p>
    <w:p>
      <w:pPr>
        <w:spacing w:after="0" w:line="23"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been duly authorized by all necessary corporate action of the Company and, when issued and delivered by the Company in the manner and on the terms as described in the Plan, will be validly issued, fully paid and nonassessable.</w:t>
      </w:r>
    </w:p>
    <w:p>
      <w:pPr>
        <w:spacing w:after="0" w:line="18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foregoing opinion is limited to the General Corporation Law of the State of Delaware (including the applicable provisions of the Delaware Constitution and the reported judicial decisions interpreting the General Corporation Law of the State of Delaware).</w:t>
      </w:r>
    </w:p>
    <w:p>
      <w:pPr>
        <w:spacing w:after="0" w:line="17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 consent to the filing of this opinion as an exhibit to the Registration Statement. In giving this consent, I do not thereby admit that I am an “expert” within the meaning of the Securities Act or the rules and regulations of the Commission issued thereunder with respect to any part of the Registration Statement, including this exhibit.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Steve Milton</w:t>
      </w:r>
    </w:p>
    <w:p>
      <w:pPr>
        <w:sectPr>
          <w:pgSz w:w="11900" w:h="16838" w:orient="portrait"/>
          <w:cols w:equalWidth="0" w:num="1">
            <w:col w:w="11020"/>
          </w:cols>
          <w:pgMar w:left="440" w:top="121" w:right="4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consent to the incorporation by reference in the Registration Statement (Form S-8 dated May 3, 2022) pertaining to the Sabre Corporation 2022 Director Equity Compensation Plan of our reports dated February 18, 2022, with respect to the consolidated financial statements and related schedule of Sabre Corporation, and the effectiveness of internal control over financial reporting of Sabre Corporation included in its Annual Report (Form 10-K) for the year ended December 31, 2021, filed with the Securities and Exchange Commission.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3, 2022</w:t>
      </w:r>
    </w:p>
    <w:p>
      <w:pPr>
        <w:sectPr>
          <w:pgSz w:w="11900" w:h="16838" w:orient="portrait"/>
          <w:cols w:equalWidth="0" w:num="1">
            <w:col w:w="11020"/>
          </w:cols>
          <w:pgMar w:left="440" w:top="121" w:right="4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107</w:t>
      </w:r>
    </w:p>
    <w:p>
      <w:pPr>
        <w:spacing w:after="0" w:line="206" w:lineRule="exact"/>
        <w:rPr>
          <w:sz w:val="20"/>
          <w:szCs w:val="20"/>
          <w:color w:val="auto"/>
        </w:rPr>
      </w:pPr>
    </w:p>
    <w:p>
      <w:pPr>
        <w:jc w:val="center"/>
        <w:ind w:right="-3"/>
        <w:spacing w:after="0"/>
        <w:rPr>
          <w:sz w:val="20"/>
          <w:szCs w:val="20"/>
          <w:color w:val="auto"/>
        </w:rPr>
      </w:pPr>
      <w:r>
        <w:rPr>
          <w:rFonts w:ascii="Arial" w:cs="Arial" w:eastAsia="Arial" w:hAnsi="Arial"/>
          <w:sz w:val="20"/>
          <w:szCs w:val="20"/>
          <w:b w:val="1"/>
          <w:bCs w:val="1"/>
          <w:color w:val="auto"/>
        </w:rPr>
        <w:t>CALCULATION OF FILING FEE TABLE</w:t>
      </w:r>
    </w:p>
    <w:p>
      <w:pPr>
        <w:spacing w:after="0" w:line="2" w:lineRule="exact"/>
        <w:rPr>
          <w:sz w:val="20"/>
          <w:szCs w:val="20"/>
          <w:color w:val="auto"/>
        </w:rPr>
      </w:pPr>
    </w:p>
    <w:p>
      <w:pPr>
        <w:jc w:val="center"/>
        <w:ind w:right="-3"/>
        <w:spacing w:after="0"/>
        <w:rPr>
          <w:sz w:val="20"/>
          <w:szCs w:val="20"/>
          <w:color w:val="auto"/>
        </w:rPr>
      </w:pPr>
      <w:r>
        <w:rPr>
          <w:rFonts w:ascii="Arial" w:cs="Arial" w:eastAsia="Arial" w:hAnsi="Arial"/>
          <w:sz w:val="20"/>
          <w:szCs w:val="20"/>
          <w:b w:val="1"/>
          <w:bCs w:val="1"/>
          <w:color w:val="auto"/>
        </w:rPr>
        <w:t>FORM S-8</w:t>
      </w:r>
    </w:p>
    <w:p>
      <w:pPr>
        <w:jc w:val="center"/>
        <w:ind w:right="-3"/>
        <w:spacing w:after="0"/>
        <w:rPr>
          <w:sz w:val="20"/>
          <w:szCs w:val="20"/>
          <w:color w:val="auto"/>
        </w:rPr>
      </w:pPr>
      <w:r>
        <w:rPr>
          <w:rFonts w:ascii="Arial" w:cs="Arial" w:eastAsia="Arial" w:hAnsi="Arial"/>
          <w:sz w:val="16"/>
          <w:szCs w:val="16"/>
          <w:color w:val="auto"/>
        </w:rPr>
        <w:t>(Form type)</w:t>
      </w:r>
    </w:p>
    <w:p>
      <w:pPr>
        <w:spacing w:after="0" w:line="192" w:lineRule="exact"/>
        <w:rPr>
          <w:sz w:val="20"/>
          <w:szCs w:val="20"/>
          <w:color w:val="auto"/>
        </w:rPr>
      </w:pPr>
    </w:p>
    <w:p>
      <w:pPr>
        <w:jc w:val="center"/>
        <w:ind w:right="-3"/>
        <w:spacing w:after="0"/>
        <w:rPr>
          <w:sz w:val="20"/>
          <w:szCs w:val="20"/>
          <w:color w:val="auto"/>
        </w:rPr>
      </w:pPr>
      <w:r>
        <w:rPr>
          <w:rFonts w:ascii="Arial" w:cs="Arial" w:eastAsia="Arial" w:hAnsi="Arial"/>
          <w:sz w:val="20"/>
          <w:szCs w:val="20"/>
          <w:b w:val="1"/>
          <w:bCs w:val="1"/>
          <w:color w:val="auto"/>
        </w:rPr>
        <w:t>SABRE CORPORATION</w:t>
      </w:r>
    </w:p>
    <w:p>
      <w:pPr>
        <w:spacing w:after="0" w:line="1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(Exact Name of Registrant as specified in its charter)</w:t>
      </w:r>
    </w:p>
    <w:p>
      <w:pPr>
        <w:spacing w:after="0" w:line="300" w:lineRule="exact"/>
        <w:rPr>
          <w:sz w:val="20"/>
          <w:szCs w:val="20"/>
          <w:color w:val="auto"/>
        </w:rPr>
      </w:pPr>
    </w:p>
    <w:p>
      <w:pPr>
        <w:jc w:val="center"/>
        <w:ind w:right="-3"/>
        <w:spacing w:after="0"/>
        <w:rPr>
          <w:sz w:val="20"/>
          <w:szCs w:val="20"/>
          <w:color w:val="auto"/>
        </w:rPr>
      </w:pPr>
      <w:r>
        <w:rPr>
          <w:rFonts w:ascii="Arial" w:cs="Arial" w:eastAsia="Arial" w:hAnsi="Arial"/>
          <w:sz w:val="20"/>
          <w:szCs w:val="20"/>
          <w:b w:val="1"/>
          <w:bCs w:val="1"/>
          <w:u w:val="single" w:color="auto"/>
          <w:color w:val="auto"/>
        </w:rPr>
        <w:t>Table I: Newly Registered Securities</w:t>
      </w:r>
    </w:p>
    <w:p>
      <w:pPr>
        <w:spacing w:after="0" w:line="237" w:lineRule="exact"/>
        <w:rPr>
          <w:sz w:val="20"/>
          <w:szCs w:val="20"/>
          <w:color w:val="auto"/>
        </w:rPr>
      </w:pPr>
    </w:p>
    <w:tbl>
      <w:tblPr>
        <w:tblLayout w:type="fixed"/>
        <w:tblInd w:w="894" w:type="dxa"/>
        <w:tblCellMar>
          <w:top w:w="0" w:type="dxa"/>
          <w:left w:w="0" w:type="dxa"/>
          <w:bottom w:w="0" w:type="dxa"/>
          <w:right w:w="0" w:type="dxa"/>
        </w:tblCellMar>
      </w:tblPr>
      <w:tr>
        <w:trPr>
          <w:trHeight w:val="156"/>
        </w:trPr>
        <w:tc>
          <w:tcPr>
            <w:tcW w:w="2340" w:type="dxa"/>
            <w:vAlign w:val="bottom"/>
            <w:tcBorders>
              <w:top w:val="single" w:sz="8" w:color="auto"/>
              <w:left w:val="single" w:sz="8" w:color="auto"/>
              <w:right w:val="single" w:sz="8" w:color="auto"/>
            </w:tcBorders>
          </w:tcPr>
          <w:p>
            <w:pPr>
              <w:spacing w:after="0"/>
              <w:rPr>
                <w:sz w:val="13"/>
                <w:szCs w:val="13"/>
                <w:color w:val="auto"/>
              </w:rPr>
            </w:pPr>
          </w:p>
        </w:tc>
        <w:tc>
          <w:tcPr>
            <w:tcW w:w="680" w:type="dxa"/>
            <w:vAlign w:val="bottom"/>
            <w:tcBorders>
              <w:top w:val="single" w:sz="8" w:color="auto"/>
              <w:right w:val="single" w:sz="8" w:color="auto"/>
            </w:tcBorders>
          </w:tcPr>
          <w:p>
            <w:pPr>
              <w:spacing w:after="0"/>
              <w:rPr>
                <w:sz w:val="13"/>
                <w:szCs w:val="13"/>
                <w:color w:val="auto"/>
              </w:rPr>
            </w:pPr>
          </w:p>
        </w:tc>
        <w:tc>
          <w:tcPr>
            <w:tcW w:w="920" w:type="dxa"/>
            <w:vAlign w:val="bottom"/>
            <w:tcBorders>
              <w:top w:val="single" w:sz="8" w:color="auto"/>
              <w:right w:val="single" w:sz="8" w:color="auto"/>
            </w:tcBorders>
          </w:tcPr>
          <w:p>
            <w:pPr>
              <w:spacing w:after="0"/>
              <w:rPr>
                <w:sz w:val="13"/>
                <w:szCs w:val="13"/>
                <w:color w:val="auto"/>
              </w:rPr>
            </w:pPr>
          </w:p>
        </w:tc>
        <w:tc>
          <w:tcPr>
            <w:tcW w:w="840" w:type="dxa"/>
            <w:vAlign w:val="bottom"/>
            <w:tcBorders>
              <w:top w:val="single" w:sz="8" w:color="auto"/>
              <w:right w:val="single" w:sz="8" w:color="auto"/>
            </w:tcBorders>
          </w:tcPr>
          <w:p>
            <w:pPr>
              <w:spacing w:after="0"/>
              <w:rPr>
                <w:sz w:val="13"/>
                <w:szCs w:val="13"/>
                <w:color w:val="auto"/>
              </w:rPr>
            </w:pPr>
          </w:p>
        </w:tc>
        <w:tc>
          <w:tcPr>
            <w:tcW w:w="840" w:type="dxa"/>
            <w:vAlign w:val="bottom"/>
            <w:tcBorders>
              <w:top w:val="single" w:sz="8" w:color="auto"/>
              <w:right w:val="single" w:sz="8" w:color="auto"/>
            </w:tcBorders>
          </w:tcPr>
          <w:p>
            <w:pPr>
              <w:spacing w:after="0"/>
              <w:rPr>
                <w:sz w:val="13"/>
                <w:szCs w:val="13"/>
                <w:color w:val="auto"/>
              </w:rPr>
            </w:pPr>
          </w:p>
        </w:tc>
        <w:tc>
          <w:tcPr>
            <w:tcW w:w="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Proposed</w:t>
            </w:r>
          </w:p>
        </w:tc>
        <w:tc>
          <w:tcPr>
            <w:tcW w:w="1100" w:type="dxa"/>
            <w:vAlign w:val="bottom"/>
            <w:tcBorders>
              <w:top w:val="single" w:sz="8" w:color="auto"/>
              <w:right w:val="single" w:sz="8" w:color="auto"/>
            </w:tcBorders>
          </w:tcPr>
          <w:p>
            <w:pPr>
              <w:spacing w:after="0"/>
              <w:rPr>
                <w:sz w:val="13"/>
                <w:szCs w:val="13"/>
                <w:color w:val="auto"/>
              </w:rPr>
            </w:pPr>
          </w:p>
        </w:tc>
        <w:tc>
          <w:tcPr>
            <w:tcW w:w="1000" w:type="dxa"/>
            <w:vAlign w:val="bottom"/>
            <w:tcBorders>
              <w:top w:val="single" w:sz="8" w:color="auto"/>
              <w:right w:val="single" w:sz="8" w:color="auto"/>
            </w:tcBorders>
          </w:tcPr>
          <w:p>
            <w:pPr>
              <w:spacing w:after="0"/>
              <w:rPr>
                <w:sz w:val="13"/>
                <w:szCs w:val="13"/>
                <w:color w:val="auto"/>
              </w:rPr>
            </w:pPr>
          </w:p>
        </w:tc>
        <w:tc>
          <w:tcPr>
            <w:tcW w:w="82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40" w:type="dxa"/>
            <w:vAlign w:val="bottom"/>
            <w:tcBorders>
              <w:left w:val="single" w:sz="8" w:color="auto"/>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Maximum</w:t>
            </w:r>
          </w:p>
        </w:tc>
        <w:tc>
          <w:tcPr>
            <w:tcW w:w="11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tcBorders>
              <w:left w:val="single" w:sz="8" w:color="auto"/>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Fee</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8"/>
              </w:rPr>
              <w:t>Amount</w:t>
            </w: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9"/>
              </w:rPr>
              <w:t>Offering</w:t>
            </w:r>
          </w:p>
        </w:tc>
        <w:tc>
          <w:tcPr>
            <w:tcW w:w="11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Amount of</w:t>
            </w:r>
          </w:p>
        </w:tc>
        <w:tc>
          <w:tcPr>
            <w:tcW w:w="0" w:type="dxa"/>
            <w:vAlign w:val="bottom"/>
          </w:tcPr>
          <w:p>
            <w:pPr>
              <w:spacing w:after="0"/>
              <w:rPr>
                <w:sz w:val="1"/>
                <w:szCs w:val="1"/>
                <w:color w:val="auto"/>
              </w:rPr>
            </w:pPr>
          </w:p>
        </w:tc>
      </w:tr>
      <w:tr>
        <w:trPr>
          <w:trHeight w:val="135"/>
        </w:trPr>
        <w:tc>
          <w:tcPr>
            <w:tcW w:w="2340" w:type="dxa"/>
            <w:vAlign w:val="bottom"/>
            <w:tcBorders>
              <w:left w:val="single" w:sz="8" w:color="auto"/>
              <w:right w:val="single" w:sz="8" w:color="auto"/>
            </w:tcBorders>
            <w:vMerge w:val="restart"/>
          </w:tcPr>
          <w:p>
            <w:pPr>
              <w:jc w:val="center"/>
              <w:ind w:left="57"/>
              <w:spacing w:after="0"/>
              <w:rPr>
                <w:sz w:val="20"/>
                <w:szCs w:val="20"/>
                <w:color w:val="auto"/>
              </w:rPr>
            </w:pPr>
            <w:r>
              <w:rPr>
                <w:rFonts w:ascii="Arial" w:cs="Arial" w:eastAsia="Arial" w:hAnsi="Arial"/>
                <w:sz w:val="13"/>
                <w:szCs w:val="13"/>
                <w:color w:val="auto"/>
                <w:w w:val="92"/>
              </w:rPr>
              <w:t>Plan</w:t>
            </w:r>
          </w:p>
        </w:tc>
        <w:tc>
          <w:tcPr>
            <w:tcW w:w="6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3"/>
              </w:rPr>
              <w:t>Security</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Security</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9"/>
              </w:rPr>
              <w:t>Calculation</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Registered</w:t>
            </w: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Price Per</w:t>
            </w:r>
          </w:p>
        </w:tc>
        <w:tc>
          <w:tcPr>
            <w:tcW w:w="11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Maximum</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Fee Rate</w:t>
            </w:r>
          </w:p>
        </w:tc>
        <w:tc>
          <w:tcPr>
            <w:tcW w:w="8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Registration</w:t>
            </w:r>
          </w:p>
        </w:tc>
        <w:tc>
          <w:tcPr>
            <w:tcW w:w="0" w:type="dxa"/>
            <w:vAlign w:val="bottom"/>
          </w:tcPr>
          <w:p>
            <w:pPr>
              <w:spacing w:after="0"/>
              <w:rPr>
                <w:sz w:val="1"/>
                <w:szCs w:val="1"/>
                <w:color w:val="auto"/>
              </w:rPr>
            </w:pPr>
          </w:p>
        </w:tc>
      </w:tr>
      <w:tr>
        <w:trPr>
          <w:trHeight w:val="153"/>
        </w:trPr>
        <w:tc>
          <w:tcPr>
            <w:tcW w:w="2340" w:type="dxa"/>
            <w:vAlign w:val="bottom"/>
            <w:tcBorders>
              <w:left w:val="single" w:sz="8" w:color="auto"/>
              <w:bottom w:val="single" w:sz="8" w:color="auto"/>
              <w:right w:val="single" w:sz="8" w:color="auto"/>
            </w:tcBorders>
            <w:vMerge w:val="continue"/>
          </w:tcPr>
          <w:p>
            <w:pPr>
              <w:spacing w:after="0"/>
              <w:rPr>
                <w:sz w:val="13"/>
                <w:szCs w:val="13"/>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Type</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Class Title</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Rule</w:t>
            </w:r>
          </w:p>
        </w:tc>
        <w:tc>
          <w:tcPr>
            <w:tcW w:w="840" w:type="dxa"/>
            <w:vAlign w:val="bottom"/>
            <w:tcBorders>
              <w:bottom w:val="single" w:sz="8" w:color="auto"/>
              <w:right w:val="single" w:sz="8" w:color="auto"/>
            </w:tcBorders>
          </w:tcPr>
          <w:p>
            <w:pPr>
              <w:jc w:val="right"/>
              <w:ind w:right="213"/>
              <w:spacing w:after="0"/>
              <w:rPr>
                <w:sz w:val="20"/>
                <w:szCs w:val="20"/>
                <w:color w:val="auto"/>
              </w:rPr>
            </w:pPr>
            <w:r>
              <w:rPr>
                <w:rFonts w:ascii="Arial" w:cs="Arial" w:eastAsia="Arial" w:hAnsi="Arial"/>
                <w:sz w:val="11"/>
                <w:szCs w:val="11"/>
                <w:color w:val="auto"/>
              </w:rPr>
              <w:t>(1)(2)</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Share</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Offering Price</w:t>
            </w:r>
            <w:r>
              <w:rPr>
                <w:rFonts w:ascii="Arial" w:cs="Arial" w:eastAsia="Arial" w:hAnsi="Arial"/>
                <w:sz w:val="10"/>
                <w:szCs w:val="10"/>
                <w:color w:val="auto"/>
                <w:w w:val="98"/>
              </w:rPr>
              <w:t>(3)</w:t>
            </w:r>
          </w:p>
        </w:tc>
        <w:tc>
          <w:tcPr>
            <w:tcW w:w="1000" w:type="dxa"/>
            <w:vAlign w:val="bottom"/>
            <w:tcBorders>
              <w:bottom w:val="single" w:sz="8" w:color="auto"/>
              <w:right w:val="single" w:sz="8" w:color="auto"/>
            </w:tcBorders>
            <w:vMerge w:val="continue"/>
          </w:tcPr>
          <w:p>
            <w:pPr>
              <w:spacing w:after="0"/>
              <w:rPr>
                <w:sz w:val="13"/>
                <w:szCs w:val="13"/>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Fee</w:t>
            </w:r>
          </w:p>
        </w:tc>
        <w:tc>
          <w:tcPr>
            <w:tcW w:w="0" w:type="dxa"/>
            <w:vAlign w:val="bottom"/>
          </w:tcPr>
          <w:p>
            <w:pPr>
              <w:spacing w:after="0"/>
              <w:rPr>
                <w:sz w:val="1"/>
                <w:szCs w:val="1"/>
                <w:color w:val="auto"/>
              </w:rPr>
            </w:pPr>
          </w:p>
        </w:tc>
      </w:tr>
      <w:tr>
        <w:trPr>
          <w:trHeight w:val="210"/>
        </w:trPr>
        <w:tc>
          <w:tcPr>
            <w:tcW w:w="2340" w:type="dxa"/>
            <w:vAlign w:val="bottom"/>
            <w:tcBorders>
              <w:left w:val="single" w:sz="8" w:color="auto"/>
              <w:right w:val="single" w:sz="8" w:color="auto"/>
            </w:tcBorders>
          </w:tcPr>
          <w:p>
            <w:pPr>
              <w:jc w:val="center"/>
              <w:ind w:left="57"/>
              <w:spacing w:after="0"/>
              <w:rPr>
                <w:sz w:val="20"/>
                <w:szCs w:val="20"/>
                <w:color w:val="auto"/>
              </w:rPr>
            </w:pPr>
            <w:r>
              <w:rPr>
                <w:rFonts w:ascii="Arial" w:cs="Arial" w:eastAsia="Arial" w:hAnsi="Arial"/>
                <w:sz w:val="18"/>
                <w:szCs w:val="18"/>
                <w:color w:val="auto"/>
                <w:w w:val="99"/>
              </w:rPr>
              <w:t>Sabre Corporation 2022</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Equity</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Common</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457(c)</w:t>
            </w:r>
          </w:p>
        </w:tc>
        <w:tc>
          <w:tcPr>
            <w:tcW w:w="84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830,000</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$10.80</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$8,964,000</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0.0000927</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$830.96</w:t>
            </w:r>
          </w:p>
        </w:tc>
        <w:tc>
          <w:tcPr>
            <w:tcW w:w="0" w:type="dxa"/>
            <w:vAlign w:val="bottom"/>
          </w:tcPr>
          <w:p>
            <w:pPr>
              <w:spacing w:after="0"/>
              <w:rPr>
                <w:sz w:val="1"/>
                <w:szCs w:val="1"/>
                <w:color w:val="auto"/>
              </w:rPr>
            </w:pPr>
          </w:p>
        </w:tc>
      </w:tr>
      <w:tr>
        <w:trPr>
          <w:trHeight w:val="203"/>
        </w:trPr>
        <w:tc>
          <w:tcPr>
            <w:tcW w:w="2340" w:type="dxa"/>
            <w:vAlign w:val="bottom"/>
            <w:tcBorders>
              <w:left w:val="single" w:sz="8" w:color="auto"/>
              <w:right w:val="single" w:sz="8" w:color="auto"/>
            </w:tcBorders>
          </w:tcPr>
          <w:p>
            <w:pPr>
              <w:jc w:val="center"/>
              <w:ind w:left="57"/>
              <w:spacing w:after="0" w:line="202" w:lineRule="exact"/>
              <w:rPr>
                <w:sz w:val="20"/>
                <w:szCs w:val="20"/>
                <w:color w:val="auto"/>
              </w:rPr>
            </w:pPr>
            <w:r>
              <w:rPr>
                <w:rFonts w:ascii="Arial" w:cs="Arial" w:eastAsia="Arial" w:hAnsi="Arial"/>
                <w:sz w:val="18"/>
                <w:szCs w:val="18"/>
                <w:color w:val="auto"/>
                <w:w w:val="98"/>
              </w:rPr>
              <w:t>Director Equity</w:t>
            </w:r>
          </w:p>
        </w:tc>
        <w:tc>
          <w:tcPr>
            <w:tcW w:w="6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Stock,</w:t>
            </w:r>
          </w:p>
        </w:tc>
        <w:tc>
          <w:tcPr>
            <w:tcW w:w="8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Borders>
              <w:left w:val="single" w:sz="8" w:color="auto"/>
              <w:right w:val="single" w:sz="8" w:color="auto"/>
            </w:tcBorders>
          </w:tcPr>
          <w:p>
            <w:pPr>
              <w:jc w:val="center"/>
              <w:ind w:left="57"/>
              <w:spacing w:after="0" w:line="202" w:lineRule="exact"/>
              <w:rPr>
                <w:sz w:val="20"/>
                <w:szCs w:val="20"/>
                <w:color w:val="auto"/>
              </w:rPr>
            </w:pPr>
            <w:r>
              <w:rPr>
                <w:rFonts w:ascii="Arial" w:cs="Arial" w:eastAsia="Arial" w:hAnsi="Arial"/>
                <w:sz w:val="18"/>
                <w:szCs w:val="18"/>
                <w:color w:val="auto"/>
                <w:w w:val="99"/>
              </w:rPr>
              <w:t>Compensation Plan</w:t>
            </w:r>
          </w:p>
        </w:tc>
        <w:tc>
          <w:tcPr>
            <w:tcW w:w="6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$0.01 par</w:t>
            </w:r>
          </w:p>
        </w:tc>
        <w:tc>
          <w:tcPr>
            <w:tcW w:w="8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Borders>
              <w:left w:val="single" w:sz="8" w:color="auto"/>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value per</w:t>
            </w:r>
          </w:p>
        </w:tc>
        <w:tc>
          <w:tcPr>
            <w:tcW w:w="8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340" w:type="dxa"/>
            <w:vAlign w:val="bottom"/>
            <w:tcBorders>
              <w:left w:val="single" w:sz="8" w:color="auto"/>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share</w:t>
            </w:r>
          </w:p>
        </w:tc>
        <w:tc>
          <w:tcPr>
            <w:tcW w:w="8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40" w:type="dxa"/>
            <w:vAlign w:val="bottom"/>
            <w:tcBorders>
              <w:left w:val="single" w:sz="8" w:color="auto"/>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600" w:type="dxa"/>
            <w:vAlign w:val="bottom"/>
            <w:tcBorders>
              <w:bottom w:val="single" w:sz="8" w:color="auto"/>
              <w:right w:val="single" w:sz="8" w:color="auto"/>
            </w:tcBorders>
            <w:gridSpan w:val="3"/>
          </w:tcPr>
          <w:p>
            <w:pPr>
              <w:jc w:val="center"/>
              <w:ind w:right="573"/>
              <w:spacing w:after="0"/>
              <w:rPr>
                <w:sz w:val="20"/>
                <w:szCs w:val="20"/>
                <w:color w:val="auto"/>
              </w:rPr>
            </w:pPr>
            <w:r>
              <w:rPr>
                <w:rFonts w:ascii="Arial" w:cs="Arial" w:eastAsia="Arial" w:hAnsi="Arial"/>
                <w:sz w:val="18"/>
                <w:szCs w:val="18"/>
                <w:color w:val="auto"/>
                <w:w w:val="99"/>
              </w:rPr>
              <w:t>Total Offering Amounts</w:t>
            </w:r>
          </w:p>
        </w:tc>
        <w:tc>
          <w:tcPr>
            <w:tcW w:w="74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$8,964,000</w:t>
            </w:r>
          </w:p>
        </w:tc>
        <w:tc>
          <w:tcPr>
            <w:tcW w:w="100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$830.96</w:t>
            </w:r>
          </w:p>
        </w:tc>
        <w:tc>
          <w:tcPr>
            <w:tcW w:w="0" w:type="dxa"/>
            <w:vAlign w:val="bottom"/>
          </w:tcPr>
          <w:p>
            <w:pPr>
              <w:spacing w:after="0"/>
              <w:rPr>
                <w:sz w:val="1"/>
                <w:szCs w:val="1"/>
                <w:color w:val="auto"/>
              </w:rPr>
            </w:pPr>
          </w:p>
        </w:tc>
      </w:tr>
      <w:tr>
        <w:trPr>
          <w:trHeight w:val="223"/>
        </w:trPr>
        <w:tc>
          <w:tcPr>
            <w:tcW w:w="2340" w:type="dxa"/>
            <w:vAlign w:val="bottom"/>
            <w:tcBorders>
              <w:left w:val="single" w:sz="8" w:color="auto"/>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center"/>
              <w:ind w:left="115"/>
              <w:spacing w:after="0"/>
              <w:rPr>
                <w:sz w:val="20"/>
                <w:szCs w:val="20"/>
                <w:color w:val="auto"/>
              </w:rPr>
            </w:pPr>
            <w:r>
              <w:rPr>
                <w:rFonts w:ascii="Arial" w:cs="Arial" w:eastAsia="Arial" w:hAnsi="Arial"/>
                <w:sz w:val="18"/>
                <w:szCs w:val="18"/>
                <w:color w:val="auto"/>
                <w:w w:val="98"/>
              </w:rPr>
              <w:t>Total Fee Offsets</w:t>
            </w:r>
          </w:p>
        </w:tc>
        <w:tc>
          <w:tcPr>
            <w:tcW w:w="84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340" w:type="dxa"/>
            <w:vAlign w:val="bottom"/>
            <w:tcBorders>
              <w:left w:val="single" w:sz="8" w:color="auto"/>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center"/>
              <w:ind w:left="135"/>
              <w:spacing w:after="0"/>
              <w:rPr>
                <w:sz w:val="20"/>
                <w:szCs w:val="20"/>
                <w:color w:val="auto"/>
              </w:rPr>
            </w:pPr>
            <w:r>
              <w:rPr>
                <w:rFonts w:ascii="Arial" w:cs="Arial" w:eastAsia="Arial" w:hAnsi="Arial"/>
                <w:sz w:val="18"/>
                <w:szCs w:val="18"/>
                <w:color w:val="auto"/>
                <w:w w:val="99"/>
              </w:rPr>
              <w:t>Net Fee Due</w:t>
            </w:r>
          </w:p>
        </w:tc>
        <w:tc>
          <w:tcPr>
            <w:tcW w:w="84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$830.96</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424" w:right="760" w:hanging="424"/>
        <w:spacing w:after="0" w:line="260" w:lineRule="auto"/>
        <w:tabs>
          <w:tab w:leader="none" w:pos="424"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shares of common stock, par value $0.01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of Sabre Corporation (the “</w:t>
      </w:r>
      <w:r>
        <w:rPr>
          <w:rFonts w:ascii="Arial" w:cs="Arial" w:eastAsia="Arial" w:hAnsi="Arial"/>
          <w:sz w:val="16"/>
          <w:szCs w:val="16"/>
          <w:u w:val="single" w:color="auto"/>
          <w:color w:val="auto"/>
        </w:rPr>
        <w:t>Registrant</w:t>
      </w:r>
      <w:r>
        <w:rPr>
          <w:rFonts w:ascii="Arial" w:cs="Arial" w:eastAsia="Arial" w:hAnsi="Arial"/>
          <w:sz w:val="16"/>
          <w:szCs w:val="16"/>
          <w:color w:val="auto"/>
        </w:rPr>
        <w:t>”) issuable in connection with equity awards under the Sabre Corporation 2022 Director Equity Compensation Plan (the “</w:t>
      </w:r>
      <w:r>
        <w:rPr>
          <w:rFonts w:ascii="Arial" w:cs="Arial" w:eastAsia="Arial" w:hAnsi="Arial"/>
          <w:sz w:val="16"/>
          <w:szCs w:val="16"/>
          <w:u w:val="single" w:color="auto"/>
          <w:color w:val="auto"/>
        </w:rPr>
        <w:t>2022 Director Plan</w:t>
      </w:r>
      <w:r>
        <w:rPr>
          <w:rFonts w:ascii="Arial" w:cs="Arial" w:eastAsia="Arial" w:hAnsi="Arial"/>
          <w:sz w:val="16"/>
          <w:szCs w:val="16"/>
          <w:color w:val="auto"/>
        </w:rPr>
        <w:t>”).</w:t>
      </w:r>
    </w:p>
    <w:p>
      <w:pPr>
        <w:spacing w:after="0" w:line="100" w:lineRule="exact"/>
        <w:rPr>
          <w:rFonts w:ascii="Arial" w:cs="Arial" w:eastAsia="Arial" w:hAnsi="Arial"/>
          <w:sz w:val="16"/>
          <w:szCs w:val="16"/>
          <w:color w:val="auto"/>
        </w:rPr>
      </w:pPr>
    </w:p>
    <w:p>
      <w:pPr>
        <w:ind w:left="424" w:right="60" w:hanging="424"/>
        <w:spacing w:after="0" w:line="253" w:lineRule="auto"/>
        <w:tabs>
          <w:tab w:leader="none" w:pos="424" w:val="left"/>
        </w:tabs>
        <w:numPr>
          <w:ilvl w:val="0"/>
          <w:numId w:val="6"/>
        </w:numPr>
        <w:rPr>
          <w:rFonts w:ascii="Arial" w:cs="Arial" w:eastAsia="Arial" w:hAnsi="Arial"/>
          <w:sz w:val="16"/>
          <w:szCs w:val="16"/>
          <w:color w:val="auto"/>
        </w:rPr>
      </w:pPr>
      <w:r>
        <w:rPr>
          <w:rFonts w:ascii="Arial" w:cs="Arial" w:eastAsia="Arial" w:hAnsi="Arial"/>
          <w:sz w:val="16"/>
          <w:szCs w:val="16"/>
          <w:color w:val="auto"/>
        </w:rPr>
        <w:t>Pursuant to Rule 416(a) of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this Registration Statement shall also cover any additional shares of Common Stock that become issuable under the applicable plan by reason of any stock dividend, stock split, recapitalization or other similar transaction affected without the receipt of consideration that increases the number of the Registrant’s outstanding shares of Common Stock.</w:t>
      </w:r>
    </w:p>
    <w:p>
      <w:pPr>
        <w:spacing w:after="0" w:line="106" w:lineRule="exact"/>
        <w:rPr>
          <w:rFonts w:ascii="Arial" w:cs="Arial" w:eastAsia="Arial" w:hAnsi="Arial"/>
          <w:sz w:val="16"/>
          <w:szCs w:val="16"/>
          <w:color w:val="auto"/>
        </w:rPr>
      </w:pPr>
    </w:p>
    <w:p>
      <w:pPr>
        <w:ind w:left="424" w:right="200" w:hanging="424"/>
        <w:spacing w:after="0" w:line="260" w:lineRule="auto"/>
        <w:tabs>
          <w:tab w:leader="none" w:pos="424" w:val="left"/>
        </w:tabs>
        <w:numPr>
          <w:ilvl w:val="0"/>
          <w:numId w:val="6"/>
        </w:numPr>
        <w:rPr>
          <w:rFonts w:ascii="Arial" w:cs="Arial" w:eastAsia="Arial" w:hAnsi="Arial"/>
          <w:sz w:val="16"/>
          <w:szCs w:val="16"/>
          <w:color w:val="auto"/>
        </w:rPr>
      </w:pPr>
      <w:r>
        <w:rPr>
          <w:rFonts w:ascii="Arial" w:cs="Arial" w:eastAsia="Arial" w:hAnsi="Arial"/>
          <w:sz w:val="16"/>
          <w:szCs w:val="16"/>
          <w:color w:val="auto"/>
        </w:rPr>
        <w:t>Estimated solely for the purposes of calculating the registration fee pursuant to Rule 457(c) under the Securities Act, based on the average of the $11.15 (high) and $10.44 (low) prices of the Common Stock of the Registrant as reported on NASDAQ on April 29, 2022.</w:t>
      </w:r>
    </w:p>
    <w:sectPr>
      <w:pgSz w:w="11900" w:h="16838" w:orient="portrait"/>
      <w:cols w:equalWidth="0" w:num="1">
        <w:col w:w="11024"/>
      </w:cols>
      <w:pgMar w:left="436" w:top="11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46E87CCD"/>
    <w:multiLevelType w:val="hybridMultilevel"/>
    <w:lvl w:ilvl="0">
      <w:lvlJc w:val="left"/>
      <w:lvlText w:val="%1"/>
      <w:numFmt w:val="lowerLetter"/>
      <w:start w:val="1"/>
    </w:lvl>
    <w:lvl w:ilvl="1">
      <w:lvlJc w:val="left"/>
      <w:lvlText w:val="(%2)"/>
      <w:numFmt w:val="decimal"/>
      <w:start w:val="2"/>
    </w:lvl>
  </w:abstractNum>
  <w:abstractNum w:abstractNumId="4">
    <w:nsid w:val="3D1B58BA"/>
    <w:multiLevelType w:val="hybridMultilevel"/>
    <w:lvl w:ilvl="0">
      <w:lvlJc w:val="left"/>
      <w:lvlText w:val="(%1)"/>
      <w:numFmt w:val="lowerLetter"/>
      <w:start w:val="2"/>
    </w:lvl>
    <w:lvl w:ilvl="1">
      <w:lvlJc w:val="left"/>
      <w:lvlText w:val="%2"/>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18" Type="http://schemas.openxmlformats.org/officeDocument/2006/relationships/hyperlink" Target="http://www.sec.gov/ix?doc=/Archives/edgar/data/1597033/000159703322000015/sabr-20211231.htm" TargetMode="External"/><Relationship Id="rId19" Type="http://schemas.openxmlformats.org/officeDocument/2006/relationships/hyperlink" Target="http://www.sec.gov/ix?doc=/Archives/edgar/data/1597033/000119312522068769/d298833d8k.htm" TargetMode="External"/><Relationship Id="rId20" Type="http://schemas.openxmlformats.org/officeDocument/2006/relationships/hyperlink" Target="http://www.sec.gov/ix?doc=/Archives/edgar/data/1597033/000119312522074792/d230175d8k.htm" TargetMode="External"/><Relationship Id="rId21" Type="http://schemas.openxmlformats.org/officeDocument/2006/relationships/hyperlink" Target="http://www.sec.gov/ix?doc=/Archives/edgar/data/1597033/000119312522133575/d335287d8k.htm" TargetMode="External"/><Relationship Id="rId22" Type="http://schemas.openxmlformats.org/officeDocument/2006/relationships/hyperlink" Target="http://www.sec.gov/ix?doc=/Archives/edgar/data/1597033/000159703322000043/sabr-20220331.htm" TargetMode="External"/><Relationship Id="rId23" Type="http://schemas.openxmlformats.org/officeDocument/2006/relationships/hyperlink" Target="http://www.sec.gov/Archives/edgar/data/1597033/000119312514146312/d709403d8a12b.htm" TargetMode="External"/><Relationship Id="rId26" Type="http://schemas.openxmlformats.org/officeDocument/2006/relationships/hyperlink" Target="http://www.sec.gov/Archives/edgar/data/0001597033/000119312519117126/d712381dex31.htm" TargetMode="External"/><Relationship Id="rId27" Type="http://schemas.openxmlformats.org/officeDocument/2006/relationships/hyperlink" Target="http://www.sec.gov/Archives/edgar/data/0001597033/000159703320000011/sixthamendedandrestate.htm" TargetMode="External"/><Relationship Id="rId28" Type="http://schemas.openxmlformats.org/officeDocument/2006/relationships/hyperlink" Target="http://www.sec.gov/Archives/edgar/data/0001597033/000119312522133575/d33528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2022-05-03T15:36:53Z</dcterms:created>
  <dcterms:modified xsi:type="dcterms:W3CDTF">2022-05-03T15:36:53Z</dcterms:modified>
</cp:coreProperties>
</file>