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20955</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-201295</wp:posOffset>
            </wp:positionV>
            <wp:extent cx="1354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45" w:lineRule="exact"/>
        <w:rPr>
          <w:sz w:val="24"/>
          <w:szCs w:val="24"/>
          <w:color w:val="auto"/>
        </w:rPr>
      </w:pPr>
    </w:p>
    <w:p>
      <w:pPr>
        <w:ind w:left="3900" w:right="2020" w:hanging="3892"/>
        <w:spacing w:after="0" w:line="303" w:lineRule="auto"/>
        <w:tabs>
          <w:tab w:leader="none" w:pos="331"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6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103505</wp:posOffset>
            </wp:positionV>
            <wp:extent cx="135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Sabre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25400</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66"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2600" w:type="dxa"/>
            <w:vAlign w:val="bottom"/>
          </w:tcPr>
          <w:p>
            <w:pPr>
              <w:jc w:val="center"/>
              <w:spacing w:after="0"/>
              <w:rPr>
                <w:sz w:val="20"/>
                <w:szCs w:val="20"/>
                <w:color w:val="auto"/>
              </w:rPr>
            </w:pPr>
            <w:r>
              <w:rPr>
                <w:rFonts w:ascii="Arial" w:cs="Arial" w:eastAsia="Arial" w:hAnsi="Arial"/>
                <w:sz w:val="17"/>
                <w:szCs w:val="17"/>
                <w:b w:val="1"/>
                <w:bCs w:val="1"/>
                <w:color w:val="auto"/>
                <w:w w:val="99"/>
              </w:rPr>
              <w:t>Delaware</w:t>
            </w:r>
          </w:p>
        </w:tc>
        <w:tc>
          <w:tcPr>
            <w:tcW w:w="2900" w:type="dxa"/>
            <w:vAlign w:val="bottom"/>
            <w:gridSpan w:val="2"/>
          </w:tcPr>
          <w:p>
            <w:pPr>
              <w:jc w:val="right"/>
              <w:ind w:right="561"/>
              <w:spacing w:after="0"/>
              <w:rPr>
                <w:sz w:val="20"/>
                <w:szCs w:val="20"/>
                <w:color w:val="auto"/>
              </w:rPr>
            </w:pPr>
            <w:r>
              <w:rPr>
                <w:rFonts w:ascii="Arial" w:cs="Arial" w:eastAsia="Arial" w:hAnsi="Arial"/>
                <w:sz w:val="17"/>
                <w:szCs w:val="17"/>
                <w:b w:val="1"/>
                <w:bCs w:val="1"/>
                <w:color w:val="auto"/>
              </w:rPr>
              <w:t>001-36422</w:t>
            </w:r>
          </w:p>
        </w:tc>
        <w:tc>
          <w:tcPr>
            <w:tcW w:w="20" w:type="dxa"/>
            <w:vAlign w:val="bottom"/>
          </w:tcPr>
          <w:p>
            <w:pPr>
              <w:spacing w:after="0"/>
              <w:rPr>
                <w:sz w:val="20"/>
                <w:szCs w:val="20"/>
                <w:color w:val="auto"/>
              </w:rPr>
            </w:pPr>
          </w:p>
        </w:tc>
        <w:tc>
          <w:tcPr>
            <w:tcW w:w="3500" w:type="dxa"/>
            <w:vAlign w:val="bottom"/>
          </w:tcPr>
          <w:p>
            <w:pPr>
              <w:jc w:val="center"/>
              <w:ind w:left="646"/>
              <w:spacing w:after="0"/>
              <w:rPr>
                <w:sz w:val="20"/>
                <w:szCs w:val="20"/>
                <w:color w:val="auto"/>
              </w:rPr>
            </w:pPr>
            <w:r>
              <w:rPr>
                <w:rFonts w:ascii="Arial" w:cs="Arial" w:eastAsia="Arial" w:hAnsi="Arial"/>
                <w:sz w:val="17"/>
                <w:szCs w:val="17"/>
                <w:b w:val="1"/>
                <w:bCs w:val="1"/>
                <w:color w:val="auto"/>
                <w:w w:val="99"/>
              </w:rPr>
              <w:t>20-8647322</w:t>
            </w:r>
          </w:p>
        </w:tc>
        <w:tc>
          <w:tcPr>
            <w:tcW w:w="0" w:type="dxa"/>
            <w:vAlign w:val="bottom"/>
          </w:tcPr>
          <w:p>
            <w:pPr>
              <w:spacing w:after="0"/>
              <w:rPr>
                <w:sz w:val="1"/>
                <w:szCs w:val="1"/>
                <w:color w:val="auto"/>
              </w:rPr>
            </w:pPr>
          </w:p>
        </w:tc>
      </w:tr>
      <w:tr>
        <w:trPr>
          <w:trHeight w:val="135"/>
        </w:trPr>
        <w:tc>
          <w:tcPr>
            <w:tcW w:w="2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820" w:type="dxa"/>
            <w:vAlign w:val="bottom"/>
          </w:tcPr>
          <w:p>
            <w:pPr>
              <w:spacing w:after="0"/>
              <w:rPr>
                <w:sz w:val="11"/>
                <w:szCs w:val="11"/>
                <w:color w:val="auto"/>
              </w:rPr>
            </w:pPr>
          </w:p>
        </w:tc>
        <w:tc>
          <w:tcPr>
            <w:tcW w:w="21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(Commission File Number)</w:t>
            </w:r>
          </w:p>
        </w:tc>
        <w:tc>
          <w:tcPr>
            <w:tcW w:w="3500" w:type="dxa"/>
            <w:vAlign w:val="bottom"/>
          </w:tcPr>
          <w:p>
            <w:pPr>
              <w:jc w:val="center"/>
              <w:ind w:left="646"/>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2"/>
        </w:trPr>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or organization)</w:t>
            </w:r>
          </w:p>
        </w:tc>
        <w:tc>
          <w:tcPr>
            <w:tcW w:w="820" w:type="dxa"/>
            <w:vAlign w:val="bottom"/>
          </w:tcPr>
          <w:p>
            <w:pPr>
              <w:spacing w:after="0"/>
              <w:rPr>
                <w:sz w:val="14"/>
                <w:szCs w:val="14"/>
                <w:color w:val="auto"/>
              </w:rPr>
            </w:pPr>
          </w:p>
        </w:tc>
        <w:tc>
          <w:tcPr>
            <w:tcW w:w="210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auto"/>
              </w:rPr>
              <w:t>3150 Sabre Drive</w:t>
            </w:r>
          </w:p>
        </w:tc>
        <w:tc>
          <w:tcPr>
            <w:tcW w:w="3500" w:type="dxa"/>
            <w:vAlign w:val="bottom"/>
          </w:tcPr>
          <w:p>
            <w:pPr>
              <w:jc w:val="center"/>
              <w:ind w:left="64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78"/>
        </w:trPr>
        <w:tc>
          <w:tcPr>
            <w:tcW w:w="2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Southlake, TX 76092</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020" w:type="dxa"/>
            <w:vAlign w:val="bottom"/>
            <w:gridSpan w:val="5"/>
          </w:tcPr>
          <w:p>
            <w:pPr>
              <w:jc w:val="center"/>
              <w:ind w:right="46"/>
              <w:spacing w:after="0"/>
              <w:rPr>
                <w:sz w:val="20"/>
                <w:szCs w:val="20"/>
                <w:color w:val="auto"/>
              </w:rPr>
            </w:pPr>
            <w:r>
              <w:rPr>
                <w:rFonts w:ascii="Arial" w:cs="Arial" w:eastAsia="Arial" w:hAnsi="Arial"/>
                <w:sz w:val="14"/>
                <w:szCs w:val="14"/>
                <w:b w:val="1"/>
                <w:bCs w:val="1"/>
                <w:i w:val="1"/>
                <w:iCs w:val="1"/>
                <w:color w:val="auto"/>
              </w:rPr>
              <w:t>(Address, including zip code, of principal executive offices)</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p>
        </w:tc>
        <w:tc>
          <w:tcPr>
            <w:tcW w:w="2900" w:type="dxa"/>
            <w:vAlign w:val="bottom"/>
            <w:gridSpan w:val="2"/>
          </w:tcPr>
          <w:p>
            <w:pPr>
              <w:jc w:val="right"/>
              <w:ind w:right="381"/>
              <w:spacing w:after="0"/>
              <w:rPr>
                <w:sz w:val="20"/>
                <w:szCs w:val="20"/>
                <w:color w:val="auto"/>
              </w:rPr>
            </w:pPr>
            <w:r>
              <w:rPr>
                <w:rFonts w:ascii="Arial" w:cs="Arial" w:eastAsia="Arial" w:hAnsi="Arial"/>
                <w:sz w:val="17"/>
                <w:szCs w:val="17"/>
                <w:b w:val="1"/>
                <w:bCs w:val="1"/>
                <w:color w:val="auto"/>
              </w:rPr>
              <w:t>(682) 605-1000</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6420" w:type="dxa"/>
            <w:vAlign w:val="bottom"/>
            <w:gridSpan w:val="4"/>
          </w:tcPr>
          <w:p>
            <w:pPr>
              <w:jc w:val="center"/>
              <w:ind w:right="2626"/>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020" w:type="dxa"/>
            <w:vAlign w:val="bottom"/>
            <w:gridSpan w:val="5"/>
          </w:tcPr>
          <w:p>
            <w:pPr>
              <w:jc w:val="center"/>
              <w:ind w:right="26"/>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5"/>
        </w:trPr>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Common Stock, $0.01 par value</w:t>
            </w:r>
          </w:p>
        </w:tc>
        <w:tc>
          <w:tcPr>
            <w:tcW w:w="820" w:type="dxa"/>
            <w:vAlign w:val="bottom"/>
          </w:tcPr>
          <w:p>
            <w:pPr>
              <w:spacing w:after="0"/>
              <w:rPr>
                <w:sz w:val="20"/>
                <w:szCs w:val="20"/>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SABR</w:t>
            </w:r>
          </w:p>
        </w:tc>
        <w:tc>
          <w:tcPr>
            <w:tcW w:w="3500" w:type="dxa"/>
            <w:vAlign w:val="bottom"/>
          </w:tcPr>
          <w:p>
            <w:pPr>
              <w:jc w:val="center"/>
              <w:ind w:left="646"/>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97"/>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(Title of class)</w:t>
            </w:r>
          </w:p>
        </w:tc>
        <w:tc>
          <w:tcPr>
            <w:tcW w:w="820" w:type="dxa"/>
            <w:vAlign w:val="bottom"/>
          </w:tcPr>
          <w:p>
            <w:pPr>
              <w:spacing w:after="0"/>
              <w:rPr>
                <w:sz w:val="17"/>
                <w:szCs w:val="17"/>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(Trading symbol)</w:t>
            </w:r>
          </w:p>
        </w:tc>
        <w:tc>
          <w:tcPr>
            <w:tcW w:w="3500" w:type="dxa"/>
            <w:vAlign w:val="bottom"/>
          </w:tcPr>
          <w:p>
            <w:pPr>
              <w:jc w:val="center"/>
              <w:ind w:left="646"/>
              <w:spacing w:after="0"/>
              <w:rPr>
                <w:sz w:val="20"/>
                <w:szCs w:val="20"/>
                <w:color w:val="auto"/>
              </w:rPr>
            </w:pPr>
            <w:r>
              <w:rPr>
                <w:rFonts w:ascii="Arial" w:cs="Arial" w:eastAsia="Arial" w:hAnsi="Arial"/>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0"/>
        </w:trPr>
        <w:tc>
          <w:tcPr>
            <w:tcW w:w="9020" w:type="dxa"/>
            <w:vAlign w:val="bottom"/>
            <w:gridSpan w:val="5"/>
          </w:tcPr>
          <w:p>
            <w:pPr>
              <w:jc w:val="center"/>
              <w:ind w:right="26"/>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rPr>
              <w:t>None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line="184" w:lineRule="exact"/>
        <w:tabs>
          <w:tab w:leader="none" w:pos="8540" w:val="left"/>
          <w:tab w:leader="none" w:pos="91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tabs>
          <w:tab w:leader="none" w:pos="8620" w:val="left"/>
          <w:tab w:leader="none" w:pos="92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860" w:type="dxa"/>
            <w:vAlign w:val="bottom"/>
          </w:tcPr>
          <w:p>
            <w:pPr>
              <w:ind w:left="23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4" w:lineRule="exact"/>
        <w:rPr>
          <w:sz w:val="24"/>
          <w:szCs w:val="24"/>
          <w:color w:val="auto"/>
        </w:rPr>
      </w:pPr>
    </w:p>
    <w:p>
      <w:pPr>
        <w:jc w:val="both"/>
        <w:ind w:right="2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826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aggregate market value of the registrant’s common stock held by non-affiliates, as of June 30,2025, was $1,074,779,962. As of February 10, 2026, there were 395,165,033 shares of the registrant’s common stock outstanding.</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888" w:right="339" w:bottom="1440" w:gutter="0" w:footer="0" w:header="0"/>
        </w:sectPr>
      </w:pPr>
    </w:p>
    <w:p>
      <w:pPr>
        <w:spacing w:after="0" w:line="30" w:lineRule="exact"/>
        <w:rPr>
          <w:sz w:val="24"/>
          <w:szCs w:val="24"/>
          <w:color w:val="auto"/>
        </w:rPr>
      </w:pPr>
    </w:p>
    <w:p>
      <w:pPr>
        <w:ind w:right="300"/>
        <w:spacing w:after="0" w:line="265" w:lineRule="auto"/>
        <w:rPr>
          <w:sz w:val="20"/>
          <w:szCs w:val="20"/>
          <w:color w:val="auto"/>
        </w:rPr>
      </w:pPr>
      <w:r>
        <w:rPr>
          <w:rFonts w:ascii="Arial" w:cs="Arial" w:eastAsia="Arial" w:hAnsi="Arial"/>
          <w:sz w:val="16"/>
          <w:szCs w:val="16"/>
          <w:color w:val="auto"/>
        </w:rPr>
        <w:t>Portions of the registrant’s definitive proxy statement relating to its 2026 annual meeting of stockholders to be held on April 29, 2026,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0" w:type="dxa"/>
            <w:vAlign w:val="bottom"/>
            <w:gridSpan w:val="9"/>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6"/>
          </w:tcPr>
          <w:p>
            <w:pPr>
              <w:ind w:left="220"/>
              <w:spacing w:after="0"/>
              <w:rPr>
                <w:sz w:val="20"/>
                <w:szCs w:val="20"/>
                <w:color w:val="auto"/>
              </w:rPr>
            </w:pPr>
            <w:r>
              <w:rPr>
                <w:rFonts w:ascii="Arial" w:cs="Arial" w:eastAsia="Arial" w:hAnsi="Arial"/>
                <w:sz w:val="13"/>
                <w:szCs w:val="13"/>
                <w:b w:val="1"/>
                <w:bCs w:val="1"/>
                <w:color w:val="auto"/>
              </w:rPr>
              <w:t>Page</w:t>
            </w:r>
          </w:p>
        </w:tc>
      </w:tr>
      <w:tr>
        <w:trPr>
          <w:trHeight w:val="162"/>
        </w:trPr>
        <w:tc>
          <w:tcPr>
            <w:tcW w:w="20" w:type="dxa"/>
            <w:vAlign w:val="bottom"/>
          </w:tcPr>
          <w:p>
            <w:pPr>
              <w:spacing w:after="0"/>
              <w:rPr>
                <w:sz w:val="14"/>
                <w:szCs w:val="14"/>
                <w:color w:val="auto"/>
              </w:rPr>
            </w:pPr>
          </w:p>
        </w:tc>
        <w:tc>
          <w:tcPr>
            <w:tcW w:w="1320" w:type="dxa"/>
            <w:vAlign w:val="bottom"/>
            <w:gridSpan w:val="5"/>
          </w:tcPr>
          <w:p>
            <w:pPr>
              <w:spacing w:after="0" w:line="162" w:lineRule="exact"/>
              <w:rPr>
                <w:sz w:val="20"/>
                <w:szCs w:val="20"/>
                <w:color w:val="auto"/>
              </w:rPr>
            </w:pPr>
            <w:r>
              <w:rPr>
                <w:rFonts w:ascii="Arial" w:cs="Arial" w:eastAsia="Arial" w:hAnsi="Arial"/>
                <w:sz w:val="16"/>
                <w:szCs w:val="16"/>
                <w:b w:val="1"/>
                <w:bCs w:val="1"/>
                <w:color w:val="0000FF"/>
              </w:rPr>
              <w:t>PART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480" w:type="dxa"/>
            <w:vAlign w:val="bottom"/>
            <w:gridSpan w:val="22"/>
          </w:tcPr>
          <w:p>
            <w:pPr>
              <w:spacing w:after="0"/>
              <w:rPr>
                <w:sz w:val="18"/>
                <w:szCs w:val="18"/>
                <w:color w:val="auto"/>
              </w:rPr>
            </w:pPr>
          </w:p>
        </w:tc>
        <w:tc>
          <w:tcPr>
            <w:tcW w:w="62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8240" w:type="dxa"/>
            <w:vAlign w:val="bottom"/>
            <w:gridSpan w:val="20"/>
          </w:tcPr>
          <w:p>
            <w:pPr>
              <w:spacing w:after="0"/>
              <w:rPr>
                <w:sz w:val="17"/>
                <w:szCs w:val="17"/>
                <w:color w:val="auto"/>
              </w:rPr>
            </w:pPr>
          </w:p>
        </w:tc>
        <w:tc>
          <w:tcPr>
            <w:tcW w:w="62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1B.</w:t>
            </w:r>
          </w:p>
        </w:tc>
        <w:tc>
          <w:tcPr>
            <w:tcW w:w="2020" w:type="dxa"/>
            <w:vAlign w:val="bottom"/>
            <w:gridSpan w:val="10"/>
          </w:tcPr>
          <w:p>
            <w:pPr>
              <w:spacing w:after="0"/>
              <w:rPr>
                <w:sz w:val="20"/>
                <w:szCs w:val="20"/>
                <w:color w:val="auto"/>
              </w:rPr>
            </w:pPr>
            <w:r>
              <w:rPr>
                <w:rFonts w:ascii="Arial" w:cs="Arial" w:eastAsia="Arial" w:hAnsi="Arial"/>
                <w:sz w:val="16"/>
                <w:szCs w:val="16"/>
                <w:color w:val="0000FF"/>
                <w:w w:val="99"/>
              </w:rPr>
              <w:t>Unresolved Staff Comments</w:t>
            </w:r>
          </w:p>
        </w:tc>
        <w:tc>
          <w:tcPr>
            <w:tcW w:w="7120" w:type="dxa"/>
            <w:vAlign w:val="bottom"/>
            <w:gridSpan w:val="1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1C.</w:t>
            </w:r>
          </w:p>
        </w:tc>
        <w:tc>
          <w:tcPr>
            <w:tcW w:w="2020" w:type="dxa"/>
            <w:vAlign w:val="bottom"/>
            <w:gridSpan w:val="10"/>
          </w:tcPr>
          <w:p>
            <w:pPr>
              <w:spacing w:after="0"/>
              <w:rPr>
                <w:sz w:val="20"/>
                <w:szCs w:val="20"/>
                <w:color w:val="auto"/>
              </w:rPr>
            </w:pPr>
            <w:r>
              <w:rPr>
                <w:rFonts w:ascii="Arial" w:cs="Arial" w:eastAsia="Arial" w:hAnsi="Arial"/>
                <w:sz w:val="16"/>
                <w:szCs w:val="16"/>
                <w:color w:val="0000FF"/>
              </w:rPr>
              <w:t>Cybersecurity</w:t>
            </w:r>
          </w:p>
        </w:tc>
        <w:tc>
          <w:tcPr>
            <w:tcW w:w="7120" w:type="dxa"/>
            <w:vAlign w:val="bottom"/>
            <w:gridSpan w:val="1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2.</w:t>
            </w:r>
          </w:p>
        </w:tc>
        <w:tc>
          <w:tcPr>
            <w:tcW w:w="740" w:type="dxa"/>
            <w:vAlign w:val="bottom"/>
            <w:gridSpan w:val="2"/>
          </w:tcPr>
          <w:p>
            <w:pPr>
              <w:spacing w:after="0"/>
              <w:rPr>
                <w:sz w:val="20"/>
                <w:szCs w:val="20"/>
                <w:color w:val="auto"/>
              </w:rPr>
            </w:pPr>
            <w:r>
              <w:rPr>
                <w:rFonts w:ascii="Arial" w:cs="Arial" w:eastAsia="Arial" w:hAnsi="Arial"/>
                <w:sz w:val="16"/>
                <w:szCs w:val="16"/>
                <w:color w:val="0000FF"/>
                <w:w w:val="95"/>
              </w:rPr>
              <w:t>Properties</w:t>
            </w:r>
          </w:p>
        </w:tc>
        <w:tc>
          <w:tcPr>
            <w:tcW w:w="240" w:type="dxa"/>
            <w:vAlign w:val="bottom"/>
            <w:gridSpan w:val="2"/>
          </w:tcPr>
          <w:p>
            <w:pPr>
              <w:spacing w:after="0"/>
              <w:rPr>
                <w:sz w:val="17"/>
                <w:szCs w:val="17"/>
                <w:color w:val="auto"/>
              </w:rPr>
            </w:pPr>
          </w:p>
        </w:tc>
        <w:tc>
          <w:tcPr>
            <w:tcW w:w="8160" w:type="dxa"/>
            <w:vAlign w:val="bottom"/>
            <w:gridSpan w:val="19"/>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3.</w:t>
            </w:r>
          </w:p>
        </w:tc>
        <w:tc>
          <w:tcPr>
            <w:tcW w:w="1340" w:type="dxa"/>
            <w:vAlign w:val="bottom"/>
            <w:gridSpan w:val="6"/>
          </w:tcPr>
          <w:p>
            <w:pPr>
              <w:spacing w:after="0"/>
              <w:rPr>
                <w:sz w:val="20"/>
                <w:szCs w:val="20"/>
                <w:color w:val="auto"/>
              </w:rPr>
            </w:pPr>
            <w:r>
              <w:rPr>
                <w:rFonts w:ascii="Arial" w:cs="Arial" w:eastAsia="Arial" w:hAnsi="Arial"/>
                <w:sz w:val="16"/>
                <w:szCs w:val="16"/>
                <w:color w:val="0000FF"/>
                <w:w w:val="99"/>
              </w:rPr>
              <w:t>Legal Proceedings</w:t>
            </w:r>
          </w:p>
        </w:tc>
        <w:tc>
          <w:tcPr>
            <w:tcW w:w="7800" w:type="dxa"/>
            <w:vAlign w:val="bottom"/>
            <w:gridSpan w:val="17"/>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4.</w:t>
            </w:r>
          </w:p>
        </w:tc>
        <w:tc>
          <w:tcPr>
            <w:tcW w:w="1740" w:type="dxa"/>
            <w:vAlign w:val="bottom"/>
            <w:gridSpan w:val="8"/>
          </w:tcPr>
          <w:p>
            <w:pPr>
              <w:spacing w:after="0"/>
              <w:rPr>
                <w:sz w:val="20"/>
                <w:szCs w:val="20"/>
                <w:color w:val="auto"/>
              </w:rPr>
            </w:pPr>
            <w:r>
              <w:rPr>
                <w:rFonts w:ascii="Arial" w:cs="Arial" w:eastAsia="Arial" w:hAnsi="Arial"/>
                <w:sz w:val="16"/>
                <w:szCs w:val="16"/>
                <w:color w:val="0000FF"/>
              </w:rPr>
              <w:t>Mine Safety Disclosures</w:t>
            </w:r>
          </w:p>
        </w:tc>
        <w:tc>
          <w:tcPr>
            <w:tcW w:w="7400" w:type="dxa"/>
            <w:vAlign w:val="bottom"/>
            <w:gridSpan w:val="15"/>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40" w:type="dxa"/>
            <w:vAlign w:val="bottom"/>
            <w:gridSpan w:val="23"/>
          </w:tcPr>
          <w:p>
            <w:pPr>
              <w:spacing w:after="0"/>
              <w:rPr>
                <w:sz w:val="20"/>
                <w:szCs w:val="20"/>
                <w:color w:val="auto"/>
              </w:rPr>
            </w:pPr>
            <w:r>
              <w:rPr>
                <w:rFonts w:ascii="Arial" w:cs="Arial" w:eastAsia="Arial" w:hAnsi="Arial"/>
                <w:sz w:val="16"/>
                <w:szCs w:val="16"/>
                <w:color w:val="0000FF"/>
              </w:rPr>
              <w:t>Information About Our Executive Officers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74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5.</w:t>
            </w:r>
          </w:p>
        </w:tc>
        <w:tc>
          <w:tcPr>
            <w:tcW w:w="9140" w:type="dxa"/>
            <w:vAlign w:val="bottom"/>
            <w:gridSpan w:val="23"/>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520" w:type="dxa"/>
            <w:vAlign w:val="bottom"/>
            <w:tcBorders>
              <w:left w:val="single" w:sz="8" w:color="0000FF"/>
            </w:tcBorders>
            <w:gridSpan w:val="3"/>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94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6.</w:t>
            </w:r>
          </w:p>
        </w:tc>
        <w:tc>
          <w:tcPr>
            <w:tcW w:w="740" w:type="dxa"/>
            <w:vAlign w:val="bottom"/>
            <w:gridSpan w:val="2"/>
          </w:tcPr>
          <w:p>
            <w:pPr>
              <w:spacing w:after="0"/>
              <w:rPr>
                <w:sz w:val="20"/>
                <w:szCs w:val="20"/>
                <w:color w:val="auto"/>
              </w:rPr>
            </w:pPr>
            <w:r>
              <w:rPr>
                <w:rFonts w:ascii="Arial" w:cs="Arial" w:eastAsia="Arial" w:hAnsi="Arial"/>
                <w:sz w:val="16"/>
                <w:szCs w:val="16"/>
                <w:color w:val="0000FF"/>
                <w:w w:val="90"/>
              </w:rPr>
              <w:t>[Reserved]</w:t>
            </w:r>
          </w:p>
        </w:tc>
        <w:tc>
          <w:tcPr>
            <w:tcW w:w="8400" w:type="dxa"/>
            <w:vAlign w:val="bottom"/>
            <w:gridSpan w:val="21"/>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w:t>
            </w:r>
          </w:p>
        </w:tc>
        <w:tc>
          <w:tcPr>
            <w:tcW w:w="9140" w:type="dxa"/>
            <w:vAlign w:val="bottom"/>
            <w:gridSpan w:val="2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7A.</w:t>
            </w:r>
          </w:p>
        </w:tc>
        <w:tc>
          <w:tcPr>
            <w:tcW w:w="4240" w:type="dxa"/>
            <w:vAlign w:val="bottom"/>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3"/>
          </w:tcPr>
          <w:p>
            <w:pPr>
              <w:spacing w:after="0"/>
              <w:rPr>
                <w:sz w:val="17"/>
                <w:szCs w:val="17"/>
                <w:color w:val="auto"/>
              </w:rPr>
            </w:pPr>
          </w:p>
        </w:tc>
        <w:tc>
          <w:tcPr>
            <w:tcW w:w="2780" w:type="dxa"/>
            <w:vAlign w:val="bottom"/>
            <w:gridSpan w:val="4"/>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8.</w:t>
            </w:r>
          </w:p>
        </w:tc>
        <w:tc>
          <w:tcPr>
            <w:tcW w:w="4240" w:type="dxa"/>
            <w:vAlign w:val="bottom"/>
            <w:gridSpan w:val="16"/>
          </w:tcPr>
          <w:p>
            <w:pPr>
              <w:spacing w:after="0"/>
              <w:rPr>
                <w:sz w:val="20"/>
                <w:szCs w:val="20"/>
                <w:color w:val="auto"/>
              </w:rPr>
            </w:pPr>
            <w:r>
              <w:rPr>
                <w:rFonts w:ascii="Arial" w:cs="Arial" w:eastAsia="Arial" w:hAnsi="Arial"/>
                <w:sz w:val="16"/>
                <w:szCs w:val="16"/>
                <w:color w:val="0000FF"/>
              </w:rPr>
              <w:t>Financial Statements and Supplementary Data</w:t>
            </w:r>
          </w:p>
        </w:tc>
        <w:tc>
          <w:tcPr>
            <w:tcW w:w="4900" w:type="dxa"/>
            <w:vAlign w:val="bottom"/>
            <w:gridSpan w:val="7"/>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w:t>
            </w:r>
          </w:p>
        </w:tc>
        <w:tc>
          <w:tcPr>
            <w:tcW w:w="6460" w:type="dxa"/>
            <w:vAlign w:val="bottom"/>
            <w:gridSpan w:val="20"/>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680" w:type="dxa"/>
            <w:vAlign w:val="bottom"/>
            <w:gridSpan w:val="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9A.</w:t>
            </w:r>
          </w:p>
        </w:tc>
        <w:tc>
          <w:tcPr>
            <w:tcW w:w="6460" w:type="dxa"/>
            <w:vAlign w:val="bottom"/>
            <w:gridSpan w:val="20"/>
          </w:tcPr>
          <w:p>
            <w:pPr>
              <w:spacing w:after="0"/>
              <w:rPr>
                <w:sz w:val="20"/>
                <w:szCs w:val="20"/>
                <w:color w:val="auto"/>
              </w:rPr>
            </w:pPr>
            <w:r>
              <w:rPr>
                <w:rFonts w:ascii="Arial" w:cs="Arial" w:eastAsia="Arial" w:hAnsi="Arial"/>
                <w:sz w:val="16"/>
                <w:szCs w:val="16"/>
                <w:color w:val="0000FF"/>
              </w:rPr>
              <w:t>Controls and Procedures</w:t>
            </w:r>
          </w:p>
        </w:tc>
        <w:tc>
          <w:tcPr>
            <w:tcW w:w="2680" w:type="dxa"/>
            <w:vAlign w:val="bottom"/>
            <w:gridSpan w:val="3"/>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9B.</w:t>
            </w:r>
          </w:p>
        </w:tc>
        <w:tc>
          <w:tcPr>
            <w:tcW w:w="1260" w:type="dxa"/>
            <w:vAlign w:val="bottom"/>
            <w:gridSpan w:val="5"/>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gridSpan w:val="4"/>
          </w:tcPr>
          <w:p>
            <w:pPr>
              <w:spacing w:after="0"/>
              <w:rPr>
                <w:sz w:val="17"/>
                <w:szCs w:val="17"/>
                <w:color w:val="auto"/>
              </w:rPr>
            </w:pPr>
          </w:p>
        </w:tc>
        <w:tc>
          <w:tcPr>
            <w:tcW w:w="7360" w:type="dxa"/>
            <w:vAlign w:val="bottom"/>
            <w:gridSpan w:val="14"/>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9C.</w:t>
            </w:r>
          </w:p>
        </w:tc>
        <w:tc>
          <w:tcPr>
            <w:tcW w:w="914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III</w:t>
            </w:r>
          </w:p>
        </w:tc>
        <w:tc>
          <w:tcPr>
            <w:tcW w:w="7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10.</w:t>
            </w:r>
          </w:p>
        </w:tc>
        <w:tc>
          <w:tcPr>
            <w:tcW w:w="9140" w:type="dxa"/>
            <w:vAlign w:val="bottom"/>
            <w:gridSpan w:val="2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11.</w:t>
            </w:r>
          </w:p>
        </w:tc>
        <w:tc>
          <w:tcPr>
            <w:tcW w:w="4040" w:type="dxa"/>
            <w:vAlign w:val="bottom"/>
            <w:gridSpan w:val="15"/>
          </w:tcPr>
          <w:p>
            <w:pPr>
              <w:spacing w:after="0"/>
              <w:rPr>
                <w:sz w:val="20"/>
                <w:szCs w:val="20"/>
                <w:color w:val="auto"/>
              </w:rPr>
            </w:pPr>
            <w:r>
              <w:rPr>
                <w:rFonts w:ascii="Arial" w:cs="Arial" w:eastAsia="Arial" w:hAnsi="Arial"/>
                <w:sz w:val="16"/>
                <w:szCs w:val="16"/>
                <w:color w:val="0000FF"/>
              </w:rPr>
              <w:t>Executive Compensation</w:t>
            </w:r>
          </w:p>
        </w:tc>
        <w:tc>
          <w:tcPr>
            <w:tcW w:w="5100" w:type="dxa"/>
            <w:vAlign w:val="bottom"/>
            <w:gridSpan w:val="8"/>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12.</w:t>
            </w:r>
          </w:p>
        </w:tc>
        <w:tc>
          <w:tcPr>
            <w:tcW w:w="9140" w:type="dxa"/>
            <w:vAlign w:val="bottom"/>
            <w:gridSpan w:val="23"/>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13.</w:t>
            </w:r>
          </w:p>
        </w:tc>
        <w:tc>
          <w:tcPr>
            <w:tcW w:w="7200" w:type="dxa"/>
            <w:vAlign w:val="bottom"/>
            <w:gridSpan w:val="21"/>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14.</w:t>
            </w:r>
          </w:p>
        </w:tc>
        <w:tc>
          <w:tcPr>
            <w:tcW w:w="5460" w:type="dxa"/>
            <w:vAlign w:val="bottom"/>
            <w:gridSpan w:val="18"/>
          </w:tcPr>
          <w:p>
            <w:pPr>
              <w:spacing w:after="0"/>
              <w:rPr>
                <w:sz w:val="20"/>
                <w:szCs w:val="20"/>
                <w:color w:val="auto"/>
              </w:rPr>
            </w:pPr>
            <w:r>
              <w:rPr>
                <w:rFonts w:ascii="Arial" w:cs="Arial" w:eastAsia="Arial" w:hAnsi="Arial"/>
                <w:sz w:val="16"/>
                <w:szCs w:val="16"/>
                <w:color w:val="0000FF"/>
              </w:rPr>
              <w:t>Principal Accountant Fees and Services</w:t>
            </w:r>
          </w:p>
        </w:tc>
        <w:tc>
          <w:tcPr>
            <w:tcW w:w="3680" w:type="dxa"/>
            <w:vAlign w:val="bottom"/>
            <w:gridSpan w:val="5"/>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8"/>
              </w:rPr>
              <w:t>PART IV</w:t>
            </w:r>
          </w:p>
        </w:tc>
        <w:tc>
          <w:tcPr>
            <w:tcW w:w="6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15.</w:t>
            </w:r>
          </w:p>
        </w:tc>
        <w:tc>
          <w:tcPr>
            <w:tcW w:w="3160" w:type="dxa"/>
            <w:vAlign w:val="bottom"/>
            <w:gridSpan w:val="13"/>
          </w:tcPr>
          <w:p>
            <w:pPr>
              <w:spacing w:after="0"/>
              <w:rPr>
                <w:sz w:val="20"/>
                <w:szCs w:val="20"/>
                <w:color w:val="auto"/>
              </w:rPr>
            </w:pPr>
            <w:r>
              <w:rPr>
                <w:rFonts w:ascii="Arial" w:cs="Arial" w:eastAsia="Arial" w:hAnsi="Arial"/>
                <w:sz w:val="16"/>
                <w:szCs w:val="16"/>
                <w:color w:val="0000FF"/>
              </w:rPr>
              <w:t>Exhibits and Financial Statement Schedules</w:t>
            </w:r>
          </w:p>
        </w:tc>
        <w:tc>
          <w:tcPr>
            <w:tcW w:w="5980" w:type="dxa"/>
            <w:vAlign w:val="bottom"/>
            <w:gridSpan w:val="10"/>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16.</w:t>
            </w:r>
          </w:p>
        </w:tc>
        <w:tc>
          <w:tcPr>
            <w:tcW w:w="3160" w:type="dxa"/>
            <w:vAlign w:val="bottom"/>
            <w:gridSpan w:val="13"/>
          </w:tcPr>
          <w:p>
            <w:pPr>
              <w:spacing w:after="0"/>
              <w:rPr>
                <w:sz w:val="20"/>
                <w:szCs w:val="20"/>
                <w:color w:val="auto"/>
              </w:rPr>
            </w:pPr>
            <w:r>
              <w:rPr>
                <w:rFonts w:ascii="Arial" w:cs="Arial" w:eastAsia="Arial" w:hAnsi="Arial"/>
                <w:sz w:val="16"/>
                <w:szCs w:val="16"/>
                <w:color w:val="0000FF"/>
              </w:rPr>
              <w:t>Form 10-K Summary</w:t>
            </w:r>
          </w:p>
        </w:tc>
        <w:tc>
          <w:tcPr>
            <w:tcW w:w="5980" w:type="dxa"/>
            <w:vAlign w:val="bottom"/>
            <w:gridSpan w:val="10"/>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0000FF"/>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95"/>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the impact of certain divestments, our prospects and strategies for future growth, the development and introduction of new products, and the implementation of our strategies. In many cases, you can identify forward-looking statements by terms such as “expects,” "intends," "believes," "focus," "outlook," "vision," “anticipates,” “estimates,” "will," "may," “predicts,” “potential,” "should,” “plans,” “could,” “likely,” “commit,” “incremental,” “preliminary,” “forecast,” “continue,” “strategy,” “objective,” “project,”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391"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At Sabre, we make travel happen. Our vision is to be the most valued global technology platform in travel. We are committed to helping our customers take on the biggest opportunities and solve the most complex challenges in travel. We connect the world’s leading travel suppliers, including airlines, hotels, car rental brands, rail carriers, cruise lines and tour operators, with travel buyers in a comprehensive travel marketplace. We also offer airlines an extensive suite of leading software solutions. We are committed to helping customers operate more efficiently, drive revenue and offer personalized traveler experiences with next-generation technology solutions.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 and Products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manage and report our business in one reportable segment following the disposition of our Hospitality Solutions business during 2025. Our business provides global travel solutions for travel suppliers and travel buyers through a business-to-business travel marketplace called Sabre Mosaic Marketplace consisting of our global distribution network and a broad set of solutions that integrate with our distribution platform to add value for travel suppliers and travel buyers. Within the Sabre Mosaic Marketplace, our distribution business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68"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Additionally, we offer a broad portfolio of software technology products and solutions, through software-as-a-service (“SaaS”) and hosted delivery model, to airlines and other travel suppliers and provide industry-leading and comprehensive software solutions that help our customers better market, sell, serve and operate. Our product offerings include reservation systems for full-cost and low-cost carriers, commercial and operations products, agency solutions and data-driven intelligence solutions. In 2024, we launched SabreMosaic</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Airline Technology, a proprietary offer and order retailing platform for airlines that is designed and built on a modular, artificial intelligence ("AI")-enabled open technology structure, enabling airlines to dynamically create, sell and deliver an array of personalized content to travelers. Our reservation systems bring together intelligent decision support solutions that enable end-to-end retailing. Our commercial and operations products offer services to our customers to enable them to better use our products and help optimize their commercial and operations platforms.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Growth Strategy</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At Sabre, we are a technology company focused on two strategic areas: 1) driving growth through innovation, and 2) generating positive free cash flow and delevering our balance sheet. Our growth strategy includes enhancing relationships with customers by promoting the benefits to them and travelers of adopting additional products and services, adapting those products to the changing needs of the travel ecosphere, including integrating new distribution capability (“NDC”), and pricing them in ways that align with our customers, growing our customer base by continuing to innovate our products, adding desirable content, and aligning our technology and personnel to best highlight our value proposition globally and expanding opportunities by extending our product lines into closely related areas of travel where our customer relationships can efficiently drive adoption.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Operations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technology strategy is focused on achieving operational stability, reliability, resiliency, security and performance at an efficient overall cost while continuing to innovate and create incremental value for our customers. Significant investment has gone into implementing a more modern, unified technical architecture with an emphasis on standardization, simplicity, efficiency, security, and scalability. We invest heavily in software development, delivery, and operational support capabilities and seek to provide best in class products for our customers. We operate standardized infrastructure in our cloud computing environments across hardware, operating systems, databases, and other key enabling technologies to minimize costs on non-differentiators. We expect to continue to make significant investments in our information technology infrastructure to modernize our architecture, drive efficiency and quality in development, lower recurring technology costs, further enhance the stability and security of our network, comply with data privacy and accessibility regulations, and deliver innovative, AI-powered solutions to the travel industry. We expect to deliver ongoing improvements in developer productivity, operational efficiency, and customer capabilities by increasing our use of generative AI technologies in our products as well as in our operational infrastructure.</w:t>
      </w:r>
    </w:p>
    <w:p>
      <w:pPr>
        <w:spacing w:after="0" w:line="2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Over the last several years, our architecture has evolved from mainframe-based transaction processing to more secure, primarily cloud-based distributed processing. A variety of products and services run on this technology infrastructure: high-volume, machine learning based air and hotel shopping systems; sales and support applications for airlines, hotels, and travel agencies; airline inventory management and operational support systems; machine learning driven analytics and decision support systems; and web services that provide automated interfaces for intelligent retailing, distribution, and fulfillment of travel-related products and services. Additionally, we enable a variety of advanced retailing and servicing capabilities that are generative AI based, such as conversational chatbots for our airline customers and agentic interfaces that enable direct integration with external AI platforms. The flexibility and scale of our cloud-based technology infrastructure allow us to quickly deliver a broad variety of SaaS solutions and evolve these solutions to meet the changing needs of the travel industry.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customers consist of travel suppliers, including airlines, hotels and other lodging providers, car rental brands, rail carriers, cruise lines, tour operators, attractions and services; a large network of travel buyers, including OTAs, offline travel agencies, TMCs and corporate travel departments; and airports, governments and tourism boards. Airlines we serve vary in size and are located in every region of the world, and include hybrid carriers and low-cost carriers ("LCCs") (collectively, “LCC/hybrids”), global network carriers and regional network carriers. Our airline and agency customers are in various phases of adopting NDC strategies, and those strategies vary by customer.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Sources of Revenue</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Transactions—Our business generates distribution revenue for bookings made through our global distribution system ("GDS") (e.g., air, car and hotel bookings) and through our partners and generally we are paid directly by the travel supplier. A transaction occurs when a travel agency or corporate travel department books or reserves a travel supplier’s product using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SaaS and Hosted—We generate IT Solutions revenue through upfront solution implementation fees and recurring usage-based fees for the use of our software solutions hosted on secure platforms or deployed via SaaS. We collect the implementation fees, recurring usage-based fees and subscription fees pursuant to contracts with terms that typically range between three and ten years and generally include minimum annual volume requirements.</w:t>
      </w:r>
    </w:p>
    <w:p>
      <w:pPr>
        <w:spacing w:after="0" w:line="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Software Licensing—We generate IT Solutions revenue from fees for the on-site installation and use of our software products. Many contracts under this model generate additional revenue for the maintenance of the software product.</w:t>
      </w:r>
    </w:p>
    <w:p>
      <w:pPr>
        <w:spacing w:after="0" w:line="4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Professional Service Fees—We generate IT Solutions revenue through offerings that utilize the SaaS and hosted revenue model which are sometimes sold as part of multiple performance obligation arrangements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operate in highly competitive markets. We compete with several other regional and global travel marketplace providers, including other GDSs, local distribution systems and travel marketplace providers primarily owned by airlines or government entities, as well as with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We also compete with a variety of providers in a rapidly evolving marketplace which includes global and regional IT providers, various specialists in selected product areas, service providers and airlines that develop their own in-house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business processes and other inventions relating to our business, and our software and related documentation may also be protected under trade secret and copyright laws where applicable. We may also benefit from both statutory and common law protection of our trademarks.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continually evolving. These laws, regulations and policies include regulations applicable to the GDS in the European Union (“EU”), Canada, the United States and other jurisdictions.</w:t>
      </w:r>
    </w:p>
    <w:p>
      <w:pPr>
        <w:spacing w:after="0" w:line="61"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We are subject to the application of data protection and privacy regulations in many of the U.S. states and countries in which we operate, including the General Data Protection Regulation ("GDPR") in the EU. See "Risk Factors—Our collection, processing, storage, use and transmission of personal data could give rise to liabilities as a result of governmental regulation, conflicting legal requirements, differing views on data privacy, or security incidents."</w:t>
      </w:r>
    </w:p>
    <w:p>
      <w:pPr>
        <w:spacing w:after="0" w:line="7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also subject to prohibitions administered by the Office of Foreign Assets Control (the “OFAC rules”) and other similar global prohibitions, as applicable. The OFAC rules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6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businesses may also be subject to legislation and regulations affecting issues such as: trade sanctions, technology exports, antitrust, anticorruption, telecommunications, artificial intelligence, and e-commerce. These requirements vary across jurisdictions. For example, Russia adopted legislation and related regulations, effective October 30, 2022, requiring that activities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6"/>
          <w:szCs w:val="16"/>
          <w:color w:val="auto"/>
        </w:rPr>
        <w:t>related to the development, creation and operation of automated information systems for processing domestic air transportation within the Russian Federation to be owned and operated by Russian residents or legal entities, without updates from or connections to systems abroad. This legislation and these regulations have prohibited us from providing these services in Russia, which has negatively impacted our revenue and results. In addition, on May 23, 2024, Russia issued a decree establishing a process for seizing the assets of U.S. companies and nationals in Russia, further limiting our ability to operate and provide services there.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“Risk Factors— Any failure to comply with regulations or any changes in such regulations governing our businesses could adversely affect us."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industry is seasonal in nature. Travel bookings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 Similarly, we experience seasonality in our cash flow from operations with the first quarter lower in collections, reflecting the revenue generated in December, and higher cash outflows with annual compensation and incentive consideration payments, for the previous year.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maintain a strategic framework that defines areas of focus for our culture and talent and highlights how we enable our people to execute the plans and priorities for our technology, product, financial and customer strategies.</w:t>
      </w:r>
    </w:p>
    <w:p>
      <w:pPr>
        <w:spacing w:after="0" w:line="3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Our People</w:t>
      </w:r>
      <w:r>
        <w:rPr>
          <w:rFonts w:ascii="Arial" w:cs="Arial" w:eastAsia="Arial" w:hAnsi="Arial"/>
          <w:sz w:val="16"/>
          <w:szCs w:val="16"/>
          <w:color w:val="auto"/>
        </w:rPr>
        <w:t>— In the third quarter of 2025, we sold our Hospitality Solutions business which reduced our workforce by approximately 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2024, impacting our human capital metrics through the year ended December 31, 2025. We have not experienced any work stoppages and consider our relations with our employees to be good. As of December 31, 2025, we had 4,650 employees worldwide, consisting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No of Employees</w:t>
            </w:r>
          </w:p>
        </w:tc>
        <w:tc>
          <w:tcPr>
            <w:tcW w:w="1820" w:type="dxa"/>
            <w:vAlign w:val="bottom"/>
          </w:tcPr>
          <w:p>
            <w:pPr>
              <w:jc w:val="right"/>
              <w:ind w:right="542"/>
              <w:spacing w:after="0"/>
              <w:rPr>
                <w:sz w:val="20"/>
                <w:szCs w:val="20"/>
                <w:color w:val="auto"/>
              </w:rPr>
            </w:pPr>
            <w:r>
              <w:rPr>
                <w:rFonts w:ascii="Arial" w:cs="Arial" w:eastAsia="Arial" w:hAnsi="Arial"/>
                <w:sz w:val="13"/>
                <w:szCs w:val="13"/>
                <w:b w:val="1"/>
                <w:bCs w:val="1"/>
                <w:color w:val="auto"/>
              </w:rPr>
              <w:t>% of Total</w:t>
            </w:r>
          </w:p>
        </w:tc>
      </w:tr>
      <w:tr>
        <w:trPr>
          <w:trHeight w:val="21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Asia-Pacific</w:t>
            </w:r>
          </w:p>
        </w:tc>
        <w:tc>
          <w:tcPr>
            <w:tcW w:w="1620" w:type="dxa"/>
            <w:vAlign w:val="bottom"/>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7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34"/>
        </w:trPr>
        <w:tc>
          <w:tcPr>
            <w:tcW w:w="76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Canada, Mexico, Latin America, Middle East, and Africa.</w:t>
      </w:r>
    </w:p>
    <w:p>
      <w:pPr>
        <w:ind w:left="160" w:hanging="152"/>
        <w:spacing w:after="0" w:line="204"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Excludes personnel that directly support Hospitality Solutions through an employment services agreement.</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i w:val="1"/>
          <w:iCs w:val="1"/>
          <w:color w:val="auto"/>
        </w:rPr>
        <w:t>Talent Acquisition, Development and Retention</w:t>
      </w:r>
      <w:r>
        <w:rPr>
          <w:rFonts w:ascii="Arial" w:cs="Arial" w:eastAsia="Arial" w:hAnsi="Arial"/>
          <w:sz w:val="16"/>
          <w:szCs w:val="16"/>
          <w:color w:val="auto"/>
        </w:rPr>
        <w:t>—Through our long operating history and experience with technological innovation, we appreciate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importance of retention, growth and development of our employees. We seek to set compensation at competitive levels that help enable us to hire, incentivize, and retain high-caliber employees. Our Leadership Framework supports our employees and cultivates our talent. This framework includes frequent one-on-one conversations, regular team meetings, meaningful performance feedback, timely recognition and supportive career development. Our formal and informal reward, recognition and acknowledgement programs encourage employees to recognize peers, teams and departments to honor their champions and help promote satisfaction and engagement. To assist in retaining key talent, we offer compensation programs to certain key employees, such as long-term performance-based cash incentive awards, performance-based restricted stock unit awards, time-based restricted stock unit awards, and other awards as appropriate. We monitor and evaluate various turnover and attrition metrics throughout our management teams.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Inclusion Groups</w:t>
      </w:r>
      <w:r>
        <w:rPr>
          <w:rFonts w:ascii="Arial" w:cs="Arial" w:eastAsia="Arial" w:hAnsi="Arial"/>
          <w:sz w:val="16"/>
          <w:szCs w:val="16"/>
          <w:color w:val="auto"/>
        </w:rPr>
        <w:t>—With 49 offices around the globe, we believe that the different backgrounds, experiences, perspectives, and ideas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are critical to spur innovation, drive growth and sustain competitive advantage in our industry. We maintain eight inclusion groups to help inspire awareness, understanding, and appreciation for a wide spectrum of communities.</w:t>
      </w:r>
    </w:p>
    <w:p>
      <w:pPr>
        <w:spacing w:after="0" w:line="5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Health and Wellness</w:t>
      </w:r>
      <w:r>
        <w:rPr>
          <w:rFonts w:ascii="Arial" w:cs="Arial" w:eastAsia="Arial" w:hAnsi="Arial"/>
          <w:sz w:val="16"/>
          <w:szCs w:val="16"/>
          <w:color w:val="auto"/>
        </w:rPr>
        <w:t>—The health and safety of our team members is of the utmost importance. In addition to core health and welfare benefits, our</w:t>
      </w:r>
      <w:r>
        <w:rPr>
          <w:rFonts w:ascii="Arial" w:cs="Arial" w:eastAsia="Arial" w:hAnsi="Arial"/>
          <w:sz w:val="16"/>
          <w:szCs w:val="16"/>
          <w:i w:val="1"/>
          <w:iCs w:val="1"/>
          <w:color w:val="auto"/>
        </w:rPr>
        <w:t xml:space="preserve"> </w:t>
      </w:r>
      <w:r>
        <w:rPr>
          <w:rFonts w:ascii="Arial" w:cs="Arial" w:eastAsia="Arial" w:hAnsi="Arial"/>
          <w:sz w:val="16"/>
          <w:szCs w:val="16"/>
          <w:color w:val="auto"/>
        </w:rPr>
        <w:t>wellness program offers resources to promote physical, emotional, and mental well-being. We maintain certain assistance programs to continue to support the well-being of our team members, including team members that operate in a remote working environment. Additionally, to help ensure the safety and wellness of our employees, we have provided robust parental leave programs and enhanced our personal time off benefits, and maintain a hybrid work environment that allows our employees additional flexibility in work arrangements and opportunities to work remotely.</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Corporate Responsibility</w:t>
      </w:r>
      <w:r>
        <w:rPr>
          <w:rFonts w:ascii="Arial" w:cs="Arial" w:eastAsia="Arial" w:hAnsi="Arial"/>
          <w:sz w:val="16"/>
          <w:szCs w:val="16"/>
          <w:color w:val="auto"/>
        </w:rPr>
        <w:t>—We invest globally in our communities by encouraging employee volunteerism on company time through one paid day off</w:t>
      </w:r>
      <w:r>
        <w:rPr>
          <w:rFonts w:ascii="Arial" w:cs="Arial" w:eastAsia="Arial" w:hAnsi="Arial"/>
          <w:sz w:val="16"/>
          <w:szCs w:val="16"/>
          <w:i w:val="1"/>
          <w:iCs w:val="1"/>
          <w:color w:val="auto"/>
        </w:rPr>
        <w:t xml:space="preserve"> </w:t>
      </w:r>
      <w:r>
        <w:rPr>
          <w:rFonts w:ascii="Arial" w:cs="Arial" w:eastAsia="Arial" w:hAnsi="Arial"/>
          <w:sz w:val="16"/>
          <w:szCs w:val="16"/>
          <w:color w:val="auto"/>
        </w:rPr>
        <w:t>per quarter for community volunteering. Our employees have donated a significant number of volunteer hours to support our community-oriented and philanthropic culture.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Available Information</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under these requirements,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at investors.sabre.com.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8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We may use our website, our LinkedIn account and our X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Annual Report on Form 10-K.</w:t>
      </w: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inflationary pressures, economic uncertainty, and the effects of tariffs;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government shutdowns or changes to regulations governing airlines and the travel industry, like government sanctions that do or would prohibit doing business with certain state-owned travel suppliers, work stoppages or labor unrest at any of the major airlines, hotels or airports. Societal norms with respect to travel may change permanently in ways that cannot be predicted and that can change the travel industry in a manner adverse to our business.</w:t>
      </w:r>
    </w:p>
    <w:p>
      <w:pPr>
        <w:spacing w:after="0" w:line="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4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Adapting to new technological and marketplace developments has required, and may continue to require, substantial expenditures and lead time and we cannot guarantee that projected future increases in business volume will actually materialize. We have in the past experienced, and may in the future experience, difficulties that could delay or prevent the successful development, marketing and implementation of platforms, enhancements, upgrades and additions. Moreover, we may fail to maintain, upgrade or introduce new products, services, technologies and systems as quickly as our competitors or in a cost-effective manner. For example, we must constantly update our products with new capabilities, such as New Distribution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 w:name="page8"/>
    <w:bookmarkEnd w:id="7"/>
    <w:p>
      <w:pPr>
        <w:jc w:val="both"/>
        <w:ind w:right="20"/>
        <w:spacing w:after="0" w:line="275" w:lineRule="auto"/>
        <w:rPr>
          <w:sz w:val="20"/>
          <w:szCs w:val="20"/>
          <w:color w:val="auto"/>
        </w:rPr>
      </w:pPr>
      <w:r>
        <w:rPr>
          <w:rFonts w:ascii="Arial" w:cs="Arial" w:eastAsia="Arial" w:hAnsi="Arial"/>
          <w:sz w:val="16"/>
          <w:szCs w:val="16"/>
          <w:color w:val="auto"/>
        </w:rPr>
        <w:t>Capability (NDC),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 See “—We have a significant amount of indebtedness, which could adversely affect our cash flow and our ability to operate our business and to fulfill our obligations under our indebtedness.”</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government regulations, and trends and customer requirements. For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Our industry is marked by rapid technological developments and innovations, such as the use of AI, and evolving industry standards, best practices, and related regulations. See “—Any failure to comply with regulations or any changes in such regulations governing our businesses could adversely affect us.” Our competitors or other third parties may incorporate AI into their products more quickly or more successfully than we do, which could impair our ability to compete effectively and adversely affect our results of operations.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is exposed to pricing pressure from travel suppliers.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GDS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have in the past and may in the future have to decrease our prices to retain their business. If we are unable to renew our contracts with these travel suppliers on similar economic terms or at all, or if our ability to provide this content is similarly impeded, this would also adversely affect the value of our business as a marketplace due to our more limited content.</w:t>
      </w:r>
    </w:p>
    <w:p>
      <w:pPr>
        <w:spacing w:after="0" w:line="74"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business is exposed to pricing pressure from travel suppliers.”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3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6"/>
          <w:szCs w:val="16"/>
          <w:color w:val="auto"/>
        </w:rPr>
        <w:t>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personal data. See “—Security incidents expose us to liability and could damage our reputation and our business.”</w:t>
      </w:r>
    </w:p>
    <w:p>
      <w:pPr>
        <w:spacing w:after="0" w:line="88"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32"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 our business, the implementation of software solutions often involves a significant commitment of resources and is subject to a number of significant risks over which we may or may not have control. These risks include:</w:t>
      </w:r>
    </w:p>
    <w:p>
      <w:pPr>
        <w:spacing w:after="0" w:line="33"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2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47"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69"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relationships with travel buyers.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also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7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Analysis of Financial Condition and Results of Operations</w:t>
      </w:r>
      <w:r>
        <w:rPr>
          <w:rFonts w:ascii="Arial" w:cs="Arial" w:eastAsia="Arial" w:hAnsi="Arial"/>
          <w:sz w:val="16"/>
          <w:szCs w:val="16"/>
          <w:color w:val="000000"/>
        </w:rPr>
        <w:t>—Factors Affecting our Results—Increasing travel agency incentive consideration" in this</w:t>
      </w:r>
      <w:r>
        <w:rPr>
          <w:rFonts w:ascii="Arial" w:cs="Arial" w:eastAsia="Arial" w:hAnsi="Arial"/>
          <w:sz w:val="16"/>
          <w:szCs w:val="16"/>
          <w:color w:val="0000FF"/>
        </w:rPr>
        <w:t xml:space="preserve"> </w:t>
      </w:r>
      <w:r>
        <w:rPr>
          <w:rFonts w:ascii="Arial" w:cs="Arial" w:eastAsia="Arial" w:hAnsi="Arial"/>
          <w:sz w:val="16"/>
          <w:szCs w:val="16"/>
          <w:color w:val="000000"/>
        </w:rPr>
        <w:t>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maintaining and renewing contracts with our customers and other counterparties.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connection with our business, we enter into contracts with travel buyers, travel suppliers, third-party distributors and hotels.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Similarly, our contracts with airline travel suppliers have a typical duration of three to seven years for larger airlines and one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6"/>
          <w:szCs w:val="16"/>
          <w:color w:val="auto"/>
        </w:rPr>
        <w:t>to three years for smaller airlines, and are generally subject to automatic renewal at the end of the term.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contracts in the future on favorable economic terms or at all, and the termination or expiration of these agreements could materially adversely impact our business. See “—Our business is exposed to pricing pressure from travel suppliers."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business in the relevant regions.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83"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In addition, our failure to renew some or all of our agreements on economically favorable terms or at all, or the early termination of these existing contracts, would adversely affect the value of our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70"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33" w:lineRule="exact"/>
        <w:rPr>
          <w:sz w:val="20"/>
          <w:szCs w:val="20"/>
          <w:color w:val="auto"/>
        </w:rPr>
      </w:pPr>
    </w:p>
    <w:p>
      <w:pPr>
        <w:jc w:val="both"/>
        <w:ind w:firstLine="486"/>
        <w:spacing w:after="0" w:line="319"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r>
        <w:rPr>
          <w:rFonts w:ascii="Arial" w:cs="Arial" w:eastAsia="Arial" w:hAnsi="Arial"/>
          <w:sz w:val="17"/>
          <w:szCs w:val="17"/>
          <w:b w:val="1"/>
          <w:bCs w:val="1"/>
          <w:color w:val="auto"/>
        </w:rPr>
        <w:t>.</w:t>
      </w:r>
    </w:p>
    <w:p>
      <w:pPr>
        <w:spacing w:after="0" w:line="2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r>
        <w:rPr>
          <w:rFonts w:ascii="Arial" w:cs="Arial" w:eastAsia="Arial" w:hAnsi="Arial"/>
          <w:sz w:val="17"/>
          <w:szCs w:val="17"/>
          <w:color w:val="auto"/>
        </w:rPr>
        <w:t>.</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assessed periodically for assurance and successfully completed our last annual assessment in September 2025.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8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4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18. Commitments and Contingencies, to our consolidated financial statements. The defense of these actions, as well as any of the other actions described under Note 18. Commitments and Contingencies, to our consolidated financial statements or elsewhere in this Annual Report on Form 10-K,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Further, any litigation may operationally restrict our business, may divert management’s attention and resources, and could adversely impact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our reputation. Any of these consequences could have a material adverse effect on our business, financial condition and results of operations.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AI, cybersecurity, environmental, social and governance matters, and e-commerce. Our failure to comply with any of these requirements, interpretations, legislation or regulations could have a material adverse effect on our operations.</w:t>
      </w:r>
    </w:p>
    <w:p>
      <w:pPr>
        <w:spacing w:after="0" w:line="8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Trade and economic sanctions or other restrictions imposed by the United States, the United Kingdom, the European Union, or other regions or countries could restrict or impact our ability to operate in or provide certain services to restricted markets or parties. Further, the United States has imposed economic sanctions, and could impose further sanctions in the future, that affect transactions with designated countries, including but not limited to, Cuba, Iran, and North Korea, and nationals and others of those countries, and certain specifically targeted individuals and entities engaged in conduct detrimental to U.S. national security interests. Certain United States sanction programs, including those historically applicable to Syria, have been modified. However, significant targeted restrictions remain, and changes in sanction policy may occur rapidly. As a result, we may face compliance risk, reputational harm, or operational disruption arising from evolving compliance regimes.</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GDS contracts with carriers that fly to Cuba, Iran and North Korea; however, these carriers are based outside those countries and are neither owned by those governments or their nationals, nor are they themselves subject to sanctions. With respect to Iran and, North Korea, we believe that our activities are designed to comply with certain information and travel-related exemptions. With respect to Cuba, we have advised OFAC that we display on the Sabre GDS flight information for, and support booking and ticketing of, services of non-Cuban airlines that offer service to Cuba. Based on advice of counsel, we believe these activities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may vary on a case-by-case basis. As a result, we cannot provide any guarantees that a regulator will not challenge the activities described above in the future, which could have a material adverse effect on our results of operations.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connection with the current military conflict in Ukraine, the United States, the United Kingdom, the European Union and other governments have imposed varying sanctions and export-control measure packages impacting Russia and certain regions of Ukraine and Belarus. We continue to actively monitor the ongoing situation. The extent to which our reputation, operations, and financial results may be affected by the ongoing conflict will depend on various factors, including the extent and duration of the conflict; the effects of the conflict on regional and global economic and geopolitical conditions; and the effect of further laws, sanctions and trade control restrictions on our business, the global economy and global supply chains. Continuation or escalation of the conflict may also exacerbate this and other risk factors identified in this Annual Report on Form 10-K, including cybersecurity, regulatory, and reputational risks.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noted, the regulations and sanctions that apply to us are complex. While we have a compliance program in place to help us address these requirements, there can be no assurance that we will be able to consistently address them in an effective manner. Any failure to comply with these sanctions, export controls and related rules and regulations may subject us to legal and reputational consequences, including civil and criminal penalties. In the third quarter of 2022, we identified elements of our sanctions compliance program that were not functioning as intended, which we believe we have substantially addressed. In identifying these elements, we became aware that we received payments that were not material in amount from an air carrier in Russia for GDS services, which may have violated U.K. sanctions. We voluntarily disclosed the receipt of these payments to the U.K. Office of Financial Sanctions Implementation (OFSI), and have fully cooperated with all requests from OFSI following the disclosure. In January 2026, OFSI provided us with a notice of its intention to impose a monetary penalty in relation to this matter. We accrued the amount of this proposed penalty in our financial results for the quarter ended December 31, 2025; this accrual did not have a material adverse impact on our financial condition or results of operation.</w:t>
      </w:r>
    </w:p>
    <w:p>
      <w:pPr>
        <w:spacing w:after="0" w:line="6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6"/>
          <w:szCs w:val="16"/>
          <w:color w:val="auto"/>
        </w:rPr>
        <w:t>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7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7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loss of key personnel or employee attrition,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example, during the third quarter of 2025, we sold our Hospitality Solutions business. See “Recent Developments Affecting our Results of Operations—Sale of Hospitality Solutions Business.” We may not be able to achieve the full strategic, financial, operational, and other benefits that are expected to result from the sale of the Hospitality Solutions business, including any expected optimization of our core business, long-term growth, improvements in our capital structure, future debt refinancings, and other business opportunities that may be facilitated by the sale of the Hospitality Solutions business. In addition, these benefits may be delayed or less significant than anticipated. We cannot predict with certainty when the benefits expected from the sale of the Hospitality Solutions business will occur or the extent to which they will be achieved, or when they will be achieved, if at all. A failure to realize these and other anticipated benefits of the sale of the Hospitality Solutions business or effectively utilize the proceeds from the sale could have an adverse impact our business, financial condition and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connection with the sale of the Hospitality Solutions business, we and an affiliate of TPG (the “Buyer") have entered into certain agreements, including a transition services agreement, providing for the performance of certain services by us for the benefit of the Buyer for a period of time after the sale. If we do not satisfactorily perform our obligations under these agreements, we may be held liable for certain losses incurred by the Buyer. In addition, during the transition services period, our management and employees may be required to divert their attention away from our business to provide services to the Buyer, which could adversely impact our business. Further, as a result of these transition services, our counterparty will have managed access to certain of our information technology systems during the transition services period, as well as shared information technology infrastructure. Any disruption, degradation, destruction or manipulation of our information technology systems as a result of this access following the sale, whether accidental or intentional, may cause cybersecurity, data protection, or privacy incidents or failures, which could in turn interrupt or adversely impact our operations. See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ind w:firstLine="486"/>
        <w:spacing w:after="0" w:line="296"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network, cloud, mainframe and SaaS providers.</w:t>
      </w:r>
    </w:p>
    <w:p>
      <w:pPr>
        <w:spacing w:after="0" w:line="4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businesses are dependent on IT infrastructure and applications operated for us by network, cloud, mainframe and SaaS providers. The commercial services we offer to our customers generally run on infrastructure provided by third parties and cloud providers.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We could face significant additional cost or business disruption if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business, lasted several hours and caused significant problems for our customers. Any such future outages could cause damage to our reputation, customer loss and require us to pay compensation to affected customers for which we may not be indemnified or compensated. Further, we could face significant additional costs or a business disruption if our arrangements with such providers are terminated or impaired and we cannot find alternative sources of technology or systems support on commercially reasonable terms or on a timely basis.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and have in the past and could in the future lead to higher costs. We occasionally experience system interruptions that make certain of our systems unavailable including, but not limited to, our GDS and the services that our business provides. In addition, we have experienced in the past and may in the future occasionally experience system interruptions as we execute changes for the purpose of enhancing our products or achieving other technological objectives. System interruptions prevent us from efficiently providing services to customers or other third parties, and have in the past and could in the future cause damage to our reputation and result in the loss of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7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our systems become more complex and the tools and techniques involved become more sophisticated.</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ind w:firstLine="486"/>
        <w:spacing w:after="0" w:line="255"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AI solutions from third-party providers as part of some of our software products. There are additional risks associated with the use of emerging technologies such as generative AI, including risks related to testing and validating the security and privacy mechanisms of the third-party providers, as well as risks related to implementing technical security controls to govern and manage this technology in a secure manner. If we were to 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For example,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and the operational effectiveness of our AI-enabled systems.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 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process, store, and transmit large amounts of data, such as PII of our customers and employees and PCI of our customers, and it is critical to our business strategy that our facilities and infrastructure, including those provided by cloud and mainframe providers or other vendors, remain secure and are perceived by the marketplace to be secure. Our infrastructure may be vulnerable to physical or electronic break-ins, computer viruses, ransomware attacks, or similar disruptive problems.</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w:t>
      </w:r>
    </w:p>
    <w:p>
      <w:pPr>
        <w:spacing w:after="0" w:line="7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an example,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and related fees, costs and expenses, or regulatory inquiries in the future that could result in a material adverse effect. For example, we were subject to a lawsuit seeking class certification filed against us in the United States District Court for the Northern District of Texas. The complaint generally asserted negligence and other claims based on this cybersecurity incident, and, in addition to monetary damages, the plaintiffs were also seeking declaratory and injunctive relief. In November 2025, the court granted our motion to dismiss this case without prejudice. See “—We are involved in various legal proceedings which may cause us to incur significant fees, costs and expenses and may result in unfavorable outcomes.”</w:t>
      </w:r>
    </w:p>
    <w:p>
      <w:pPr>
        <w:spacing w:after="0" w:line="8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more costly or take longer than we anticipate, or could otherwise adversely affect our business operations, which could negatively impact our financial position, results of operations or cash flows.</w:t>
      </w:r>
    </w:p>
    <w:p>
      <w:pPr>
        <w:spacing w:after="0" w:line="6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have been subject to such assertions, including patent and trademark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6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firstLine="486"/>
        <w:spacing w:after="0" w:line="258"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3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spacing w:after="0" w:line="7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increased tariffs,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 The changes arising from the current presidential administration in the United States as well as volatile political conditions in other countries in which we do business could also create additional uncertainty for the travel industry and our business, including in ways that we cannot foresee.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as well as conflicts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ind w:firstLine="486"/>
        <w:spacing w:after="0" w:line="255"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ongoing instability in the Middle East; (2) adverse laws and regulatory requirements, including more comprehensive regulation in the E.U. and legislation and related regulations in Russia (see “—Any failure to comply with regulations or any changes in such regulations governing our businesses could adversely affect us.”); (3) changes in foreign 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tariffs, consumer, labor and trade protection measures, instability in multilateral relationships,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a significant amount of indebtedness. As of December 31, 2025, we had $4.3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the need to divert a significant portion of our cash flow from operations to payments on our indebtedness and interest,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 Failure to make any required payments or comply with other covenants under the agreements governing our indebtedness could result in an event of default and acceleration of amounts due. Subject to market conditions, we have previously, and may in the future, opportunistically refinance portions of our debt in the near term which, at current interest rates and market conditions, may negatively impact our interest expense or result in higher stock dilution.</w:t>
      </w:r>
    </w:p>
    <w:p>
      <w:pPr>
        <w:spacing w:after="0" w:line="8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the agreements governing our indebtedness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ind w:firstLine="486"/>
        <w:spacing w:after="0" w:line="296"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7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w:t>
      </w:r>
    </w:p>
    <w:p>
      <w:pPr>
        <w:spacing w:after="0" w:line="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market price of our common stock may be volatile and could decline regardless of our operating performance.</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 actual or anticipated fluctuations in our financial conditions and results of operations; the financial projections we may provide to the public, any changes in these projections or our failure to meet these projections; failure of securities analysts to initiate or maintain coverage of our company, changes in financial estimates or ratings by any securities analysts who follow our company or our failure to meet these estimates or the expectations of investors; announcements by us or our competitors of significant technical innovations, acquisitions, strategic partnerships, joint ventures, results of operations or capital commitments; anticipated or actual changes in laws, regulations or government policies applicable to our business; general economic conditions in the United States; other events or factors, including those resulting from war, pandemics (such as COVID-19), incidents of terrorism or responses to these events; and the other factors described in this Part I, Item 1A.</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Further, 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16"/>
          <w:szCs w:val="16"/>
          <w:b w:val="1"/>
          <w:bCs w:val="1"/>
          <w:color w:val="auto"/>
        </w:rPr>
        <w:t>An active market for our common stock may not be maintained.</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Our stock began trading on the Nasdaq stock market in 2014 and we can provide no assurance that we will be able to continue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Delisting from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spacing w:after="0" w:line="7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sheets as of December 31, 2025 contained goodwill and intangible assets, net totaling $2.7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74"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directors’ and officers’ liability insurance, our ability to recruit and retain qualified officers and directors, especially those directors who may be deemed independent for purposes of the NASDAQ rules, will be significantly curtailed.</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December 31, 2025, and, accordingly, have not provided deferred taxes on any outside basis differences for most subsidiaries.</w:t>
      </w:r>
    </w:p>
    <w:p>
      <w:pPr>
        <w:spacing w:after="0" w:line="28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New tax laws, such as the One Big Beautiful Bill Act (see “Management’s Discussion and Analysis of Financial Condition and Results of Operations— Capital Resources"),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The Organization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were effective in the year 2025 with more expected in the year 2026. We are closely monitoring developments and evaluating the impact these new rules will have on our tax rate. Additionally, several countries, primarily Canada and in Europe, have adopted digital services taxes ("DST") on revenue earned by multinational companies from the provision of certain digital services, such as the use of an online marketplace, regardless of physical presence. While Canada has halted the requirement to file returns and remit payments for DST, as of December 31, 2025, the law has not been rescinded by the Parliament of Canada. Other countries continue to introduce DST proposals, which we monitor closely. We continue to evaluate the potential effects that the DST may have on our operations, cash flows and results of operations. See “</w:t>
      </w:r>
      <w:r>
        <w:rPr>
          <w:rFonts w:ascii="Arial" w:cs="Arial" w:eastAsia="Arial" w:hAnsi="Arial"/>
          <w:sz w:val="16"/>
          <w:szCs w:val="16"/>
          <w:u w:val="single" w:color="auto"/>
          <w:color w:val="0000FF"/>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Results of Operations—Liquidity Outlook.</w:t>
      </w:r>
      <w:r>
        <w:rPr>
          <w:rFonts w:ascii="Arial" w:cs="Arial" w:eastAsia="Arial" w:hAnsi="Arial"/>
          <w:sz w:val="16"/>
          <w:szCs w:val="16"/>
          <w:color w:val="000000"/>
        </w:rPr>
        <w:t>” The future total impact of DST, including on our global operations, is uncertain, as additional countries enact a</w:t>
      </w:r>
      <w:r>
        <w:rPr>
          <w:rFonts w:ascii="Arial" w:cs="Arial" w:eastAsia="Arial" w:hAnsi="Arial"/>
          <w:sz w:val="16"/>
          <w:szCs w:val="16"/>
          <w:color w:val="0000FF"/>
        </w:rPr>
        <w:t xml:space="preserve"> </w:t>
      </w:r>
      <w:r>
        <w:rPr>
          <w:rFonts w:ascii="Arial" w:cs="Arial" w:eastAsia="Arial" w:hAnsi="Arial"/>
          <w:sz w:val="16"/>
          <w:szCs w:val="16"/>
          <w:color w:val="000000"/>
        </w:rPr>
        <w:t>DST, and our business and financial condition could be adversely affected.</w:t>
      </w:r>
    </w:p>
    <w:p>
      <w:pPr>
        <w:spacing w:after="0" w:line="92"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pension plans in the aggregate are estimated to be unfunded by $38 million as of December 31, 2025. With approximately 3,400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 additional pension contributions above what is currently estimated or provide security to the plan, which could reduce the cash available for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jc w:val="both"/>
        <w:ind w:firstLine="486"/>
        <w:spacing w:after="0" w:line="296"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3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9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1C.</w:t>
        <w:tab/>
        <w:t>CYBERSECURITY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 and Strategy</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recognize the importance of identifying, assessing, and managing material risks associated with cybersecurity threats. We maintain a dedicated cybersecurity risk management function, which is integrated as part of our overall enterprise risk management program. Our key cybersecurity risks include, among others, operational risks; intellectual property theft; fraud; extortion; harm to employees or customers; violation of privacy or security laws and other litigation and legal risk; remote working environments; third-party risks; technology risks and reputational risks. We have implemented several cybersecurity processes, technologies, and controls to aid in our efforts to assess, identify, and manage these risks.</w:t>
      </w:r>
    </w:p>
    <w:p>
      <w:pPr>
        <w:spacing w:after="0" w:line="6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To identify and assess material risks from cybersecurity threats, members of our cybersecurity risk management function, which is led by our Chief Information Security Officer ("CISO"), consider cybersecurity threats within the context of our business environment. Cybersecurity risks are managed through technological, process, and administrative controls that are designed to target the mitigation of risk to levels acceptable to the business. Risk assessment and management include processes for managing third-party cybersecurity risk. These processes provide that third-party cybersecurity risk assessments are to be performed prior to a vendor’s engagement, upon contract renewal, and as we may otherwise require. Our formal cybersecurity policy program, which includes a collection of security policies and procedures, is in place to establish requirements, standards, and security controls designed to protect Sabre's technology environment.</w:t>
      </w:r>
    </w:p>
    <w:p>
      <w:pPr>
        <w:spacing w:after="0" w:line="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employ information technology and cybersecurity solutions that are designed to safeguard Sabre's technology environment, detect and respond to threats and help support operational resilience of our technology products. These technologies facilitate the identification of threats and vulnerabilities that may exist in the Sabre technology environment. Protective measures are employed to counter threats and mitigate risk, supporting operational resilience of our technology products. Cybersecurity solutions include cloud security posture management, workload protection, endpoint detection and response, network firewalls and intrusion detection systems, identity and access management tools, data protection technologies and logging, monitoring, and alerting tools. Accompanying these tools are various processes such as annual security education and monthly awareness training, security maturity assessments, vulnerability assessments, threat intelligence and hunting, penetration testing, and tabletop exercises to inform our professionals’ risk identification and assessment. We practice data protection techniques and processes that are designed to treat our customer data with care. We also utilize independent third-parties, consultants, and auditors to regularly assess our security program. These assessments include security maturity assessments in which third-parties assess our security program maturity against established standards and industry benchmarks, including NIST Cybersecurity Framework 2.0. We also annually engage a Qualified Security Assessor to conduct payment card industry certification on all applicable products and solutions.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ind w:firstLine="486"/>
        <w:spacing w:after="0" w:line="275" w:lineRule="auto"/>
        <w:rPr>
          <w:sz w:val="20"/>
          <w:szCs w:val="20"/>
          <w:color w:val="auto"/>
        </w:rPr>
      </w:pPr>
      <w:r>
        <w:rPr>
          <w:rFonts w:ascii="Arial" w:cs="Arial" w:eastAsia="Arial" w:hAnsi="Arial"/>
          <w:sz w:val="16"/>
          <w:szCs w:val="16"/>
          <w:color w:val="auto"/>
        </w:rPr>
        <w:t>Our cybersecurity incident response plan describes the activities we take to identify, detect, respond to and recover from cybersecurity incidents. This plan includes processes to triage, assess severity for, contain, investigate, and remediate the incident, as well as to provide appropriate reporting and escalation. The plan also includes appropriate procedures for escalating potentially material security incidents to our disclosure committee for review.</w:t>
      </w:r>
    </w:p>
    <w:p>
      <w:pPr>
        <w:spacing w:after="0" w:line="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Based on the information we have as of the date of this Annual Report on Form 10-K with respect to the periods beginning with those covered by this Annual Report on Form 10-K, we do not believe any risks from cybersecurity threats, including as a result of any previous cybersecurity incidents, have materially affected or are reasonably likely to materially affect us, including our business strategy, results of operations, or financial condition. We, like most technology companies, are the target of cybercriminals who attempt to compromise our systems. We describe risks relating to cybersecurity threats, including as a result of previous cybersecurity incidents in “Item 1A. Risk Factors” in this Annual Report on Form 10-K, under the headings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Audit Committee of our Board of Directors has oversight authority to review our program and plans for mitigating cybersecurity risk. At least quarterly, the Audit Committee receives an overview from management of our cybersecurity threat risk management and strategy processes covering topics such as data security posture, results from third-party assessments, progress towards risk-management-related goals, our incident response plan, and potentially material cybersecurity threat risks or incidents and developments, as well as the steps management has taken to respond to these risks. In such sessions, the Audit Committee generally receives materials including a cybersecurity risk profile scorecard and other materials indicating current and emerging cybersecurity threat risks, and describing the company’s ability to mitigate those risks, and discusses such matters with our Chief Information Officer, our CISO, and our Data Privacy Officer. Members of the Audit Committee are also encouraged to regularly engage in ad hoc conversations with management on cybersecurity-related news events and discuss any updates to our cybersecurity risk management and strategy programs. Cybersecurity risks are also considered during separate Audit Committee, Technology Committee and Board of Directors meeting discussions of matters such as enterprise risk management, the annual planning process, our technology transformation, corporate development activity, and other relevant matters.</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also maintain a Cybersecurity Governance Committee, led by our CISO and comprised of senior cross-functional leaders including product, development, operational, and corporate business leaders. The committee oversees our cybersecurity risk management and strategy processes, which are discussed above. Our CISO has over 25 years of prior work experience in various roles involving managing cybersecurity risk, developing cybersecurity strategy, implementing effective information and cybersecurity programs and leading information technology and cybersecurity teams. He graduated with a Bachelor of Science and Master of Science Degree in Electrical Engineering as well as three additional master’s degrees, including a Master of Business Administration, and he is a Certified Information Systems Security Professional (ISC2) as well as a Certified Chief Information Security Officer (EC Council).</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 Audit Committee has oversight authority and receives reports regarding cybersecurity threat risks, as well as other cybersecurity related matters, on at least a quarterly basis.</w:t>
      </w:r>
    </w:p>
    <w:p>
      <w:pPr>
        <w:spacing w:after="0" w:line="65"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a company with global operations, we operate in many countries with a variety of sales, administrative, product development and customer service roles provided in these offices.</w:t>
      </w:r>
    </w:p>
    <w:p>
      <w:pPr>
        <w:spacing w:after="0" w:line="4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As of December 31, 2025, our corporate headquarters and domestic operations are located in Southlake, Texas. There are two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in North America and four offices across Latin America that serve in various sales, administration, software development and customer service capacities. All of these offices are leased.</w:t>
      </w:r>
    </w:p>
    <w:p>
      <w:pPr>
        <w:spacing w:after="0" w:line="56" w:lineRule="exact"/>
        <w:rPr>
          <w:sz w:val="20"/>
          <w:szCs w:val="20"/>
          <w:color w:val="auto"/>
        </w:rPr>
      </w:pPr>
    </w:p>
    <w:p>
      <w:pPr>
        <w:ind w:right="280" w:firstLine="486"/>
        <w:spacing w:after="0" w:line="275"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We maintain our regional headquarters for Europe, the Middle East, and Africa ("EMEA") in Richmond, United Kingdom. There are 24</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offices across EMEA that serve in various sales, administration, software development and customer service capacities. All of these offices are leased.</w:t>
      </w:r>
    </w:p>
    <w:p>
      <w:pPr>
        <w:spacing w:after="0" w:line="70" w:lineRule="exact"/>
        <w:rPr>
          <w:sz w:val="20"/>
          <w:szCs w:val="20"/>
          <w:color w:val="auto"/>
        </w:rPr>
      </w:pPr>
    </w:p>
    <w:p>
      <w:pPr>
        <w:ind w:right="440" w:firstLine="486"/>
        <w:spacing w:after="0" w:line="286"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We maintain our APAC regional operations headquarters in Singapore. There are 16 additional offices across APAC that serve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administration, software development and customer service capacities. All of these offices are leased.</w:t>
      </w: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27"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18. Commitments and Contingencies, to our consolidated financial statements included in Item 8 of this Annual Report on Form 10-K, which is incorporated herein by reference. While certain legal proceedings and related indemnification obligations to which we are a party specify the amounts claimed, these claims may not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6"/>
          <w:szCs w:val="16"/>
          <w:color w:val="auto"/>
        </w:rPr>
        <w:t>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 —"We are involved in various legal proceedings which may cause us to incur significant fees, costs and expenses and may result in unfavorable outcomes.”</w:t>
      </w: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names and ages of our executive officers as of February 18, 2026, together with certain biographical information, are as follows: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Age</w:t>
            </w:r>
          </w:p>
        </w:tc>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8"/>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Kurt Ekert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7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Chief Executive Officer and President</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Rochelle Boas</w:t>
            </w:r>
          </w:p>
        </w:tc>
        <w:tc>
          <w:tcPr>
            <w:tcW w:w="66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Legal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Jennifer Catto</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Marketing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Joe DiFonzo</w:t>
            </w:r>
          </w:p>
        </w:tc>
        <w:tc>
          <w:tcPr>
            <w:tcW w:w="660" w:type="dxa"/>
            <w:vAlign w:val="bottom"/>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Information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Roshan Mendis</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Commercial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Michael Randolfi</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Shawn Williams</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Administrative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Garry Wiseman</w:t>
            </w:r>
          </w:p>
        </w:tc>
        <w:tc>
          <w:tcPr>
            <w:tcW w:w="66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Product and Technology Officer</w:t>
            </w:r>
          </w:p>
        </w:tc>
      </w:tr>
    </w:tbl>
    <w:p>
      <w:pPr>
        <w:spacing w:after="0" w:line="200" w:lineRule="exact"/>
        <w:rPr>
          <w:sz w:val="20"/>
          <w:szCs w:val="20"/>
          <w:color w:val="auto"/>
        </w:rPr>
      </w:pP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b w:val="1"/>
          <w:bCs w:val="1"/>
          <w:color w:val="auto"/>
        </w:rPr>
        <w:t xml:space="preserve">Kurt Ekert </w:t>
      </w:r>
      <w:r>
        <w:rPr>
          <w:rFonts w:ascii="Arial" w:cs="Arial" w:eastAsia="Arial" w:hAnsi="Arial"/>
          <w:sz w:val="16"/>
          <w:szCs w:val="16"/>
          <w:color w:val="auto"/>
        </w:rPr>
        <w:t>has served as Chief Executive Officer and President of Sabre since April 2023. Prior to his election as Chief Executive Officer, Mr. Ekert</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Sabre since January 2022. Prior to joining Sabre, Mr. Ekert served as President and Chief Executive Officer of Carlson Worldwide Travel (CWT) from 2016 to 2021. Sabre has an agreement with CWT pursuant to which Sabre provides CWT with access to its GDS and pays incentive fees to CWT, and CWT purchases certain products from Sabre. From 2010 to 2015, he served as Executive Vice President and Chief Commercial Officer of Travelport Worldwide Ltd., a distribution services provider for the global travel industry, and from 2006 to 2010, he served as Chief Operating Officer of Gulliver’s Travel Associates (GTA), a division of Travelport. From 2002 to 2006, he served in executive roles of increasing responsibility at Cendant (at then Cendant subsidiaries Travelport and Orbitz Worldwide). Prior to joining Cendant, Mr. Ekert’s experience in the travel industry included a number of senior finance roles at Continental Airlines. He also served four years as an active duty officer in the US Army. Mr. Ekert serves as a director of Passur Aerospace, Inc., a business intelligence company, and a director of ZYTLYN. He previously was Chairman of the US Department of Commerce Travel &amp; Tourism Advisory Board, as well as a director for each of eNett, Carlson Travel Inc., the World Travel &amp; Tourism Council, and the UNGA Global Partnership to End Violence Against Children.</w:t>
      </w:r>
    </w:p>
    <w:p>
      <w:pPr>
        <w:spacing w:after="0" w:line="8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b w:val="1"/>
          <w:bCs w:val="1"/>
          <w:color w:val="auto"/>
        </w:rPr>
        <w:t xml:space="preserve">Rochelle Boas </w:t>
      </w:r>
      <w:r>
        <w:rPr>
          <w:rFonts w:ascii="Arial" w:cs="Arial" w:eastAsia="Arial" w:hAnsi="Arial"/>
          <w:sz w:val="16"/>
          <w:szCs w:val="16"/>
          <w:color w:val="auto"/>
        </w:rPr>
        <w:t>is Executive Vice President and Chief Legal Officer. Prior to joining Sabre in 2024, Ms. Boas served from 2023 to 2024 as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and Corporate Secretary of Octus (formerly, Reorg Research, Inc.), a leading provider of intelligence, data and workflow for the global credit markets. From 2021 to 2023, she served as General Counsel and Corporate Secretary of LeafLink, Inc., a leading unified wholesale platform designed specifically for the licensed cannabis industry. From 2006 to 2020, she served in various roles, including Senior Vice President, Deputy General Counsel and Corporate Secretary, in the Legal Department of Travelport Worldwide Limited, a travel technology company.</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auto"/>
        </w:rPr>
        <w:t xml:space="preserve">Jennifer Catto </w:t>
      </w:r>
      <w:r>
        <w:rPr>
          <w:rFonts w:ascii="Arial" w:cs="Arial" w:eastAsia="Arial" w:hAnsi="Arial"/>
          <w:sz w:val="16"/>
          <w:szCs w:val="16"/>
          <w:color w:val="auto"/>
        </w:rPr>
        <w:t>is Executive Vice President and Chief Marketing Officer. Prior to joining Sabre in 2025, Ms. Catto served as Chief Marketing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Interim Product Officer at Travelport Worldwide Limited, a travel technology company, since 2024. From 2016 to 2020, she served as Chief Marketing Officer at Telaria, a computer software platform company. From 2015 to 2016, Ms. Catto was SVP, Integrated Marketing, of Evolve Media, LLC, a digital media company. Prior to that, she served in various roles at Travelocity, Conde Nast, and SAY.</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auto"/>
        </w:rPr>
        <w:t xml:space="preserve">Joe DiFonzo </w:t>
      </w:r>
      <w:r>
        <w:rPr>
          <w:rFonts w:ascii="Arial" w:cs="Arial" w:eastAsia="Arial" w:hAnsi="Arial"/>
          <w:sz w:val="16"/>
          <w:szCs w:val="16"/>
          <w:color w:val="auto"/>
        </w:rPr>
        <w:t>is Executive Vice President and Chief lnformation Officer. Prior to becoming Executive Vice President,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Information Officer from July 2017 to 2023. Prior to joining Sabre, he served as both Chief Technology Officer and CIO at Syniverse, a global provider of communication and information services for mobile network operators. He previously spent 20 years at Convergys/Cincinnati Bell Information Systems, as corporate product line architect and leading multiple product development teams for the telecom industry. Mr. DiFonzo holds a bachelor's degree in computer science from the University of Central Florida.</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auto"/>
        </w:rPr>
        <w:t xml:space="preserve">Roshan Mendis </w:t>
      </w:r>
      <w:r>
        <w:rPr>
          <w:rFonts w:ascii="Arial" w:cs="Arial" w:eastAsia="Arial" w:hAnsi="Arial"/>
          <w:sz w:val="16"/>
          <w:szCs w:val="16"/>
          <w:color w:val="auto"/>
        </w:rPr>
        <w:t>has served as Executive Vice President and Chief Commercial Officer since 2020. Mr. Mendis previously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Officer for the Travel Network business from 2018 to 2020, and prior to that served as Senior Vice President of International Markets for Sabre from 2017 to 2018. From 2015 to 2017, Mr. Mendis served as Senior Vice President of Asia Pacific for Sabre. Mr. Mendis has also served as President of Travelocity and Zuji, consumer-facing brands that were part of the Sabre portfolio. He completed his undergraduate studies at Chaminade University of Honolulu and University of Cambridge (UK) and later earned his MBA at the Rice University.</w:t>
      </w:r>
    </w:p>
    <w:p>
      <w:pPr>
        <w:spacing w:after="0" w:line="6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color w:val="auto"/>
        </w:rPr>
        <w:t xml:space="preserve">Michael Randolfi </w:t>
      </w:r>
      <w:r>
        <w:rPr>
          <w:rFonts w:ascii="Arial" w:cs="Arial" w:eastAsia="Arial" w:hAnsi="Arial"/>
          <w:sz w:val="16"/>
          <w:szCs w:val="16"/>
          <w:color w:val="auto"/>
        </w:rPr>
        <w:t>is Executive Vice President and Chief Financial Officer. Prior to joining Sabre in 2022, Mr. Randolfi served as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BFA Industries, a beauty subscription business, from April 2021 until August 2022. From August 2019 through April 2021, he served as Senior Vice President and Chief Financial Officer of Adtalem Global Education Inc., a workforce solutions provider. Prior to joining Adtalem, Mr. Randolfi served as the Chief Financial Officer of Groupon, Inc. from April 2016 to August 2019. Prior to Groupon, Mr. Randolfi served as Chief Financial Officer of Orbitz Worldwide, Inc. from March 2013 until November 2015 (when he departed following its acquisition by Expedia, Inc.). Prior to Orbitz, Mr. Randolfi spent fourteen years with Delta Airlines in a variety of executive financial roles culminating in Senior Vice President and Controller. Mr. Randolfi received a Master of Business Administration from Emory University and his Bachelor of Arts degree from the University of South Florida.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4" w:name="page25"/>
    <w:bookmarkEnd w:id="24"/>
    <w:p>
      <w:pPr>
        <w:jc w:val="both"/>
        <w:ind w:firstLine="486"/>
        <w:spacing w:after="0" w:line="261" w:lineRule="auto"/>
        <w:rPr>
          <w:sz w:val="20"/>
          <w:szCs w:val="20"/>
          <w:color w:val="auto"/>
        </w:rPr>
      </w:pPr>
      <w:r>
        <w:rPr>
          <w:rFonts w:ascii="Arial" w:cs="Arial" w:eastAsia="Arial" w:hAnsi="Arial"/>
          <w:sz w:val="16"/>
          <w:szCs w:val="16"/>
          <w:b w:val="1"/>
          <w:bCs w:val="1"/>
          <w:color w:val="auto"/>
        </w:rPr>
        <w:t xml:space="preserve">Shawn Williams </w:t>
      </w:r>
      <w:r>
        <w:rPr>
          <w:rFonts w:ascii="Arial" w:cs="Arial" w:eastAsia="Arial" w:hAnsi="Arial"/>
          <w:sz w:val="16"/>
          <w:szCs w:val="16"/>
          <w:color w:val="auto"/>
        </w:rPr>
        <w:t>has served as Executive Vice President and Chief Administrative Officer since 2024. Mr. Williams previously served as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People Officer from 2020 to 2024. Prior to joining Sabre in 2020, Mr. Williams served as Chief Human Resources Officer of Scientific Games, a global technology gaming company, from 2017 to 2020. From 2016 to 2017, he served as Senior Vice President and Chief Administrative Officer of LeEco Holdings North America, a consumer electronics business. Mr. Williams served as Senior Vice President and Chief Administrative Officer of Samsung Electronics America, an electronics and telecommunications company. He holds a bachelor’s degree in business administration from the University of Houston.</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b w:val="1"/>
          <w:bCs w:val="1"/>
          <w:color w:val="131313"/>
        </w:rPr>
        <w:t xml:space="preserve">Garry </w:t>
      </w:r>
      <w:r>
        <w:rPr>
          <w:rFonts w:ascii="Arial" w:cs="Arial" w:eastAsia="Arial" w:hAnsi="Arial"/>
          <w:sz w:val="16"/>
          <w:szCs w:val="16"/>
          <w:b w:val="1"/>
          <w:bCs w:val="1"/>
          <w:color w:val="232323"/>
        </w:rPr>
        <w:t>Wiseman</w:t>
      </w:r>
      <w:r>
        <w:rPr>
          <w:rFonts w:ascii="Arial" w:cs="Arial" w:eastAsia="Arial" w:hAnsi="Arial"/>
          <w:sz w:val="16"/>
          <w:szCs w:val="16"/>
          <w:b w:val="1"/>
          <w:bCs w:val="1"/>
          <w:color w:val="131313"/>
        </w:rPr>
        <w:t xml:space="preserve"> </w:t>
      </w:r>
      <w:r>
        <w:rPr>
          <w:rFonts w:ascii="Arial" w:cs="Arial" w:eastAsia="Arial" w:hAnsi="Arial"/>
          <w:sz w:val="16"/>
          <w:szCs w:val="16"/>
          <w:color w:val="131313"/>
        </w:rPr>
        <w:t>has served as E</w:t>
      </w:r>
      <w:r>
        <w:rPr>
          <w:rFonts w:ascii="Arial" w:cs="Arial" w:eastAsia="Arial" w:hAnsi="Arial"/>
          <w:sz w:val="16"/>
          <w:szCs w:val="16"/>
          <w:color w:val="3D3D3D"/>
        </w:rPr>
        <w:t>xecutive</w:t>
      </w:r>
      <w:r>
        <w:rPr>
          <w:rFonts w:ascii="Arial" w:cs="Arial" w:eastAsia="Arial" w:hAnsi="Arial"/>
          <w:sz w:val="16"/>
          <w:szCs w:val="16"/>
          <w:b w:val="1"/>
          <w:bCs w:val="1"/>
          <w:color w:val="131313"/>
        </w:rPr>
        <w:t xml:space="preserve"> </w:t>
      </w:r>
      <w:r>
        <w:rPr>
          <w:rFonts w:ascii="Arial" w:cs="Arial" w:eastAsia="Arial" w:hAnsi="Arial"/>
          <w:sz w:val="16"/>
          <w:szCs w:val="16"/>
          <w:color w:val="131313"/>
        </w:rPr>
        <w:t>Vice President</w:t>
      </w:r>
      <w:r>
        <w:rPr>
          <w:rFonts w:ascii="Arial" w:cs="Arial" w:eastAsia="Arial" w:hAnsi="Arial"/>
          <w:sz w:val="16"/>
          <w:szCs w:val="16"/>
          <w:b w:val="1"/>
          <w:bCs w:val="1"/>
          <w:color w:val="131313"/>
        </w:rPr>
        <w:t xml:space="preserve"> </w:t>
      </w:r>
      <w:r>
        <w:rPr>
          <w:rFonts w:ascii="Arial" w:cs="Arial" w:eastAsia="Arial" w:hAnsi="Arial"/>
          <w:sz w:val="16"/>
          <w:szCs w:val="16"/>
          <w:color w:val="232323"/>
        </w:rPr>
        <w:t>and Chief P</w:t>
      </w:r>
      <w:r>
        <w:rPr>
          <w:rFonts w:ascii="Arial" w:cs="Arial" w:eastAsia="Arial" w:hAnsi="Arial"/>
          <w:sz w:val="16"/>
          <w:szCs w:val="16"/>
          <w:color w:val="131313"/>
        </w:rPr>
        <w:t>roduct and Technology Officer since 2023</w:t>
      </w:r>
      <w:r>
        <w:rPr>
          <w:rFonts w:ascii="Arial" w:cs="Arial" w:eastAsia="Arial" w:hAnsi="Arial"/>
          <w:sz w:val="16"/>
          <w:szCs w:val="16"/>
          <w:color w:val="3D3D3D"/>
        </w:rPr>
        <w:t>.</w:t>
      </w:r>
      <w:r>
        <w:rPr>
          <w:rFonts w:ascii="Arial" w:cs="Arial" w:eastAsia="Arial" w:hAnsi="Arial"/>
          <w:sz w:val="16"/>
          <w:szCs w:val="16"/>
          <w:b w:val="1"/>
          <w:bCs w:val="1"/>
          <w:color w:val="131313"/>
        </w:rPr>
        <w:t xml:space="preserve"> </w:t>
      </w:r>
      <w:r>
        <w:rPr>
          <w:rFonts w:ascii="Arial" w:cs="Arial" w:eastAsia="Arial" w:hAnsi="Arial"/>
          <w:sz w:val="16"/>
          <w:szCs w:val="16"/>
          <w:color w:val="131313"/>
        </w:rPr>
        <w:t>Mr. Wiseman previously served as</w:t>
      </w:r>
      <w:r>
        <w:rPr>
          <w:rFonts w:ascii="Arial" w:cs="Arial" w:eastAsia="Arial" w:hAnsi="Arial"/>
          <w:sz w:val="16"/>
          <w:szCs w:val="16"/>
          <w:b w:val="1"/>
          <w:bCs w:val="1"/>
          <w:color w:val="131313"/>
        </w:rPr>
        <w:t xml:space="preserve"> </w:t>
      </w:r>
      <w:r>
        <w:rPr>
          <w:rFonts w:ascii="Arial" w:cs="Arial" w:eastAsia="Arial" w:hAnsi="Arial"/>
          <w:sz w:val="16"/>
          <w:szCs w:val="16"/>
          <w:color w:val="131313"/>
        </w:rPr>
        <w:t xml:space="preserve">Executive Vice President and Chief Product Officer from 2022 to 2023. </w:t>
      </w:r>
      <w:r>
        <w:rPr>
          <w:rFonts w:ascii="Arial" w:cs="Arial" w:eastAsia="Arial" w:hAnsi="Arial"/>
          <w:sz w:val="16"/>
          <w:szCs w:val="16"/>
          <w:color w:val="000000"/>
        </w:rPr>
        <w:t>Prior to joining Sabre in 2022, Mr. Wiseman served as Senior Vice President and</w:t>
      </w:r>
      <w:r>
        <w:rPr>
          <w:rFonts w:ascii="Arial" w:cs="Arial" w:eastAsia="Arial" w:hAnsi="Arial"/>
          <w:sz w:val="16"/>
          <w:szCs w:val="16"/>
          <w:color w:val="131313"/>
        </w:rPr>
        <w:t xml:space="preserve"> </w:t>
      </w:r>
      <w:r>
        <w:rPr>
          <w:rFonts w:ascii="Arial" w:cs="Arial" w:eastAsia="Arial" w:hAnsi="Arial"/>
          <w:sz w:val="16"/>
          <w:szCs w:val="16"/>
          <w:color w:val="000000"/>
        </w:rPr>
        <w:t>Chief Digital Officer of Nautilus, Inc., a global leader in innovative home fitness solutions, from October 2020 to 2022. From 2017 to 2020, he served as Senior Vice President of Digital Customer Experience for Dell Technologies Inc., a technology company, and from 2014 to 2017, he served as Vice President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Product Management at salesforce.com, inc., a leader in customer management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ind w:left="1120" w:right="20" w:hanging="1295"/>
        <w:spacing w:after="0" w:line="314" w:lineRule="auto"/>
        <w:tabs>
          <w:tab w:leader="none" w:pos="11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Our common stock is listed on the NASDAQ Global Select Market under the symbol “SABR.” As of February 10, 2026, there were 97 stockholders of record of our common stock. There were no shares repurchased during the year ended December 31, 2025.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Analysis of Financial 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—Recent Events Impacting Our Liquidity and Capital Resources</w:t>
      </w:r>
      <w:r>
        <w:rPr>
          <w:rFonts w:ascii="Arial" w:cs="Arial" w:eastAsia="Arial" w:hAnsi="Arial"/>
          <w:sz w:val="16"/>
          <w:szCs w:val="16"/>
          <w:color w:val="0000FF"/>
        </w:rPr>
        <w:t xml:space="preserve"> </w:t>
      </w:r>
      <w:r>
        <w:rPr>
          <w:rFonts w:ascii="Arial" w:cs="Arial" w:eastAsia="Arial" w:hAnsi="Arial"/>
          <w:sz w:val="16"/>
          <w:szCs w:val="16"/>
          <w:color w:val="000000"/>
        </w:rPr>
        <w:t>—Share Repurchase Program."</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following graph shows a comparison from December 31, 2020 through December 31, 2025 of the cumulative total return for our common stock, the Nasdaq Composite Index ("NASDAQ Composite"), the Standard &amp; Poor's 500 Stock Index ("S&amp;P 500") and the Standard &amp; Poor's Software and Services Index ("S&amp;P 500/Software &amp; Services") (collectively, the "Indices"). The graph assumes that $100 was invested at the market close on December 31, 2020 in the common stock of Sabre Corporation and the Indices as well as reinvestments of dividends.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49530</wp:posOffset>
            </wp:positionV>
            <wp:extent cx="5443220"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32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27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spacing w:after="0"/>
        <w:tabs>
          <w:tab w:leader="none" w:pos="9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 xml:space="preserve">The following discussion and analysis should be read in conjunction with our consolidated financial statements and related notes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At Sabre, we make travel happen. We are a global technology company that provides a global business-to-business travel marketplace for travel suppliers and travel buyers, including a broad portfolio of software technology products and solutions for airlines. With the disposition of our Hospitality Solutions business during 2025, we manage and report our business in one reportable segment that constitutes our consolidated results.</w:t>
      </w:r>
    </w:p>
    <w:p>
      <w:pPr>
        <w:spacing w:after="0" w:line="7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We generate revenue from our distribution activities through transaction fees for bookings on our GDS, as well as product revenue from agency solutions offerings such as payments and media, and from our IT solutions through recurring usage-based fees for the use of our SaaS and hosted systems, as well as upfront fees and professional services fees.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Industry and Liquidity Outlook</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Recent industry air distribution volume growth has generally leveled off, which may continue into the future and could impact our rate of growth. Passengers boarded for IT solutions has been negatively impacted by de-migrations from carriers who de-migrated prior to 2024; however, beginning in the second half of 2025, following the anniversary of the impact of these de-migrations on our revenue, revenue for IT solutions has leveled-off relative to prior year amounts.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believe that we have resources to sufficiently fund our liquidity requirements over at least the next twelve months, including the aggregate payment of approximately $248 million of principal due or committed to be redeemed early under our current debt facilities; however, given the uncertain economic environment and the leveling off of industry air distribution volume growth, we will continue to monitor our liquidity levels and take additional steps should we determine they are necessary. See “—Recent Events Impacting Our Liquidity and Capital Resources” and “—Senior Secured Credit Facilities.”</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announced that we are implementing a program in 2026, designed to offset normal inflationary pressures over the next two to three years, with the goal of keeping technology costs and selling, general and administrative costs relatively flat when compared to 2025. In connection with these efforts, we accrued a restructuring charge of $51 million within our consolidated statement of operations during the year ended December 31, 2025, primarily associated with our workforce. We expect to record additional restructuring charges associated with these activities in 2026 and currently estimate the total costs to be approximately $65 million, primarily associated with our workforce.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Sale of Hospitality Solutions Business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April 27, 2025, we entered into a definitive agreement with an affiliate of TPG (the “Buyer") pursuant to which the Buyer agreed to purchase our Hospitality Solutions business, an extensive suite of leading software solutions for hoteliers. On July 3, 2025, we closed the transaction (the “Hospitality Solutions Sale”), resulting in cash proceeds of $965 million, net, which was used primarily to repay our outstanding indebtedness. See "Liquidity and Capital Resources—Capital Resources." Cash proceeds are net of estimated taxes and fees, cash acquired by the Buyer and customary closing adjustments. The assets and liabilities associated with the Hospitality Solutions business are presented as discontinued operations on our consolidated balance sheet as of December 31, 2024, and the operating results of our Hospitality Solutions business are presented as discontinued operations on our consolidated statements of operations for all periods presented. The presentation of discontinued operations excludes general corporate overhead and other costs that do not meet the requirements to be presented as discontinued operations. In addition to the sale agreement described above, we entered into transition services agreements with the Buyer, under which we are providing transition services to help provide for an orderly transition and facilitate the ongoing operations of the Hospitality Solutions business following the close in return for compensation from the Buyer with respect to costs incurred. Additionally, at the time of sale, Hospitality Solutions entered into certain long-term agreements with us to continue to utilize our GDS for bookings which generates revenue for us. See Note 3. Discontinued Operations and Dispositions to our consolidated financial statements for further details. All amounts reference results from continuing operations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addition to the "—Recent Developments Affecting our Results of Operations" above, the following is a discussion of other trends that we believe are additional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w:t>
      </w:r>
      <w:r>
        <w:rPr>
          <w:rFonts w:ascii="Arial" w:cs="Arial" w:eastAsia="Arial" w:hAnsi="Arial"/>
          <w:sz w:val="16"/>
          <w:szCs w:val="16"/>
          <w:u w:val="single" w:color="auto"/>
          <w:color w:val="0000FF"/>
        </w:rPr>
        <w:t>Forward-Looking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Statements</w:t>
      </w:r>
      <w:r>
        <w:rPr>
          <w:rFonts w:ascii="Arial" w:cs="Arial" w:eastAsia="Arial" w:hAnsi="Arial"/>
          <w:sz w:val="16"/>
          <w:szCs w:val="16"/>
          <w:color w:val="000000"/>
        </w:rPr>
        <w:t>,” and "—Recent Developments Affecting our Results of Operations" included elsewhere in this Annual Report on Form 10-K.</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Continued focus by travel suppliers on distribution methods and cost cutting</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Changes in how airlines choose to distribute their content and pricing pressure during contract renegotiations may continue to subject our business to challenges. Travel suppliers continue to look for ways to decrease their costs and to increase their control over distribution. For example, certain travel suppliers have exerted influence on travel agencies with surcharges on bookings that are made through indirect channels, such as our GDS and/or have withheld ancillary fees data from their content available in our GDS. Additionally, the pricing strategy in some global regions for NDC bookings differs from historical patterns, which may impact our revenue growth, as well as incentive consideration, as the number of relative NDC bookings increase over the next few years. These changes may adversely affect our contract renegotiations with suppliers that use alternative distribution channels. See "Risk Factors—Our business is exposed to pricing pressure from travel suppliers." and "—Our travel supplier customers may experience financial instability or consolidation, pursue cost reductions, change their distribution model or undergo other changes."</w:t>
      </w:r>
    </w:p>
    <w:p>
      <w:pPr>
        <w:spacing w:after="0" w:line="84"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6"/>
          <w:szCs w:val="16"/>
          <w:color w:val="auto"/>
        </w:rPr>
        <w:t>These items have impacted our revenue, as we recognize revenue for airline ticket sales based on transaction volumes. Simultaneously, this focus on cost cutting and alternative distribution has also presented opportunities. Many airlines have turned to outside providers for key systems, process and industry expertise and other products that assist in their cost cutting initiatives in order to focus on their primary revenue generating activities. In 2024, we launched SabreMosaic</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Airline Technology, a proprietary offer and order retailing platform for airlines that enables airlines to dynamically create, sell and deliver an array of personalized content to travelers. We are investing resources in developing this product; we believe that it is in the early stages in its growth cycle, and we expect that it will impact our revenue in future years.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travel agency incentive consideration</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agency incentive consideration is a large portion of our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2024 and 2025, consideration on a per booking basis increased as volumes reached and exceeded volume or percentage thresholds, which we expect to continue in 2026. In addition, increased consolidation among travel agencies and TMCs, which may ultimately reduce the pool of travel agencies that subscribe to GDSs, has and may in the future impact our future rate per booking. We compete with other GDSs and other competitors for their business by offering competitive upfront incentive consideration, which, due to the strong bargaining power of these large travel buyers, tend to increase in each round of contract renewals. See "Risk Factors—Our business depends on relationships with travel buyers." We remain focused on managing incentive consideration and expect growth in the near term. Although incentive rate increases may continue to impact margins, we expect these increases to be offset by growth in revenue. This expectation is based in part on anticipated increases in international travel, which would favorably impact our revenue rates, along with our continuing to offer value added services and content to travel buyers, such as the Sabre Red Workspace, a SaaS product that provides a simplified interface and enhanced travel agency workflow and productivity tools.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Geographic mix of travel bookings and recent events impacting revenue</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revenue recognized by our business is affected by the mix between domestic and international travel reservation bookings and the related varying rates paid by airline suppliers. Due to our geographic concentration, our results of operations are particularly sensitive to factors affecting North America. For example, booking fees per transaction in North America have historically been lower than those in Europe. As we continue to invest in our technology and expand our content and product functionality, we anticipate that we will continue to grow global share.</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geographic mix of our Direct Billable Bookings is summarized below. North America has increased as a percentage of the total primarily due to growth from new travel agency customers in the region.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 w:name="page29"/>
    <w:bookmarkEnd w:id="28"/>
    <w:tbl>
      <w:tblPr>
        <w:tblLayout w:type="fixed"/>
        <w:tblInd w:w="178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3240" w:type="dxa"/>
            <w:vAlign w:val="bottom"/>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2024</w:t>
            </w:r>
          </w:p>
        </w:tc>
      </w:tr>
      <w:tr>
        <w:trPr>
          <w:trHeight w:val="294"/>
        </w:trPr>
        <w:tc>
          <w:tcPr>
            <w:tcW w:w="3240" w:type="dxa"/>
            <w:vAlign w:val="bottom"/>
          </w:tcPr>
          <w:p>
            <w:pPr>
              <w:ind w:left="20"/>
              <w:spacing w:after="0"/>
              <w:rPr>
                <w:sz w:val="20"/>
                <w:szCs w:val="20"/>
                <w:color w:val="auto"/>
              </w:rPr>
            </w:pPr>
            <w:r>
              <w:rPr>
                <w:rFonts w:ascii="Arial" w:cs="Arial" w:eastAsia="Arial" w:hAnsi="Arial"/>
                <w:sz w:val="16"/>
                <w:szCs w:val="16"/>
                <w:color w:val="auto"/>
              </w:rPr>
              <w:t xml:space="preserve">Direct Billable Bookings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EMEA</w:t>
            </w: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___________________________</w:t>
      </w:r>
    </w:p>
    <w:p>
      <w:pPr>
        <w:spacing w:after="0" w:line="114" w:lineRule="exact"/>
        <w:rPr>
          <w:sz w:val="20"/>
          <w:szCs w:val="20"/>
          <w:color w:val="auto"/>
        </w:rPr>
      </w:pPr>
    </w:p>
    <w:p>
      <w:pPr>
        <w:ind w:left="340" w:hanging="8"/>
        <w:spacing w:after="0" w:line="231" w:lineRule="auto"/>
        <w:tabs>
          <w:tab w:leader="none" w:pos="49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“Direct Billable Bookings” is the primary metric utilized to measure operating performance and includes bookings made through our GDS and through our equity method partners in cases where we are paid directly by the travel supplier.</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interest rates and interest expense and restrictions on ability to refinance existing debt</w:t>
      </w:r>
    </w:p>
    <w:p>
      <w:pPr>
        <w:spacing w:after="0" w:line="1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During 2024 and 2025, we refinanced portions of our debt which resulted in higher interest rates than in prior years, increasing current and future interest expense. We may decide to further refinance portions of our debt in 2026 and 2027 which, at current interest rates, could additionally negatively impact our interest expense. Although interest rates have decreased recently in response to easing monetary policy, they continue to remain volatile, which could drive higher funding costs. Currently approximately 10% of our debt, net of cash and hedging impacts from interest rates swaps, is variable and impacted by changes in interest rates. In addition, global capital markets experienced sustained volatility throughout 2025, driven by escalating geopolitical conflicts—including the prolonged war in Ukraine and renewed Middle East hostilities—rising trade frictions and tariff related disruptions, and continued ambiguity regarding inflation trends and the future path of U.S. monetary policy. This volatility could impact our ability to execute future refinancings. See “Risk Factors—We are exposed to interest rate fluctuations and “—We have a significant amount of indebtedness, which could adversely affect our cash flow and our ability to operate our business and to fulfill our obligations under our indebtedness."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Importance of LCC/hybrids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LCC/hybrids are a significant segment of the air travel industry and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 We expect to make additional investments to address the LCC space and continue to grow upmarket with a more competitive offering.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generate revenue from distribution activities through direct billable bookings processed on our GDS, adjusted for estimated cancellations of those bookings. Distribution other revenue includes product revenue from agency solutions offerings such as payments and media. We also generate revenue from IT solutions activities from our product offerings including reservation systems for full-service and low-cost carriers, commercial and operations products, professional services and booking data. Additionally, we generate revenue through software licensing and maintenance fees. Recognition of license fees upon delivery has previously resulted and will continue to result in periodic fluctuations in revenue recognized.</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Cost of revenue, excluding technology costs, consists primarily of incentive consideration expense representing payments or other consideration to travel agencies for reservations made on our GDS which accrue on a monthly basis, amortization of upfront incentive consideration representing upfront payments or other consideration provided to travel agencies for reservations made on our GDS which are capitalized and amortized over the expected life of the contract. Cost of revenue, excluding technology costs, also includes costs associated with the delivery and distribution of our products and services and includes employee-related costs for our delivery and customer operations as well as allocated overhead such as facilities and other support costs and costs such as stock-based compensation and restructuring charges (in applicable periods). Depreciation and amortization included in cost of revenue, excluding technology costs, is associated with capitalized implementation costs and intangible assets associated with contracts, supplier and distributor agreements acquired through acquisitions. The technology costs excluded from cost of revenue, excluding technology costs, are presented separately below.</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 Technology costs also include certain expenses such as stock-based compensation and restructuring charges (in applicable periods). Depreciation and amortization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9" w:name="page30"/>
    <w:bookmarkEnd w:id="29"/>
    <w:p>
      <w:pPr>
        <w:jc w:val="both"/>
        <w:ind w:right="20"/>
        <w:spacing w:after="0" w:line="286" w:lineRule="auto"/>
        <w:rPr>
          <w:sz w:val="20"/>
          <w:szCs w:val="20"/>
          <w:color w:val="auto"/>
        </w:rPr>
      </w:pPr>
      <w:r>
        <w:rPr>
          <w:rFonts w:ascii="Arial" w:cs="Arial" w:eastAsia="Arial" w:hAnsi="Arial"/>
          <w:sz w:val="16"/>
          <w:szCs w:val="16"/>
          <w:color w:val="auto"/>
        </w:rPr>
        <w:t>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consist of professional service fees, costs to defend legal disputes, provision for expected credit losses, non-recoverable taxes, indirect taxes, other overhead costs, and personnel-related expenses, including stock-based compensation, for employees engaged in sales, sales support, account management and who administratively support the business in finance, legal, human resources, information technology and communications. 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11 years as of December 31, 2025 for trademarks and brand names.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“Direct billable bookings” and “passengers boarded” are the primary metrics we utilize to measure operating performance. We generate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We also recognize IT solutions revenue from recurring usage-based fees for passengers boarded.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2400" w:type="dxa"/>
            <w:vAlign w:val="bottom"/>
            <w:gridSpan w:val="5"/>
          </w:tcPr>
          <w:p>
            <w:pPr>
              <w:ind w:left="800"/>
              <w:spacing w:after="0"/>
              <w:rPr>
                <w:sz w:val="20"/>
                <w:szCs w:val="20"/>
                <w:color w:val="auto"/>
              </w:rPr>
            </w:pPr>
            <w:r>
              <w:rPr>
                <w:rFonts w:ascii="Arial" w:cs="Arial" w:eastAsia="Arial" w:hAnsi="Arial"/>
                <w:sz w:val="13"/>
                <w:szCs w:val="13"/>
                <w:b w:val="1"/>
                <w:bCs w:val="1"/>
                <w:color w:val="auto"/>
                <w:w w:val="98"/>
              </w:rPr>
              <w:t>Year Ended 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right"/>
              <w:ind w:right="323"/>
              <w:spacing w:after="0"/>
              <w:rPr>
                <w:sz w:val="20"/>
                <w:szCs w:val="20"/>
                <w:color w:val="auto"/>
              </w:rPr>
            </w:pPr>
            <w:r>
              <w:rPr>
                <w:rFonts w:ascii="Arial" w:cs="Arial" w:eastAsia="Arial" w:hAnsi="Arial"/>
                <w:sz w:val="13"/>
                <w:szCs w:val="13"/>
                <w:b w:val="1"/>
                <w:bCs w:val="1"/>
                <w:color w:val="auto"/>
              </w:rPr>
              <w:t>Year-over-Year % Change</w:t>
            </w:r>
          </w:p>
        </w:tc>
      </w:tr>
      <w:tr>
        <w:trPr>
          <w:trHeight w:val="22"/>
        </w:trPr>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8"/>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2024</w:t>
            </w:r>
          </w:p>
        </w:tc>
      </w:tr>
      <w:tr>
        <w:trPr>
          <w:trHeight w:val="214"/>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Air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308,490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302,656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5640" w:type="dxa"/>
            <w:vAlign w:val="bottom"/>
          </w:tcPr>
          <w:p>
            <w:pPr>
              <w:ind w:left="220"/>
              <w:spacing w:after="0"/>
              <w:rPr>
                <w:sz w:val="20"/>
                <w:szCs w:val="20"/>
                <w:color w:val="auto"/>
              </w:rPr>
            </w:pPr>
            <w:r>
              <w:rPr>
                <w:rFonts w:ascii="Arial" w:cs="Arial" w:eastAsia="Arial" w:hAnsi="Arial"/>
                <w:sz w:val="16"/>
                <w:szCs w:val="16"/>
                <w:color w:val="auto"/>
              </w:rPr>
              <w:t>Direct Billable Bookings - LGS</w:t>
            </w:r>
          </w:p>
        </w:tc>
        <w:tc>
          <w:tcPr>
            <w:tcW w:w="960" w:type="dxa"/>
            <w:vAlign w:val="bottom"/>
          </w:tcPr>
          <w:p>
            <w:pPr>
              <w:jc w:val="right"/>
              <w:spacing w:after="0"/>
              <w:rPr>
                <w:sz w:val="20"/>
                <w:szCs w:val="20"/>
                <w:color w:val="auto"/>
              </w:rPr>
            </w:pPr>
            <w:r>
              <w:rPr>
                <w:rFonts w:ascii="Arial" w:cs="Arial" w:eastAsia="Arial" w:hAnsi="Arial"/>
                <w:sz w:val="16"/>
                <w:szCs w:val="16"/>
                <w:color w:val="auto"/>
              </w:rPr>
              <w:t>56,771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55,706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52,053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Total Direct Billable Bookings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365,261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IT Solutions Passengers Boarded</w:t>
            </w:r>
          </w:p>
        </w:tc>
        <w:tc>
          <w:tcPr>
            <w:tcW w:w="960" w:type="dxa"/>
            <w:vAlign w:val="bottom"/>
          </w:tcPr>
          <w:p>
            <w:pPr>
              <w:jc w:val="right"/>
              <w:spacing w:after="0"/>
              <w:rPr>
                <w:sz w:val="20"/>
                <w:szCs w:val="20"/>
                <w:color w:val="auto"/>
              </w:rPr>
            </w:pPr>
            <w:r>
              <w:rPr>
                <w:rFonts w:ascii="Arial" w:cs="Arial" w:eastAsia="Arial" w:hAnsi="Arial"/>
                <w:sz w:val="16"/>
                <w:szCs w:val="16"/>
                <w:color w:val="auto"/>
              </w:rPr>
              <w:t>695,423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684,136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688,501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GAAP Financial Measures and Related Limitations</w:t>
      </w:r>
    </w:p>
    <w:p>
      <w:pPr>
        <w:spacing w:after="0" w:line="162" w:lineRule="exact"/>
        <w:rPr>
          <w:sz w:val="20"/>
          <w:szCs w:val="20"/>
          <w:color w:val="auto"/>
        </w:rPr>
      </w:pPr>
    </w:p>
    <w:p>
      <w:pPr>
        <w:jc w:val="both"/>
        <w:ind w:firstLine="486"/>
        <w:spacing w:after="0" w:line="197" w:lineRule="exact"/>
        <w:rPr>
          <w:sz w:val="20"/>
          <w:szCs w:val="20"/>
          <w:color w:val="auto"/>
        </w:rPr>
      </w:pPr>
      <w:r>
        <w:rPr>
          <w:rFonts w:ascii="Arial" w:cs="Arial" w:eastAsia="Arial" w:hAnsi="Arial"/>
          <w:sz w:val="16"/>
          <w:szCs w:val="16"/>
          <w:color w:val="auto"/>
        </w:rPr>
        <w:t>We have included both financial measures prepared in accordance with U.S. generally accepted accounting principles (“GAAP”) as well as certain supplemental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including Adjusted Net Loss from continuing operations (“Adjusted Net Loss”), Adjusted EBITDA, Free Cash Flow, and ratios derived from these measures. The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presented in addition to, and not as a substitute for, financial results prepared in accordance with GAAP. GAAP financial measures are presented with equal or greater prominence wherever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discussed.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w:t>
      </w:r>
    </w:p>
    <w:p>
      <w:pPr>
        <w:spacing w:after="0" w:line="77" w:lineRule="exact"/>
        <w:rPr>
          <w:sz w:val="20"/>
          <w:szCs w:val="20"/>
          <w:color w:val="auto"/>
        </w:rPr>
      </w:pPr>
    </w:p>
    <w:p>
      <w:pPr>
        <w:jc w:val="both"/>
        <w:ind w:firstLine="486"/>
        <w:spacing w:after="0" w:line="214" w:lineRule="exact"/>
        <w:rPr>
          <w:sz w:val="20"/>
          <w:szCs w:val="20"/>
          <w:color w:val="auto"/>
        </w:rPr>
      </w:pPr>
      <w:r>
        <w:rPr>
          <w:rFonts w:ascii="Arial" w:cs="Arial" w:eastAsia="Arial" w:hAnsi="Arial"/>
          <w:sz w:val="16"/>
          <w:szCs w:val="16"/>
          <w:color w:val="auto"/>
        </w:rPr>
        <w:t>Adjusted Net Loss is defined as loss from continuing operations adjusted to exclude acquisition</w:t>
      </w:r>
      <w:r>
        <w:rPr>
          <w:rFonts w:ascii="MS PGothic" w:cs="MS PGothic" w:eastAsia="MS PGothic" w:hAnsi="MS PGothic"/>
          <w:sz w:val="16"/>
          <w:szCs w:val="16"/>
          <w:color w:val="auto"/>
        </w:rPr>
        <w:t>‑</w:t>
      </w:r>
      <w:r>
        <w:rPr>
          <w:rFonts w:ascii="Arial" w:cs="Arial" w:eastAsia="Arial" w:hAnsi="Arial"/>
          <w:sz w:val="16"/>
          <w:szCs w:val="16"/>
          <w:color w:val="auto"/>
        </w:rPr>
        <w:t>related amortization; restructuring and other costs; loss on extinguishment of debt, net; other, net; disposition</w:t>
      </w:r>
      <w:r>
        <w:rPr>
          <w:rFonts w:ascii="MS PGothic" w:cs="MS PGothic" w:eastAsia="MS PGothic" w:hAnsi="MS PGothic"/>
          <w:sz w:val="16"/>
          <w:szCs w:val="16"/>
          <w:color w:val="auto"/>
        </w:rPr>
        <w:t>‑</w:t>
      </w:r>
      <w:r>
        <w:rPr>
          <w:rFonts w:ascii="Arial" w:cs="Arial" w:eastAsia="Arial" w:hAnsi="Arial"/>
          <w:sz w:val="16"/>
          <w:szCs w:val="16"/>
          <w:color w:val="auto"/>
        </w:rPr>
        <w:t>related costs; litigation costs, net; indirect tax matters;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the related tax impacts of these adjustments.</w:t>
      </w:r>
    </w:p>
    <w:p>
      <w:pPr>
        <w:spacing w:after="0" w:line="83" w:lineRule="exact"/>
        <w:rPr>
          <w:sz w:val="20"/>
          <w:szCs w:val="20"/>
          <w:color w:val="auto"/>
        </w:rPr>
      </w:pPr>
    </w:p>
    <w:p>
      <w:pPr>
        <w:jc w:val="both"/>
        <w:ind w:firstLine="486"/>
        <w:spacing w:after="0" w:line="211" w:lineRule="exact"/>
        <w:rPr>
          <w:sz w:val="20"/>
          <w:szCs w:val="20"/>
          <w:color w:val="auto"/>
        </w:rPr>
      </w:pPr>
      <w:r>
        <w:rPr>
          <w:rFonts w:ascii="Arial" w:cs="Arial" w:eastAsia="Arial" w:hAnsi="Arial"/>
          <w:sz w:val="16"/>
          <w:szCs w:val="16"/>
          <w:color w:val="auto"/>
        </w:rPr>
        <w:t>Adjusted EBITDA is defined as loss from continuing operations adjusted to exclude depreciation and amortization of property and equipment; amortization of capitalized implementation costs; acquisition</w:t>
      </w:r>
      <w:r>
        <w:rPr>
          <w:rFonts w:ascii="MS PGothic" w:cs="MS PGothic" w:eastAsia="MS PGothic" w:hAnsi="MS PGothic"/>
          <w:sz w:val="16"/>
          <w:szCs w:val="16"/>
          <w:color w:val="auto"/>
        </w:rPr>
        <w:t>‑</w:t>
      </w:r>
      <w:r>
        <w:rPr>
          <w:rFonts w:ascii="Arial" w:cs="Arial" w:eastAsia="Arial" w:hAnsi="Arial"/>
          <w:sz w:val="16"/>
          <w:szCs w:val="16"/>
          <w:color w:val="auto"/>
        </w:rPr>
        <w:t>related amortization; restructuring and other costs; interest expense, net; other, net; loss on extinguishment of debt, net; disposition</w:t>
      </w:r>
      <w:r>
        <w:rPr>
          <w:rFonts w:ascii="MS PGothic" w:cs="MS PGothic" w:eastAsia="MS PGothic" w:hAnsi="MS PGothic"/>
          <w:sz w:val="16"/>
          <w:szCs w:val="16"/>
          <w:color w:val="auto"/>
        </w:rPr>
        <w:t>‑</w:t>
      </w:r>
      <w:r>
        <w:rPr>
          <w:rFonts w:ascii="Arial" w:cs="Arial" w:eastAsia="Arial" w:hAnsi="Arial"/>
          <w:sz w:val="16"/>
          <w:szCs w:val="16"/>
          <w:color w:val="auto"/>
        </w:rPr>
        <w:t>related costs; litigation costs, net; indirect tax matters;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the provision for income taxes.</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Free Cash Flow is defined as cash (used in) provided by operating activities, less cash used for additions to property and equipment.</w:t>
      </w:r>
    </w:p>
    <w:p>
      <w:pPr>
        <w:spacing w:after="0" w:line="77"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6"/>
          <w:szCs w:val="16"/>
          <w:color w:val="auto"/>
        </w:rPr>
        <w:t>Adjusted Net Loss from continuing operations per share is defined as Adjusted Net Loss divided by diluted weighted</w:t>
      </w:r>
      <w:r>
        <w:rPr>
          <w:rFonts w:ascii="MS PGothic" w:cs="MS PGothic" w:eastAsia="MS PGothic" w:hAnsi="MS PGothic"/>
          <w:sz w:val="16"/>
          <w:szCs w:val="16"/>
          <w:color w:val="auto"/>
        </w:rPr>
        <w:t>‑</w:t>
      </w:r>
      <w:r>
        <w:rPr>
          <w:rFonts w:ascii="Arial" w:cs="Arial" w:eastAsia="Arial" w:hAnsi="Arial"/>
          <w:sz w:val="16"/>
          <w:szCs w:val="16"/>
          <w:color w:val="auto"/>
        </w:rPr>
        <w:t>average common shares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and Use by Management</w:t>
      </w:r>
    </w:p>
    <w:p>
      <w:pPr>
        <w:spacing w:after="0" w:line="91" w:lineRule="exact"/>
        <w:rPr>
          <w:sz w:val="20"/>
          <w:szCs w:val="20"/>
          <w:color w:val="auto"/>
        </w:rPr>
      </w:pPr>
    </w:p>
    <w:p>
      <w:pPr>
        <w:jc w:val="both"/>
        <w:ind w:firstLine="486"/>
        <w:spacing w:after="0" w:line="210" w:lineRule="exact"/>
        <w:rPr>
          <w:sz w:val="20"/>
          <w:szCs w:val="20"/>
          <w:color w:val="auto"/>
        </w:rPr>
      </w:pPr>
      <w:r>
        <w:rPr>
          <w:rFonts w:ascii="Arial" w:cs="Arial" w:eastAsia="Arial" w:hAnsi="Arial"/>
          <w:sz w:val="16"/>
          <w:szCs w:val="16"/>
          <w:color w:val="auto"/>
        </w:rPr>
        <w:t>Management and the board of directors use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evaluate trends in our operating performance, assess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comparability, and support internal planning and decision</w:t>
      </w:r>
      <w:r>
        <w:rPr>
          <w:rFonts w:ascii="MS PGothic" w:cs="MS PGothic" w:eastAsia="MS PGothic" w:hAnsi="MS PGothic"/>
          <w:sz w:val="16"/>
          <w:szCs w:val="16"/>
          <w:color w:val="auto"/>
        </w:rPr>
        <w:t>‑</w:t>
      </w:r>
      <w:r>
        <w:rPr>
          <w:rFonts w:ascii="Arial" w:cs="Arial" w:eastAsia="Arial" w:hAnsi="Arial"/>
          <w:sz w:val="16"/>
          <w:szCs w:val="16"/>
          <w:color w:val="auto"/>
        </w:rPr>
        <w:t>making. These measures are particularly useful in evaluating operating performance because historical results have been affected by items that management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0" w:name="page31"/>
    <w:bookmarkEnd w:id="30"/>
    <w:p>
      <w:pPr>
        <w:jc w:val="both"/>
        <w:spacing w:after="0" w:line="286" w:lineRule="auto"/>
        <w:rPr>
          <w:sz w:val="20"/>
          <w:szCs w:val="20"/>
          <w:color w:val="auto"/>
        </w:rPr>
      </w:pPr>
      <w:r>
        <w:rPr>
          <w:rFonts w:ascii="Arial" w:cs="Arial" w:eastAsia="Arial" w:hAnsi="Arial"/>
          <w:sz w:val="16"/>
          <w:szCs w:val="16"/>
          <w:color w:val="auto"/>
        </w:rPr>
        <w:t>believes are not indicative of ongoing core operations. In addition, amounts derived from Adjusted EBITDA are used in connection with certain financial covenants under our senior secured credit facilities.</w:t>
      </w:r>
    </w:p>
    <w:p>
      <w:pPr>
        <w:spacing w:after="0" w:line="25" w:lineRule="exact"/>
        <w:rPr>
          <w:sz w:val="20"/>
          <w:szCs w:val="20"/>
          <w:color w:val="auto"/>
        </w:rPr>
      </w:pPr>
    </w:p>
    <w:p>
      <w:pPr>
        <w:jc w:val="both"/>
        <w:ind w:firstLine="486"/>
        <w:spacing w:after="0" w:line="207" w:lineRule="exact"/>
        <w:rPr>
          <w:sz w:val="20"/>
          <w:szCs w:val="20"/>
          <w:color w:val="auto"/>
        </w:rPr>
      </w:pPr>
      <w:r>
        <w:rPr>
          <w:rFonts w:ascii="Arial" w:cs="Arial" w:eastAsia="Arial" w:hAnsi="Arial"/>
          <w:sz w:val="16"/>
          <w:szCs w:val="16"/>
          <w:color w:val="auto"/>
        </w:rPr>
        <w:t>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should not be considered measures of liquidity, nor do they represent cash available for discretionary use. Free Cash Flow does not represent residual cash available for distribution and does not reflect all cash requirements of the business. Other companies, including those within our industry, may define or calculate similarly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differently, limiting the usefulness of such measures as comparative tools.</w:t>
      </w:r>
    </w:p>
    <w:p>
      <w:pPr>
        <w:spacing w:after="0" w:line="50"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Limitations of Non</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GAAP Financial Measures</w:t>
      </w:r>
    </w:p>
    <w:p>
      <w:pPr>
        <w:spacing w:after="0" w:line="16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Adjusted Net Loss, Adjusted EBITDA,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spacing w:after="0" w:line="20" w:lineRule="exact"/>
        <w:rPr>
          <w:sz w:val="20"/>
          <w:szCs w:val="20"/>
          <w:color w:val="auto"/>
        </w:rPr>
      </w:pPr>
    </w:p>
    <w:p>
      <w:pPr>
        <w:ind w:left="500"/>
        <w:spacing w:after="0" w:line="184" w:lineRule="exact"/>
        <w:rPr>
          <w:sz w:val="20"/>
          <w:szCs w:val="20"/>
          <w:color w:val="auto"/>
        </w:rPr>
      </w:pPr>
      <w:r>
        <w:rPr>
          <w:rFonts w:ascii="Arial" w:cs="Arial" w:eastAsia="Arial" w:hAnsi="Arial"/>
          <w:sz w:val="16"/>
          <w:szCs w:val="16"/>
          <w:color w:val="auto"/>
        </w:rPr>
        <w:t>The limitations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include, but are not limited to, the following:</w:t>
      </w:r>
    </w:p>
    <w:p>
      <w:pPr>
        <w:spacing w:after="0" w:line="356" w:lineRule="exact"/>
        <w:rPr>
          <w:sz w:val="20"/>
          <w:szCs w:val="20"/>
          <w:color w:val="auto"/>
        </w:rPr>
      </w:pPr>
    </w:p>
    <w:p>
      <w:pPr>
        <w:ind w:left="640" w:hanging="308"/>
        <w:spacing w:after="0" w:line="184" w:lineRule="exact"/>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They exclude certain expenses that are recurring in nature,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amortization of acquired intangible assets.</w:t>
      </w:r>
    </w:p>
    <w:p>
      <w:pPr>
        <w:spacing w:after="0" w:line="126" w:lineRule="exact"/>
        <w:rPr>
          <w:rFonts w:ascii="Arial" w:cs="Arial" w:eastAsia="Arial" w:hAnsi="Arial"/>
          <w:sz w:val="16"/>
          <w:szCs w:val="16"/>
          <w:color w:val="auto"/>
        </w:rPr>
      </w:pPr>
    </w:p>
    <w:p>
      <w:pPr>
        <w:ind w:left="660" w:hanging="328"/>
        <w:spacing w:after="0" w:line="220" w:lineRule="exact"/>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depreciation and amortization are non</w:t>
      </w:r>
      <w:r>
        <w:rPr>
          <w:rFonts w:ascii="MS PGothic" w:cs="MS PGothic" w:eastAsia="MS PGothic" w:hAnsi="MS PGothic"/>
          <w:sz w:val="16"/>
          <w:szCs w:val="16"/>
          <w:color w:val="auto"/>
        </w:rPr>
        <w:t>‑</w:t>
      </w:r>
      <w:r>
        <w:rPr>
          <w:rFonts w:ascii="Arial" w:cs="Arial" w:eastAsia="Arial" w:hAnsi="Arial"/>
          <w:sz w:val="16"/>
          <w:szCs w:val="16"/>
          <w:color w:val="auto"/>
        </w:rPr>
        <w:t>cash expenses, the assets being depreciated and amortized may require replacement in the future, and Adjusted EBITDA does not reflect the capital expenditures required for these replacements.</w:t>
      </w:r>
    </w:p>
    <w:p>
      <w:pPr>
        <w:spacing w:after="0" w:line="8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excludes amortization of capitalized implementation costs related to revenue contracts, which may result in future working capital or cash requirements.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Net Loss and Adjusted EBITDA do not reflect changes in, or cash requirements associated with, working capital.</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principal repayments, or other cash requirements necessary to service our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income tax payments that could reduce cash available to us.</w:t>
      </w:r>
    </w:p>
    <w:p>
      <w:pPr>
        <w:spacing w:after="0" w:line="113" w:lineRule="exact"/>
        <w:rPr>
          <w:rFonts w:ascii="Arial" w:cs="Arial" w:eastAsia="Arial" w:hAnsi="Arial"/>
          <w:sz w:val="16"/>
          <w:szCs w:val="16"/>
          <w:color w:val="auto"/>
        </w:rPr>
      </w:pPr>
    </w:p>
    <w:p>
      <w:pPr>
        <w:ind w:left="660" w:hanging="328"/>
        <w:spacing w:after="0" w:line="30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Free Cash Flow reflects changes in operating assets and liabilities determined under accrual accounting and does not reflect all cash requirements, including mandatory debt service obligations.</w:t>
      </w:r>
    </w:p>
    <w:p>
      <w:pPr>
        <w:ind w:left="660" w:right="20" w:hanging="328"/>
        <w:spacing w:after="0" w:line="227" w:lineRule="exact"/>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companies, including those within our industry, may define or calculate similarly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differently, limiting the usefulness of such measures as comparative tools.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Considerations</w:t>
      </w:r>
    </w:p>
    <w:p>
      <w:pPr>
        <w:spacing w:after="0" w:line="77" w:lineRule="exact"/>
        <w:rPr>
          <w:sz w:val="20"/>
          <w:szCs w:val="20"/>
          <w:color w:val="auto"/>
        </w:rPr>
      </w:pPr>
    </w:p>
    <w:p>
      <w:pPr>
        <w:jc w:val="both"/>
        <w:ind w:firstLine="486"/>
        <w:spacing w:after="0" w:line="214" w:lineRule="exact"/>
        <w:rPr>
          <w:sz w:val="20"/>
          <w:szCs w:val="20"/>
          <w:color w:val="auto"/>
        </w:rPr>
      </w:pPr>
      <w:r>
        <w:rPr>
          <w:rFonts w:ascii="Arial" w:cs="Arial" w:eastAsia="Arial" w:hAnsi="Arial"/>
          <w:sz w:val="16"/>
          <w:szCs w:val="16"/>
          <w:color w:val="auto"/>
        </w:rPr>
        <w:t>Investors are encouraged to review the reconciliation of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GAAP financial measures and to evaluate our operating performance, financial position, and liquidity using GAAP measures in conjunction with, and not in lieu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The following table sets forth the reconciliation of Loss from continuing operations to Adjusted Net Loss from continuing operations and Loss from continuing operations to Adjusted EBITDA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80"/>
        </w:trPr>
        <w:tc>
          <w:tcPr>
            <w:tcW w:w="6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2023</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(491,538)</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33,035</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72,096</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 net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108,577</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(13,017)</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4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11,451</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46,707</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(7)</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66,415</w:t>
            </w: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(14,835)</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(75,858)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(162,551)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from continuing operations per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383,733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346,567</w:t>
            </w:r>
          </w:p>
        </w:tc>
      </w:tr>
      <w:tr>
        <w:trPr>
          <w:trHeight w:val="217"/>
        </w:trPr>
        <w:tc>
          <w:tcPr>
            <w:tcW w:w="6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(255,490)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(271,548)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(491,538)</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(1b)</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64,231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70,782</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(1c)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33,035</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447,829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453,274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396,598</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(13,017)</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108,577</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4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11,451</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46,707</w:t>
            </w:r>
          </w:p>
        </w:tc>
      </w:tr>
      <w:tr>
        <w:trPr>
          <w:trHeight w:val="217"/>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33,645</w:t>
            </w: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500,190</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447,186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289,459</w:t>
            </w:r>
          </w:p>
        </w:tc>
      </w:tr>
      <w:tr>
        <w:trPr>
          <w:trHeight w:val="21"/>
        </w:trPr>
        <w:tc>
          <w:tcPr>
            <w:tcW w:w="6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provided by operating activities, the most directly comparable GAAP measure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2023</w:t>
            </w: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70,249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w w:val="98"/>
              </w:rPr>
              <w:t>67,369</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124"/>
              <w:spacing w:after="0"/>
              <w:rPr>
                <w:sz w:val="20"/>
                <w:szCs w:val="20"/>
                <w:color w:val="auto"/>
              </w:rPr>
            </w:pPr>
            <w:r>
              <w:rPr>
                <w:rFonts w:ascii="Arial" w:cs="Arial" w:eastAsia="Arial" w:hAnsi="Arial"/>
                <w:sz w:val="16"/>
                <w:szCs w:val="16"/>
                <w:color w:val="auto"/>
              </w:rPr>
              <w:t>(91,456)</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(685,751)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24"/>
              <w:spacing w:after="0"/>
              <w:rPr>
                <w:sz w:val="20"/>
                <w:szCs w:val="20"/>
                <w:color w:val="auto"/>
              </w:rPr>
            </w:pPr>
            <w:r>
              <w:rPr>
                <w:rFonts w:ascii="Arial" w:cs="Arial" w:eastAsia="Arial" w:hAnsi="Arial"/>
                <w:sz w:val="16"/>
                <w:szCs w:val="16"/>
                <w:color w:val="auto"/>
              </w:rPr>
              <w:t>(94,219)</w:t>
            </w:r>
          </w:p>
        </w:tc>
      </w:tr>
      <w:tr>
        <w:trPr>
          <w:trHeight w:val="388"/>
        </w:trPr>
        <w:tc>
          <w:tcPr>
            <w:tcW w:w="7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2023</w:t>
            </w: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70,249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w w:val="98"/>
              </w:rPr>
              <w:t>67,369</w:t>
            </w:r>
          </w:p>
        </w:tc>
      </w:tr>
      <w:tr>
        <w:trPr>
          <w:trHeight w:val="215"/>
        </w:trPr>
        <w:tc>
          <w:tcPr>
            <w:tcW w:w="7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Additions to property and equipment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24"/>
              <w:spacing w:after="0"/>
              <w:rPr>
                <w:sz w:val="20"/>
                <w:szCs w:val="20"/>
                <w:color w:val="auto"/>
              </w:rPr>
            </w:pPr>
            <w:r>
              <w:rPr>
                <w:rFonts w:ascii="Arial" w:cs="Arial" w:eastAsia="Arial" w:hAnsi="Arial"/>
                <w:sz w:val="16"/>
                <w:szCs w:val="16"/>
                <w:color w:val="auto"/>
              </w:rPr>
              <w:t>(80,920)</w:t>
            </w: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124"/>
              <w:spacing w:after="0"/>
              <w:rPr>
                <w:sz w:val="20"/>
                <w:szCs w:val="20"/>
                <w:color w:val="auto"/>
              </w:rPr>
            </w:pPr>
            <w:r>
              <w:rPr>
                <w:rFonts w:ascii="Arial" w:cs="Arial" w:eastAsia="Arial" w:hAnsi="Arial"/>
                <w:sz w:val="16"/>
                <w:szCs w:val="16"/>
                <w:color w:val="auto"/>
              </w:rPr>
              <w:t>(13,551)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12" w:lineRule="exact"/>
        <w:rPr>
          <w:rFonts w:ascii="Arial" w:cs="Arial" w:eastAsia="Arial" w:hAnsi="Arial"/>
          <w:sz w:val="14"/>
          <w:szCs w:val="14"/>
          <w:color w:val="auto"/>
        </w:rPr>
      </w:pPr>
    </w:p>
    <w:p>
      <w:pPr>
        <w:ind w:left="980" w:right="20" w:hanging="324"/>
        <w:spacing w:after="0" w:line="261" w:lineRule="auto"/>
        <w:tabs>
          <w:tab w:leader="none" w:pos="978" w:val="left"/>
        </w:tabs>
        <w:numPr>
          <w:ilvl w:val="1"/>
          <w:numId w:val="8"/>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ind w:left="980" w:hanging="324"/>
        <w:spacing w:after="0"/>
        <w:tabs>
          <w:tab w:leader="none" w:pos="980" w:val="left"/>
        </w:tabs>
        <w:numPr>
          <w:ilvl w:val="1"/>
          <w:numId w:val="8"/>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14" w:lineRule="exact"/>
        <w:rPr>
          <w:rFonts w:ascii="Arial" w:cs="Arial" w:eastAsia="Arial" w:hAnsi="Arial"/>
          <w:sz w:val="14"/>
          <w:szCs w:val="14"/>
          <w:color w:val="auto"/>
        </w:rPr>
      </w:pPr>
    </w:p>
    <w:p>
      <w:pPr>
        <w:ind w:left="980" w:hanging="324"/>
        <w:spacing w:after="0" w:line="284" w:lineRule="auto"/>
        <w:tabs>
          <w:tab w:leader="none" w:pos="970" w:val="left"/>
        </w:tabs>
        <w:numPr>
          <w:ilvl w:val="1"/>
          <w:numId w:val="8"/>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32" w:name="page33"/>
    <w:bookmarkEnd w:id="32"/>
    <w:p>
      <w:pPr>
        <w:jc w:val="both"/>
        <w:ind w:left="340" w:hanging="332"/>
        <w:spacing w:after="0" w:line="26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Restructuring and other costs for 2025 primarily represents charges related to the inflation offset program we began implementing in 2026 and in the prior periods, charges and adjustments to charges associated with the cost reduction plan we began implementing in the second quarter of 2023. See Note 5. Restructuring Activities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net includes $18 million of transition services agreement income, net, in 2025, $13 million of debt modification costs in 2025, a gain on the sale of assets of $5 million recognized in 2025, $21 million of debt modification costs in 2024, non-operating gains recognized in 2023, and the impacts of realized and unrealized gains and losses from our investments in securities in 2023 and 2024. In addition, all periods presented include non-operating gains and losses as well as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Disposition-related costs represent fees and expenses incurred associated with disposition-related activities.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w:t>
      </w:r>
    </w:p>
    <w:p>
      <w:pPr>
        <w:spacing w:after="0" w:line="14"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Indirect tax matters represents charges and adjustments to charges associated with certain DST related to historical periods, which may ultimately be settled in cash, and certain foreign non-income tax litigation matters. See detailed disclosures regarding these matters included in the Liquidity and Capital Resources and Risk Factors sections as well as Note 18. Commitments and Contingencies to our consolidated financial statements.</w:t>
      </w:r>
    </w:p>
    <w:p>
      <w:pPr>
        <w:spacing w:after="0" w:line="1"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Results of Operations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 of operations data for each of the periods presented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6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6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2,770,983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2,744,845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2,642,077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1,206,987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1,146,275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1,076,241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Technology 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711,100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780,749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950,726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557,401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575,972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582,887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295,495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241,849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32,223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(396,598)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Loss on debt extinguishment, net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(108,577)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income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(457,893)</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16,256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(271,548)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(491,538)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Years Ended December 31, 2025 and 2024</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5780" w:type="dxa"/>
            <w:vAlign w:val="bottom"/>
          </w:tcPr>
          <w:p>
            <w:pPr>
              <w:ind w:left="460"/>
              <w:spacing w:after="0"/>
              <w:rPr>
                <w:sz w:val="20"/>
                <w:szCs w:val="20"/>
                <w:color w:val="auto"/>
              </w:rPr>
            </w:pPr>
            <w:r>
              <w:rPr>
                <w:rFonts w:ascii="Arial" w:cs="Arial" w:eastAsia="Arial" w:hAnsi="Arial"/>
                <w:sz w:val="16"/>
                <w:szCs w:val="16"/>
                <w:i w:val="1"/>
                <w:iCs w:val="1"/>
                <w:color w:val="auto"/>
              </w:rPr>
              <w:t>Revenue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177"/>
              <w:spacing w:after="0"/>
              <w:rPr>
                <w:sz w:val="20"/>
                <w:szCs w:val="20"/>
                <w:color w:val="auto"/>
              </w:rPr>
            </w:pPr>
            <w:r>
              <w:rPr>
                <w:rFonts w:ascii="Arial" w:cs="Arial" w:eastAsia="Arial" w:hAnsi="Arial"/>
                <w:sz w:val="13"/>
                <w:szCs w:val="13"/>
                <w:b w:val="1"/>
                <w:bCs w:val="1"/>
                <w:color w:val="auto"/>
                <w:w w:val="96"/>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Change</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6"/>
          </w:tcPr>
          <w:p>
            <w:pPr>
              <w:jc w:val="center"/>
              <w:ind w:right="197"/>
              <w:spacing w:after="0"/>
              <w:rPr>
                <w:sz w:val="20"/>
                <w:szCs w:val="20"/>
                <w:color w:val="auto"/>
              </w:rPr>
            </w:pPr>
            <w:r>
              <w:rPr>
                <w:rFonts w:ascii="Arial" w:cs="Arial" w:eastAsia="Arial" w:hAnsi="Arial"/>
                <w:sz w:val="13"/>
                <w:szCs w:val="13"/>
                <w:color w:val="auto"/>
                <w:w w:val="96"/>
              </w:rPr>
              <w:t>(Amounts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2,770,983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2,744,845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increased $26 million, or 1%, for the year ended December 31, 2025 compared to the prior year, primarily due to:</w:t>
      </w:r>
    </w:p>
    <w:p>
      <w:pPr>
        <w:spacing w:after="0" w:line="113" w:lineRule="exact"/>
        <w:rPr>
          <w:sz w:val="20"/>
          <w:szCs w:val="20"/>
          <w:color w:val="auto"/>
        </w:rPr>
      </w:pPr>
    </w:p>
    <w:p>
      <w:pPr>
        <w:ind w:left="660" w:hanging="328"/>
        <w:spacing w:after="0" w:line="30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$43 million increase, or 2%, in distribution revenue driven by a $29 million increase in other revenue, and a $14 million increase in transaction-based revenue due to favorable rate impacts and an increase in volumes; partially offset by,</w:t>
      </w:r>
    </w:p>
    <w:p>
      <w:pPr>
        <w:spacing w:after="0" w:line="3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$17 million, or 3%, decrease in IT solutions revenue driven by a $15 million decrease due to the impact of de-migrations from carriers who de-migrated prior to 2024, a $7 million decrease due to revenue recognized in the prior year from changes in facts and circumstances associated with certain carriers and a $2 million decrease in license fee revenue, partially offset by a $7 million increase due to volume growth.</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5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Change</w:t>
            </w:r>
          </w:p>
        </w:tc>
        <w:tc>
          <w:tcPr>
            <w:tcW w:w="700" w:type="dxa"/>
            <w:vAlign w:val="bottom"/>
            <w:tcBorders>
              <w:bottom w:val="single" w:sz="8" w:color="auto"/>
            </w:tcBorders>
          </w:tcPr>
          <w:p>
            <w:pPr>
              <w:spacing w:after="0"/>
              <w:rPr>
                <w:sz w:val="18"/>
                <w:szCs w:val="18"/>
                <w:color w:val="auto"/>
              </w:rPr>
            </w:pPr>
          </w:p>
        </w:tc>
      </w:tr>
      <w:tr>
        <w:trPr>
          <w:trHeight w:val="260"/>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23"/>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revenue, excluding technology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1,206,987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1,146,275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rPr>
              <w:t>60,712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Cost of revenue, excluding technology costs, increased $61 million, or 5%, for the year ended December 31, 2025 compared to the prior year. The increase was primarily driven by a $56 million increase in incentive consideration due to an increase in rates and customer mix, and a $7 million increase due to a restructuring charge associated with the inflation offset program accrued in the current period.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costs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780,749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(69,649)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bl>
    <w:p>
      <w:pPr>
        <w:spacing w:after="0" w:line="1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decreased $70 million, or 9%, for the year ended December 31, 2025 compared to the prior year. The decrease was primarily driven by a $69 million decrease in labor and professional services primarily due to the cost reduction plan we implemented in prior periods and a reduction in variable-based compensation, an $18 million decrease in hosting costs due to cost savings related to our cloud migrations, and a $2 million decrease in depreciation and amortization primarily due to the completion of amortization of certain capitalized internal use software, partially offset by a $21 million increase due to a restructuring charge associated with the inflation offset program accrued in the current period.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575,972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(18,571)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17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Selling, general and administrative expenses decreased $19 million, or 3%, for the year ended December 31, 2025 compared to the prior year primarily due to a $13 million decrease in tax litigation reserves as a result of final settlement, a $13 million decrease in indirect taxes, a $7 million decrease primarily due to a sales tax refund in 2025 related to prior tax periods, a $7 million decrease due to savings related to our cloud migration, a $5 million decrease due to a litigation reserve in the prior year that did not reoccur in the current year, and a $1 million decrease in other ongoing business expenses. These decreases were partially offset by a $21 million increase due to a restructuring charge associated with the inflation offset program accrued in the current period and a $10 million increase in labor and professional services primarily to support our growth initiatives, partially offset by a reduction in variable-based compensation.</w:t>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453,274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(5,445)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18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decreased $5 million, or 1%, for the year ended December 31, 2025 compared to the same period in the prior year primarily due to lower principal balances as a result of the payoff of debt at maturity and lower interest incurred in connection with our debt. See Note 10. Debt to our consolidated financial statements for further details. Interest expense, net from continuing operations excludes interest expense associated with the debt that was required to be repaid with the proceeds from the Hospitality Solutions Sale, in all periods presented.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 net</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recognized a loss on extinguishment of debt of $91 million during the year ended December 31, 2025 as a result of the refinancing activity that occurred in the second and fourth quarters of 2025. We recognized a loss on extinguishment of debt of $38 million during the year ended December 31, 2024, as a result of the refinancing activity that occurred in the first quarter of 2024. See Note 10. Debt to our consolidated financial statements for further details regarding these debt transactions.</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34" w:name="page35"/>
    <w:bookmarkEnd w:id="34"/>
    <w:p>
      <w:pPr>
        <w:ind w:left="500"/>
        <w:spacing w:after="0"/>
        <w:rPr>
          <w:sz w:val="20"/>
          <w:szCs w:val="20"/>
          <w:color w:val="auto"/>
        </w:rPr>
      </w:pPr>
      <w:r>
        <w:rPr>
          <w:rFonts w:ascii="Arial" w:cs="Arial" w:eastAsia="Arial" w:hAnsi="Arial"/>
          <w:sz w:val="16"/>
          <w:szCs w:val="16"/>
          <w:i w:val="1"/>
          <w:iCs w:val="1"/>
          <w:color w:val="auto"/>
        </w:rPr>
        <w:t>Other, net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234"/>
        </w:trPr>
        <w:tc>
          <w:tcPr>
            <w:tcW w:w="5820" w:type="dxa"/>
            <w:vAlign w:val="bottom"/>
          </w:tcPr>
          <w:p>
            <w:pPr>
              <w:spacing w:after="0"/>
              <w:rPr>
                <w:sz w:val="20"/>
                <w:szCs w:val="20"/>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3"/>
                <w:szCs w:val="13"/>
                <w:color w:val="auto"/>
                <w:w w:val="97"/>
              </w:rPr>
              <w:t>(Amounts in thousands)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780" w:type="dxa"/>
            <w:vAlign w:val="bottom"/>
            <w:shd w:val="clear" w:color="auto" w:fill="CCEEFF"/>
          </w:tcPr>
          <w:p>
            <w:pPr>
              <w:jc w:val="right"/>
              <w:ind w:right="61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20,628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608"/>
              <w:spacing w:after="0"/>
              <w:rPr>
                <w:sz w:val="20"/>
                <w:szCs w:val="20"/>
                <w:color w:val="auto"/>
              </w:rPr>
            </w:pPr>
            <w:r>
              <w:rPr>
                <w:rFonts w:ascii="Arial" w:cs="Arial" w:eastAsia="Arial" w:hAnsi="Arial"/>
                <w:sz w:val="16"/>
                <w:szCs w:val="16"/>
                <w:color w:val="auto"/>
              </w:rPr>
              <w:t>(21,019)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bl>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Other, net decreased $21 million for the year ended December 31, 2025 compared to the same period in the prior year primarily due to $18 million of transition services agreement income, net, associated with the Hospitality Solutions disposition in the current year, a decrease of $8 million in debt modification costs from $21 million in 2024 to $13 million in 2025, and a gain on the sale of assets of $5 million recognized in the current year period, partially offset by a $4 million increase in realized and unrealized foreign currency exchange losses in the current period, a fair value gain from our investments in securities of $3 million recognized in the prior year period, and a $1 million change in other non-operating expense from prior year. See Note</w:t>
      </w:r>
    </w:p>
    <w:p>
      <w:pPr>
        <w:spacing w:after="0" w:line="3" w:lineRule="exact"/>
        <w:rPr>
          <w:sz w:val="20"/>
          <w:szCs w:val="20"/>
          <w:color w:val="auto"/>
        </w:rPr>
      </w:pPr>
    </w:p>
    <w:p>
      <w:pPr>
        <w:ind w:firstLine="8"/>
        <w:spacing w:after="0" w:line="265" w:lineRule="auto"/>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Fair Value Measurements to our consolidated financial statements for further details regarding our investments in securities and Note 10. Debt to our consolidated financial statements for further details regarding debt transactions.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274"/>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rPr>
              <w:t>12,149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296 %</w:t>
            </w:r>
          </w:p>
        </w:tc>
      </w:tr>
    </w:tbl>
    <w:p>
      <w:pPr>
        <w:spacing w:after="0" w:line="175"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For the year ended December 31, 2025, we recognized $16 million of income tax expense from continuing operations compared to an income tax expense of $4 million for the year ended December 31, 2024. The effective tax rate decreased for the year ended December 31, 2025, as compared to the prior year primarily due to the impact of the change in valuation allowance recorded in the current period and various discrete items recorded in each of the respective years. The difference between our effective tax rates and the U.S. federal statutory income tax rate primarily results from valuation allowances, our geographic mix of taxable income in various tax jurisdictions, tax permanent differences and tax credits.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Years Ended December 31, 2024 and 2023</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2,744,845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2,642,077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102,768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increased $103 million, or 4%, for the year ended December 31, 2024 compared to the prior year, primarily due to:</w:t>
      </w:r>
    </w:p>
    <w:p>
      <w:pPr>
        <w:spacing w:after="0" w:line="31" w:lineRule="exact"/>
        <w:rPr>
          <w:sz w:val="20"/>
          <w:szCs w:val="20"/>
          <w:color w:val="auto"/>
        </w:rPr>
      </w:pPr>
    </w:p>
    <w:p>
      <w:pPr>
        <w:ind w:left="660" w:hanging="328"/>
        <w:spacing w:after="0" w:line="270" w:lineRule="auto"/>
        <w:tabs>
          <w:tab w:leader="none" w:pos="64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$117 million, or 6%, increase in transaction-based distribution revenue due to favorable rate impacts from travel supplier mix and a 2% increase in direct billable bookings to 363 million; partially offset by,</w:t>
      </w:r>
    </w:p>
    <w:p>
      <w:pPr>
        <w:spacing w:after="0" w:line="208" w:lineRule="exact"/>
        <w:rPr>
          <w:rFonts w:ascii="Arial" w:cs="Arial" w:eastAsia="Arial" w:hAnsi="Arial"/>
          <w:sz w:val="16"/>
          <w:szCs w:val="16"/>
          <w:b w:val="1"/>
          <w:bCs w:val="1"/>
          <w:color w:val="auto"/>
        </w:rPr>
      </w:pPr>
    </w:p>
    <w:p>
      <w:pPr>
        <w:jc w:val="both"/>
        <w:ind w:left="660" w:hanging="328"/>
        <w:spacing w:after="0" w:line="265" w:lineRule="auto"/>
        <w:tabs>
          <w:tab w:leader="none" w:pos="64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$14 million, or 2%, decrease in IT solutions revenue driven by a $35 million decline in revenue from customers that have de-migrated from our systems, including the impact of termination fees from a certain carrier in the prior year. This decrease was partially offset by an increase of $15 million due to volume growth, excluding the impact of customers that have de-migrated, a $3 million increase in revenue recognized due to changes in facts and circumstances associated with certain carriers and a $3 million increase in other revenue.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5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Change</w:t>
            </w:r>
          </w:p>
        </w:tc>
        <w:tc>
          <w:tcPr>
            <w:tcW w:w="700" w:type="dxa"/>
            <w:vAlign w:val="bottom"/>
            <w:tcBorders>
              <w:bottom w:val="single" w:sz="8" w:color="auto"/>
            </w:tcBorders>
          </w:tcPr>
          <w:p>
            <w:pPr>
              <w:spacing w:after="0"/>
              <w:rPr>
                <w:sz w:val="18"/>
                <w:szCs w:val="18"/>
                <w:color w:val="auto"/>
              </w:rPr>
            </w:pPr>
          </w:p>
        </w:tc>
      </w:tr>
      <w:tr>
        <w:trPr>
          <w:trHeight w:val="261"/>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23"/>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revenue, excluding technology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1,146,275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1,076,241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rPr>
              <w:t>70,034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bl>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Cost of revenue, excluding technology costs, increased $70 million, or 7%, for the year ended December 31, 2024 compared to the prior year. The increase was primarily driven by an $88 million increase in incentive consideration due to an increase in rates as well as higher transaction volumes. This increase was partially offset by a $12 million decrease in</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restructuring costs and a $1 million decrease in labor and professional services, both driven by our cost reduction plan, as well as a $5 million decrease in depreciation and amortization expense primarily due to the acceleration of amortization of certain customer implementation costs in the prior year period, in connection with a customer de-migrating from our systems and a $1 million decrease in stock-based compensation primarily due to forfeitures of unvested shares.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950,726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(169,977)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18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decreased $170 million, or 18%, for the year ended December 31, 2024 compared to the prior year. The decrease was primarily due to an $82 million decrease in labor and professional services driven by our cost reduction plan, a $65 million decrease in technology costs due to cost savings related to our cloud migrations, a $16 million decrease in restructuring costs driven by our cost reduction plan, and an $8 million decrease in depreciation and amortization primarily due to the completion of amortization of certain capitalized internal use software.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582,887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(6,915)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1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Selling, general and administrative expenses decreased $7 million, or 1%, for the year ended December 31, 2024 compared to the prior year. The decrease was primarily driven by a $25 million decrease in restructuring costs and a $3 million decrease in labor and professional services, both driven by our cost reduction plan. These decreases were partially offset by a $10 million increase in indirect taxes, a $5 million increase in a litigation reserve, a $4 million increase in stock-based compensation primarily due to forfeitures of unvested shares in the prior year and a $3 million decrease due to costs associated with investment in our internal business systems in the prior year.</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74"/>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396,598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56,676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bl>
    <w:p>
      <w:pPr>
        <w:spacing w:after="0" w:line="1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increased $57 million, or 14%, for the year ended December 31, 2024 compared to the same period in the prior year primarily due to additional interest incurred since the prior year period in connection with the financing activities that occurred during 2024. See Note 10. Debt to our consolidated financial statements for further details. Interest expense, net from continuing operations excludes interest expense associated with the debt that was required to be repaid with the proceeds from the Hospitality Solutions Sale, in all periods presented.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recognized a loss on extinguishment of debt of $38 million during the year ended December 31, 2024 as a result of the refinancing activity that occurred in the first quarter of 2024. We recognized a loss on extinguishment of debt of $109 million during the year ended December 31, 2023, including a loss on extinguishment of debt of $121 million as a result of the financing activity that occurred in the third quarter of 2023, partially offset by a gain on extinguishment of debt of $13 million as a result of the financing activity that occurred in the second quarter of 2023. See Note 10. Debt to our consolidated financial statements for further details regarding these debt transactions.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74"/>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33,645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19"/>
                <w:szCs w:val="19"/>
                <w:color w:val="auto"/>
              </w:rPr>
            </w:pPr>
          </w:p>
        </w:tc>
      </w:tr>
      <w:tr>
        <w:trPr>
          <w:trHeight w:val="86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ind w:firstLine="486"/>
        <w:spacing w:after="0" w:line="261" w:lineRule="auto"/>
        <w:rPr>
          <w:sz w:val="20"/>
          <w:szCs w:val="20"/>
          <w:color w:val="auto"/>
        </w:rPr>
      </w:pPr>
      <w:r>
        <w:rPr>
          <w:rFonts w:ascii="Arial" w:cs="Arial" w:eastAsia="Arial" w:hAnsi="Arial"/>
          <w:sz w:val="16"/>
          <w:szCs w:val="16"/>
          <w:color w:val="auto"/>
        </w:rPr>
        <w:t>Other, net increased $34 million for the year ended December 31, 2024 compared to the same period in the prior year primarily due to $21 million in debt modification costs associated with the financing activity that occurred in the fourth quarter of 2024, a $16 million increase primarily due to other non-operating gains recognized in the prior year and a $2 million increase due to realized and unrealized foreign currency exchange losses in the current period. This increase is partially offset by changes in realized and unrealized gains and losses from our investments in securities from a loss of $2 million in the prior year period to a gain of $3 million in the current year period. See Note 12. Fair Value Measurements to our consolidated financial statements for further details regarding our investments in securities and Note 10. Debt to our consolidated financial statements for further details regarding debt transactions.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274"/>
        </w:trPr>
        <w:tc>
          <w:tcPr>
            <w:tcW w:w="5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33,645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(29,538)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bl>
    <w:p>
      <w:pPr>
        <w:spacing w:after="0" w:line="161"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For the year ended December 31, 2024, we recognized $4 million of income tax expense from continuing operations compared to an income tax expense of $34 million for the year ended December 31, 2023. The effective tax rate increased for the year ended December 31, 2024, as compared to the prior year primarily due to the impact of the change in valuation allowance recorded in the current period and various discrete items recorded in each of the respective years. The difference between our effective tax rates and the U.S. federal statutory income tax rate primarily results from valuation allowances, our geographic mix of taxable income in various tax jurisdictions, tax permanent differences and tax credits.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current principal source of liquidity is our cash and cash equivalents on hand. As of December 31, 2025 and 2024, our cash and cash equivalents and outstanding letters of credit were as follows (in thousands):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2024</w:t>
            </w:r>
          </w:p>
        </w:tc>
      </w:tr>
      <w:tr>
        <w:trPr>
          <w:trHeight w:val="21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791,555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724,479</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Outstanding balance under the AR Facility</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82,000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82,200</w:t>
            </w:r>
          </w:p>
        </w:tc>
      </w:tr>
      <w:tr>
        <w:trPr>
          <w:trHeight w:val="216"/>
        </w:trPr>
        <w:tc>
          <w:tcPr>
            <w:tcW w:w="79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Available undrawn balance under the AR Facility</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38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10,963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12,535</w:t>
            </w:r>
          </w:p>
        </w:tc>
      </w:tr>
      <w:tr>
        <w:trPr>
          <w:trHeight w:val="217"/>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Available under the bilateral letter of credit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AR Facility (as defined below) does not include the FILO Facility (as defined below).</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As of December 31, 2025, we had </w:t>
      </w:r>
      <w:r>
        <w:rPr>
          <w:rFonts w:ascii="Arial" w:cs="Arial" w:eastAsia="Arial" w:hAnsi="Arial"/>
          <w:sz w:val="16"/>
          <w:szCs w:val="16"/>
          <w:color w:val="212529"/>
        </w:rPr>
        <w:t>$82 million</w:t>
      </w:r>
      <w:r>
        <w:rPr>
          <w:rFonts w:ascii="Arial" w:cs="Arial" w:eastAsia="Arial" w:hAnsi="Arial"/>
          <w:sz w:val="16"/>
          <w:szCs w:val="16"/>
          <w:color w:val="auto"/>
        </w:rPr>
        <w:t xml:space="preserve"> outstanding under the AR Facility. </w:t>
      </w:r>
      <w:r>
        <w:rPr>
          <w:rFonts w:ascii="Arial" w:cs="Arial" w:eastAsia="Arial" w:hAnsi="Arial"/>
          <w:sz w:val="16"/>
          <w:szCs w:val="16"/>
          <w:color w:val="212529"/>
        </w:rPr>
        <w:t>The</w:t>
      </w:r>
      <w:r>
        <w:rPr>
          <w:rFonts w:ascii="Arial" w:cs="Arial" w:eastAsia="Arial" w:hAnsi="Arial"/>
          <w:sz w:val="16"/>
          <w:szCs w:val="16"/>
          <w:color w:val="auto"/>
        </w:rPr>
        <w:t xml:space="preserve"> AR Facility matures on </w:t>
      </w:r>
      <w:r>
        <w:rPr>
          <w:rFonts w:ascii="Arial" w:cs="Arial" w:eastAsia="Arial" w:hAnsi="Arial"/>
          <w:sz w:val="16"/>
          <w:szCs w:val="16"/>
          <w:color w:val="212529"/>
        </w:rPr>
        <w:t>March 29, 2027 and</w:t>
      </w:r>
      <w:r>
        <w:rPr>
          <w:rFonts w:ascii="Arial" w:cs="Arial" w:eastAsia="Arial" w:hAnsi="Arial"/>
          <w:sz w:val="16"/>
          <w:szCs w:val="16"/>
          <w:color w:val="auto"/>
        </w:rPr>
        <w:t xml:space="preserve"> allows us the ability to prepay the principal amount prior to the maturity date without penalty. See Note 10. Debt to our consolidated financial statements.</w:t>
      </w:r>
    </w:p>
    <w:p>
      <w:pPr>
        <w:spacing w:after="0" w:line="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2025 and 2024. We had $21 million held as cash collateral for standby letters of credit in restricted cash on our consolidated balance sheets as of December 31, 2025 and 2024 and $98 million in restricted cash for purposes of redeeming the 8.625% senior secured notes due 2027, in 2026, on our consolidated balance sheet as of December 31, 2025.</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7" w:name="page38"/>
    <w:bookmarkEnd w:id="37"/>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We have experienced volume growth that has generally leveled off, which may continue into the future and could impact our rate of growth.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 including the aggregate payment of approximately $248 million of principal due or committed to be redeemed early under our current debt facilities.</w:t>
      </w:r>
    </w:p>
    <w:p>
      <w:pPr>
        <w:spacing w:after="0" w:line="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In 2024 and 2025, we refinanced and extended the maturity date on portions of our debt, which increased our interest rates at the time of these transactions and reduced our liquidity due to our utilizing cash from our balance sheet. In addition, during this period, we repaid debt using cash from our balance sheet of $96 million. Further, we used proceeds of $822 million from the sale of Hospitality Solutions to pay down debt and added approximately $135 million of cash to the balance sheet, in accordance with the terms of the Amended and Restated Credit Agreement, dated as of February 19, 2013 (the "Amended and Restated Credit Agreement"). We believe our cash position and the liquidity measures we have taken will provide additional flexibility as we manage through continued headwinds. The 2026 Exchangeable Notes (as defined below) of </w:t>
      </w:r>
      <w:r>
        <w:rPr>
          <w:rFonts w:ascii="Arial" w:cs="Arial" w:eastAsia="Arial" w:hAnsi="Arial"/>
          <w:sz w:val="16"/>
          <w:szCs w:val="16"/>
          <w:color w:val="212529"/>
        </w:rPr>
        <w:t>$150 million</w:t>
      </w:r>
      <w:r>
        <w:rPr>
          <w:rFonts w:ascii="Arial" w:cs="Arial" w:eastAsia="Arial" w:hAnsi="Arial"/>
          <w:sz w:val="16"/>
          <w:szCs w:val="16"/>
          <w:color w:val="auto"/>
        </w:rPr>
        <w:t xml:space="preserve"> mature in August 2026 and the Securitization Facility (as defined below) of </w:t>
      </w:r>
      <w:r>
        <w:rPr>
          <w:rFonts w:ascii="Arial" w:cs="Arial" w:eastAsia="Arial" w:hAnsi="Arial"/>
          <w:sz w:val="16"/>
          <w:szCs w:val="16"/>
          <w:color w:val="212529"/>
        </w:rPr>
        <w:t>$202 million</w:t>
      </w:r>
      <w:r>
        <w:rPr>
          <w:rFonts w:ascii="Arial" w:cs="Arial" w:eastAsia="Arial" w:hAnsi="Arial"/>
          <w:sz w:val="16"/>
          <w:szCs w:val="16"/>
          <w:color w:val="auto"/>
        </w:rPr>
        <w:t xml:space="preserve"> matures in March 2027. No further maturities occur until 2029.</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announced that we are implementing a program in 2026, designed to offset normal inflationary pressures over the next two to three years, with the goal of keeping technology costs and selling, general and administrative costs relatively flat when compared to 2025. Costs associated with this program are expected to be approximately $65 million, with the majority of disbursements occurring in 2026. We are currently evaluating measures to enhance our financial position, which may include implementing additional refinancings, profit improvement initiatives, and other operational efficiencies; these actions may result in the incurrence of initial upfront costs.</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service our debt as it becomes due, and pay other long-term liabilities. Free cash flow is calculated as cash flow from operations reduced by additions to property and equipment. Cash provided by operations for full year 2026 is expected to be approximately $10 million and free cash flow is expected to be approximately negative $70 million, driven primarily by the impact of restructuring costs associated with our inflation offset program.</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regularly evaluated and considered, and in the future we will continue to evaluate and consider, strategic acquisitions, divestitures, joint ventures, equity method investments, refinancing our existing debt or repurchasing our outstanding debt obligations in open market or in privately negotiated transactions or otherwise,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asset sales.</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While our business has incurred net losses on a GAAP basis, we recognized federal taxable income in 2025 based on our operating and non-operating results pursuant to the provisions of the Tax Cuts and Jobs Act that limit interest expense deduction and the annual use of net operating loss (“NOL”) carryforwards and requires companies to capitalize and amortize research and development costs. 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effects of the OBBBA in our consolidated financial statements, and certain provisions of OBBBA, such as the reinstatement of bonus depreciation, full expensing of R&amp;D expenses, and increases in the limitation of interest deductibility, have provided a U.S. federal cash tax benefit for 2025. Additionally, several countries, primarily Canada and in Europe, have adopted DST on revenue earned by multinational companies from the provision of certain digital services, such as the use of an online marketplace, regardless of physical presence. As DSTs are proposed, enacted or changed in jurisdictions around the world, we monitor such legislation and determine its applicability to our operations in these jurisdictions. We record DST in selling, general and administrative costs in the consolidated statements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8" w:name="page39"/>
    <w:bookmarkEnd w:id="38"/>
    <w:p>
      <w:pPr>
        <w:ind w:left="50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material cash requirements consist of the following contractual obligations, excluding pension obligations. See Note 17. Pension and Other Postretirement Benefit Plans to our consolidated financial statements. We had no off balance sheet arrangements during the years ended December 31, 2025, 2024 and 2023.</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debt obligation includes all interest and principal of borrowings under our senior secured credit facilities, securitization facility, senior secured notes due 2027, 2029 and 2030 and senior exchangeable notes due 2026. Under certain circumstances, we are required to pay a percentage of the excess cash flow, if any, generated each year to our lenders which is not reflected in the amount disclosed below. Interest on the senior secured credit facilities and securitization facility is based on the Secured Overnight Financing Rate ("SOFR") rate plus a base margin and includes the effect of interest rate swaps. See Note 10. Debt to our consolidated financial statements. As of December 31, 2025, we had a total debt obligation, including interest, of $6 billion, with $734 million due within the next 12 months. For purposes of this disclosure, we have used projected SOFR for all future periods.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Lease obligations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lease approximately 725 thousand square feet of office space in 49 locations in 37 countries. Lease payment escalations are based on fixed annual increases, local consumer price index changes or market rental reviews. We have renewal options of various term lengths in approximately 19 of our 72 leases. We have no purchase options and no restrictions imposed by our leases concerning dividends or additional debt. See Note 13. Leases to our consolidated financial statements. As of December 31, 2025, we had total lease obligations of $79 million, with $16 million due within the next 12 months.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agreements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Certain agreements with technology providers, including for the provision of outsourcing services for our IT infrastructure and applications and the provision of certain cloud-based services, include minimum amounts due for the provision of those services. Contractual minimums are annual in some instances and span multiple years in other contracts. As of December 31, 2025, we had total technology agreement obligations of $2.1 billion, with $337 million due within the next 12 months. Actual payments may vary significantly from the minimum amounts calculated and include our estimated spend for those contracts with committed spend covering multiple years.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Purchase obligations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Purchase obligations represent an estimate of open purchase orders and contractual obligations in the ordinary course of business for which we have not received the goods or services as of December 31, 2025. Although open purchase orders are considered enforceable and legally binding, the terms generally allow us the option to cancel, reschedule and adjust our requirements based on our business needs prior to the delivery of goods or performance of services. As of December 31, 2025, we had a total purchase obligation of $273 million, with $225 million due within the next 12 months.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Letters of credit</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letters of credit consist of stand-by letters of credit, underwritten by a group of lenders and backed by cash collateral, which we primarily issue in the normal course of business. There were no claims made against any standby letters of credit during the years ended December 31, 2025, 2024 and 2023. As of December 31, 2025, we had a total obligation of $11 million, with $10 million due within the next 12 months.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Uncertain tax positions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Uncertain tax positions include associated interest and penalties. The timing of related cash payments for substantially all of these liabilities is inherently uncertain because the ultimate amount and timing of such liabilities is affected by factors which are variable and outside our control. As of December 31, 2025, we had a total obligation of $48 million. It is reasonably possible that $9 million in uncertain tax positions may be resolved in the next 12 months, due to statute of limitations expiration.</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of December 31, 2025, our outstanding debt totaled $4.3 billion, which is net of debt issuance costs and unamortized discounts of $183 million. Currently approximately 10% of our debt, net of cash and hedging impacts from interest rates swaps, is variable and impacted by changes in interest rates. See “Risk Factors—We are exposed to interest rate fluctuations." From time to time, we review and consider opportunities to refinance or repurchase our existing debt, as well as conduct debt or equity offerings to support future strategic investments, support operational requirements, provide additional liquidity, or pay down debt.</w:t>
      </w:r>
    </w:p>
    <w:p>
      <w:pPr>
        <w:spacing w:after="0" w:line="6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Global capital markets experienced sustained volatility throughout 2025, driven by escalating geopolitical conflicts—including the prolonged war in Ukraine and renewed Middle East hostilities—rising trade frictions and tariff related disruptions, and continued ambiguity regarding inflation trends and the future path of U.S. monetary policy. During 2024 and 2025, we refinanced portions of our debt which resulted in interest rates higher than prior years, increasing current and future interest expense. Through June 4, 2025, the 2023 term loan credit agreement governing the senior secured term loan due 2028 (the “2028 Term Loan") provided the ability for interest to be payable-in-kind, such that amounts due were capitalized into the note balance at the payment date rather than paid in cash, reducing our near-term cash payments for interest on this debt. On June 4, 2025, we repaid all outstanding borrowings under the 2028 Term Loan. Subject to market conditions, we may opportunistically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6"/>
          <w:szCs w:val="16"/>
          <w:color w:val="auto"/>
        </w:rPr>
        <w:t>refinance portions of our debt in the near term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 xml:space="preserve">Under the Amended and Restated Credit Agreement, the loan parties are subject to certain customary non-financial covenants, including restrictions on incurring certain types of indebtedness, creation of liens on certain assets, making of certain investments, and payment of dividends. In the first quarter of 2023, we entered into the AR Facility of up to </w:t>
      </w:r>
      <w:r>
        <w:rPr>
          <w:rFonts w:ascii="Arial" w:cs="Arial" w:eastAsia="Arial" w:hAnsi="Arial"/>
          <w:sz w:val="16"/>
          <w:szCs w:val="16"/>
          <w:color w:val="212529"/>
        </w:rPr>
        <w:t>$200 million,</w:t>
      </w:r>
      <w:r>
        <w:rPr>
          <w:rFonts w:ascii="Arial" w:cs="Arial" w:eastAsia="Arial" w:hAnsi="Arial"/>
          <w:sz w:val="16"/>
          <w:szCs w:val="16"/>
          <w:color w:val="auto"/>
        </w:rPr>
        <w:t xml:space="preserve"> and in the first quarter of 2024, we increased the overall size of the AR Facility through the FILO Facility, resulting in a Securitization Facility of </w:t>
      </w:r>
      <w:r>
        <w:rPr>
          <w:rFonts w:ascii="Arial" w:cs="Arial" w:eastAsia="Arial" w:hAnsi="Arial"/>
          <w:sz w:val="16"/>
          <w:szCs w:val="16"/>
          <w:color w:val="212529"/>
        </w:rPr>
        <w:t>$235 million (as each of such terms is defined below)</w:t>
      </w:r>
      <w:r>
        <w:rPr>
          <w:rFonts w:ascii="Arial" w:cs="Arial" w:eastAsia="Arial" w:hAnsi="Arial"/>
          <w:sz w:val="16"/>
          <w:szCs w:val="16"/>
          <w:color w:val="auto"/>
        </w:rPr>
        <w:t>. In December 2025, we entered into a series of transactions governing our newly issued 11.125% senior secured notes due 2029 (the “June 2029 Notes”), including an intercompany loan agreement (the "2025 Pari Passu Loan Agreement"), which provide for up to $1 billion in aggregate principal amount and requires certain covenants to ensure collateral of the applicable foreign guarantors meet certain minimum levels. The June 2029 Notes also include various non-financial covenants, including restrictions on making certain investments, disposition activities and affiliate transactions. In addition, the June 2029 Notes contain customary prepayment events and financial and negative covenants and other representations, covenants and events of default based on, but in certain instances more restrictive than, the Amended and Restated Credit Agreement. As of December 31, 2025, we were in compliance with all covenants under the terms of the Amended and Restated Credit Agreement, the Securitization Facility (as defined below), the June 2029 Notes and the 2025 Pari Passu Loan Agreement.</w:t>
      </w:r>
    </w:p>
    <w:p>
      <w:pPr>
        <w:spacing w:after="0" w:line="8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2024, we were not required to make an excess cash flow payment in 2025, and no excess cash flow payment is expected to be required in 2026 with respect to our results for the year ended December 31, 2025. We are further required to pay down the term loans with proceeds from certain asset sales, net of taxes, or borrowings, that are not otherwise reinvested in the business, as provided in the Amended and Restated Credit Agreement.</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Following the closing of the Hospitality Solutions Sale, we used the net proceeds primarily to repay a portion of our outstanding indebtedness, including repayments under our (i) 2021 Term Loan B-2 in the amount of $158 million, (ii) 2022 Term Loan B-1 in the amount of $164 million, (iii) 2022 Term Loan B-2 in the amount of $178 million, and (iv) 2024 Term Loan B-1 in the amount of $299 million, in accordance with the terms of the Amended and Restated Credit Agreement. We recognized a loss on extinguishment of debt during the year ended December 31, 2025 of approximately $14 million in discontinued operations within our results of operations, primarily consisting of unamortized debt issuance cost and discount associated with these prepayments. In addition, receivables related to the Hospitality Solutions business were removed from the </w:t>
      </w:r>
      <w:r>
        <w:rPr>
          <w:rFonts w:ascii="Arial" w:cs="Arial" w:eastAsia="Arial" w:hAnsi="Arial"/>
          <w:sz w:val="16"/>
          <w:szCs w:val="16"/>
          <w:color w:val="212529"/>
        </w:rPr>
        <w:t>Securitization Facility</w:t>
      </w:r>
      <w:r>
        <w:rPr>
          <w:rFonts w:ascii="Arial" w:cs="Arial" w:eastAsia="Arial" w:hAnsi="Arial"/>
          <w:sz w:val="16"/>
          <w:szCs w:val="16"/>
          <w:color w:val="auto"/>
        </w:rPr>
        <w:t xml:space="preserve"> on July 3, 2025, and we repaid $23 million of the outstanding balance on our </w:t>
      </w:r>
      <w:r>
        <w:rPr>
          <w:rFonts w:ascii="Arial" w:cs="Arial" w:eastAsia="Arial" w:hAnsi="Arial"/>
          <w:sz w:val="16"/>
          <w:szCs w:val="16"/>
          <w:color w:val="212529"/>
        </w:rPr>
        <w:t>Securitization Facility</w:t>
      </w:r>
      <w:r>
        <w:rPr>
          <w:rFonts w:ascii="Arial" w:cs="Arial" w:eastAsia="Arial" w:hAnsi="Arial"/>
          <w:sz w:val="16"/>
          <w:szCs w:val="16"/>
          <w:color w:val="auto"/>
        </w:rPr>
        <w: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Credit Facilities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jc w:val="both"/>
        <w:ind w:firstLine="486"/>
        <w:spacing w:after="0" w:line="256" w:lineRule="auto"/>
        <w:rPr>
          <w:sz w:val="20"/>
          <w:szCs w:val="20"/>
          <w:color w:val="auto"/>
        </w:rPr>
      </w:pPr>
      <w:r>
        <w:rPr>
          <w:rFonts w:ascii="Arial" w:cs="Arial" w:eastAsia="Arial" w:hAnsi="Arial"/>
          <w:sz w:val="16"/>
          <w:szCs w:val="16"/>
          <w:color w:val="auto"/>
        </w:rPr>
        <w:t>On November 25, 2024, we entered into a third and fourth amendment to the Amended and Restated Credit Agreement (together, the “Term Loan B Amendments”) to which Sabre GLBL agreed to exchange $775 million of our then-existing senior secured term loans for the same amount of new senior secured term loans maturing on November 15, 2029 (the “2024 Term Loans”). We incurred no additional indebtedness as a result of this refinancing. The Term Loan B Amendments included the application of the proceeds of a new $700 million and $75 million term loan “B” facility (the “2024 Term Loan B-1” and the ”2024 Term Loan B-2”, respectively), borrowed by Sabre GLBL under the Amended and Restated Credit Agreement, with the effect of extending the maturity of approximately $775 million of the then-existing Term Loan B credit facility under the Amended and Restated Credit Agreement. Sabre GLBL did not receive any cash proceeds from the exchange and did not incur additional indebtedness as a 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December 31, 2025. We determined that the Term Loan B Amendments represented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then-existing term loans, including guarantees and security interests.</w:t>
      </w:r>
    </w:p>
    <w:p>
      <w:pPr>
        <w:spacing w:after="0" w:line="7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9, 2025, we entered into a tenth and eleventh amendment (together, the “2025 Term Loan B Amendments”) to the Amended and Restated Credit Agreement pursuant to which Sabre GLBL agreed to exchange $347 million of the existing senior secured term loans (the “Existing Term Loans”) for $375 million of new senior secured term loans maturing on July 30, 2029 (the “2025 Term Loans”). The 2025 Term Loan B Amendments included the application of the proceeds of a new $288 million and $87 million term loan “B” facility (the “2025 Term Loan B-1” and the”2025 Term Loan B-2”, respectively), borrowed by Sabre GLBL under our Amended and Restated Credit Agreement, with the effect of extending the maturity of approximately $347 million of the existing Term Loan B credit facility under the Amended and Restated Credit Agreement. Sabre GLBL did not receive any cash proceeds from the exchange. We incurred third-party fees of approximately $5 million plus $2 million of accrued and unpaid interest, which were paid in cash, during the year ending December 31, 2025. We determined that the Term Loan B Amendments represent a debt modification and therefore we expensed all $5 million of third-party costs, to other, net in our consolidated statements of operations for the year ended December 31, 2025 and are included in cash flow from operations as paid. The 2025 Term Loan B-1 and 2025 Term Loan B-2 mature on July 30, 2029. They offer us the ability to prepay or repay with a 1.0% call premium on or prior to the six-month anniversary of the amendment effective date, or without a call premium thereafter. The 2025 Term Loans bear interest at term SOFR, plus an applicable margin of 625 basis points, or at base rate, plus an applicable margin of 525 basis points. The term SOFR for the 2025 Term Loans is subject to a floor of 0.50% per annum and the base rate is subject to a floor of 1.50% per annum. Except for the extended maturity and new pricing terms, the 2025 Term Loans have substantially similar terms as the Existing Term Loans, including guarantees and security interests.</w:t>
      </w:r>
    </w:p>
    <w:p>
      <w:pPr>
        <w:spacing w:after="0" w:line="8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 consisting of the write off of unamortized discount of $4 million and unamortized debt issuance costs of $1 million.</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Notes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 xml:space="preserve">On March 7, 2024, Sabre GLBL exchanged approximately $36 million of our then-outstanding 7.375% senior secured notes due 2025 (the “September 2025 Notes”) and approximately $7 million of our then-outstanding 9.250% senior secured notes due 2025 (the “April 2025 Notes”) for approximately $50 million aggregate principal amount of additional 8.625% senior secured notes due 2027 (the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issued in September 2023. We incurred additional fees of approximately $1 million, which were funded with cash on hand. We determined that the March 2024 Senior Secured Exchange Transaction, including the impact of the exchange fees, represented a debt extinguishment and therefore recognized a loss on extinguishment of debt during the year ended </w:t>
      </w:r>
      <w:r>
        <w:rPr>
          <w:rFonts w:ascii="Arial" w:cs="Arial" w:eastAsia="Arial" w:hAnsi="Arial"/>
          <w:sz w:val="16"/>
          <w:szCs w:val="16"/>
          <w:color w:val="212529"/>
        </w:rPr>
        <w:t>December 31, 2024</w:t>
      </w:r>
      <w:r>
        <w:rPr>
          <w:rFonts w:ascii="Arial" w:cs="Arial" w:eastAsia="Arial" w:hAnsi="Arial"/>
          <w:sz w:val="16"/>
          <w:szCs w:val="16"/>
          <w:color w:val="auto"/>
        </w:rPr>
        <w:t xml:space="preserve"> of approximately $7 million, primarily consisting of exchange fees related to the June 2027 Notes. The April 2025 Notes and the September 2025 Notes matured and were repaid in full in the second and third quarters of 2025,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the then-outstanding April 2025 Notes and approximately $4 million of the then-outstanding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represented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an intercompany loan agreement with Sabre Financial Borrower, LLC, which applied such amounts toward full prepayment of Sabre Financial Borrower, LLC’s 2028 Term Loan; and (ii) 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new note issuance costs. We concluded that the June 2025 Refinancing represented a debt extinguishment and therefore recognized a loss on extinguishment of debt during the year ended December 31, 2025 of approximately $85 million.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28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5, 2025, Sabre Financial Borrower, LLC (“Sabre FB”), our indirect, consolidated subsidiary entered into a series of transactions governing Sabre FB's newly issued 11.125% senior secured notes due 2029 (the “June 2029 Notes”) and an intercompany loan agreement (the "2025 Pari Passu Loan Agreement"). The June 2029 Notes were issued in an aggregate principal amount of $1 billion, subject to Sabre FB using the proceeds from the June 2029 Notes for an intercompany loan to Sabre GLBL. On December 5, 2025, Sabre FB borrowed the full $1 billion amount under the June 2029 Notes and lent the funds to Sabre GLBL under the 2025 Pari Passu Loan Agreement. Sabre FB’s obligations under the June 2029 Notes are required to be guaranteed on a secured basis by Sabre Financing Holdings LLC (“Sabre Financing”) and, up to an amount of $400 million certain of our existing and future foreign subsidiaries (the “Foreign Guarantors”). The June 2029 Notes pay interest semiannually in arrears on June 15 and December 15 of each year, beginning on June 15, 2026,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or will be redeemed in the first quarter of 2026), plus $15 million of accrued interest and $13 million of third party costs related to these transactions (refer to the 2025 Term Loan B Amendments above and December 2025 Senior Secured Exchange Transaction defined below for more details). The remaining proceeds were partially used to pay $19 million in debt issuance costs.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ind w:firstLine="486"/>
        <w:spacing w:after="0" w:line="258" w:lineRule="auto"/>
        <w:rPr>
          <w:sz w:val="20"/>
          <w:szCs w:val="20"/>
          <w:color w:val="auto"/>
        </w:rPr>
      </w:pPr>
      <w:r>
        <w:rPr>
          <w:rFonts w:ascii="Arial" w:cs="Arial" w:eastAsia="Arial" w:hAnsi="Arial"/>
          <w:sz w:val="16"/>
          <w:szCs w:val="16"/>
          <w:color w:val="auto"/>
        </w:rPr>
        <w:t>On December 8, 2025, Sabre GLBL exchanged approximately $379 million in principal amount of the November 2029 Notes, $240 million in principal amount of the June 2027 Notes and $44 million in principal amount of the December 2027 Notes for approximately $470 million of new 10.750% senior secured notes due March 2030 (the “March 2030 Notes”) and $237 million in cash, inclusive of early exchange consideration, which was recorded as a discount (the "December 2025 Senior Secured Exchange Transaction"). The March 2030 Notes bear interest at a rate of 10.750% per annum, and interest payments are due semi-annually in arrears on March 15 and September 15 of each year, beginning on March 15, 2026. The March 2030 Notes mature on March 15, 2030. We incurred $7 million in fees, along with $11 million in accrued and unpaid interest. We determined that the December 2025 Senior Secured Exchange Transaction, including the impact of the early exchange consideration, represents a debt modification and therefore, expensed $7 million of debt modification costs in other, net in our consolidated statements of operations for the year ended December 31, 2025 and included in cash flow from operations as paid. The March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December 23, 2025, we issued a notice of full redemption to redeem all $92 million in aggregate principal amount of the June 2027 Notes on March 1, 2026 for a redemption price equal to 102.156% of the aggregate principal amount of the June 2027 Notes to be redeemed plus accrued, but unpaid interest, to, but not including, the redemption date. On December 23, 2025, we irrevocably deposited or caused to be deposited funds in trust solely for the benefit of holders of the June 2027 Notes of $98 million, which is an amount sufficient to fully pay the redemption price. The $98 million is presented in restricted cash on our consolidated balance sheet as of December 31, 2025 and is made up of the following: $92 million principal amount due, $2 million call premium and $4 million of accrued interest through February 28, 2026. The debt will be repaid by the trustee at the early call price on March 2, 2026 under the terms of the notes.</w:t>
      </w:r>
    </w:p>
    <w:p>
      <w:pPr>
        <w:spacing w:after="0" w:line="82"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Subsequent to December 31, 2025, on January 22, 2026, we repaid the outstanding balance of our December 2027 Notes of $2 million in full, inclusive of redemption premiums and accrued and unpaid interest.</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Exchangeable Notes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our then-outstanding </w:t>
      </w:r>
      <w:r>
        <w:rPr>
          <w:rFonts w:ascii="Arial" w:cs="Arial" w:eastAsia="Arial" w:hAnsi="Arial"/>
          <w:sz w:val="16"/>
          <w:szCs w:val="16"/>
          <w:color w:val="000000"/>
        </w:rPr>
        <w:t>4.000% senior exchangeable notes due</w:t>
      </w:r>
      <w:r>
        <w:rPr>
          <w:rFonts w:ascii="Arial" w:cs="Arial" w:eastAsia="Arial" w:hAnsi="Arial"/>
          <w:sz w:val="16"/>
          <w:szCs w:val="16"/>
          <w:color w:val="212529"/>
        </w:rPr>
        <w:t xml:space="preserve"> </w:t>
      </w:r>
      <w:r>
        <w:rPr>
          <w:rFonts w:ascii="Arial" w:cs="Arial" w:eastAsia="Arial" w:hAnsi="Arial"/>
          <w:sz w:val="16"/>
          <w:szCs w:val="16"/>
          <w:color w:val="000000"/>
        </w:rPr>
        <w:t xml:space="preserve">2025 (the “2025 Exchangeable Notes”) </w:t>
      </w:r>
      <w:r>
        <w:rPr>
          <w:rFonts w:ascii="Arial" w:cs="Arial" w:eastAsia="Arial" w:hAnsi="Arial"/>
          <w:sz w:val="16"/>
          <w:szCs w:val="16"/>
          <w:color w:val="212529"/>
        </w:rPr>
        <w:t>for $150 million aggregate principal amount of Sabre GLBL's newly-issued 7.32% senior exchangeable notes due</w:t>
      </w:r>
      <w:r>
        <w:rPr>
          <w:rFonts w:ascii="Arial" w:cs="Arial" w:eastAsia="Arial" w:hAnsi="Arial"/>
          <w:sz w:val="16"/>
          <w:szCs w:val="16"/>
          <w:color w:val="000000"/>
        </w:rPr>
        <w:t xml:space="preserve"> </w:t>
      </w:r>
      <w:r>
        <w:rPr>
          <w:rFonts w:ascii="Arial" w:cs="Arial" w:eastAsia="Arial" w:hAnsi="Arial"/>
          <w:sz w:val="16"/>
          <w:szCs w:val="16"/>
          <w:color w:val="212529"/>
        </w:rPr>
        <w:t xml:space="preserve">2026 (the "2026 Exchangeable Notes" and, together with the 2025 Exchangeable Notes, the "Exchangeable Notes") and approximately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 of the exchange fees, represents a debt extinguishment and therefore recognized a loss on extinguishment of</w:t>
      </w:r>
      <w:r>
        <w:rPr>
          <w:rFonts w:ascii="Arial" w:cs="Arial" w:eastAsia="Arial" w:hAnsi="Arial"/>
          <w:sz w:val="16"/>
          <w:szCs w:val="16"/>
          <w:color w:val="212529"/>
        </w:rPr>
        <w:t xml:space="preserve"> </w:t>
      </w:r>
      <w:r>
        <w:rPr>
          <w:rFonts w:ascii="Arial" w:cs="Arial" w:eastAsia="Arial" w:hAnsi="Arial"/>
          <w:sz w:val="16"/>
          <w:szCs w:val="16"/>
          <w:color w:val="000000"/>
        </w:rPr>
        <w:t xml:space="preserve">debt of $31 million.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 payable</w:t>
      </w:r>
      <w:r>
        <w:rPr>
          <w:rFonts w:ascii="Arial" w:cs="Arial" w:eastAsia="Arial" w:hAnsi="Arial"/>
          <w:sz w:val="16"/>
          <w:szCs w:val="16"/>
          <w:color w:val="000000"/>
        </w:rPr>
        <w:t xml:space="preserve"> </w:t>
      </w:r>
      <w:r>
        <w:rPr>
          <w:rFonts w:ascii="Arial" w:cs="Arial" w:eastAsia="Arial" w:hAnsi="Arial"/>
          <w:sz w:val="16"/>
          <w:szCs w:val="16"/>
          <w:color w:val="212529"/>
        </w:rPr>
        <w:t xml:space="preserve">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As of December 31, 2025, we have </w:t>
      </w:r>
      <w:r>
        <w:rPr>
          <w:rFonts w:ascii="Arial" w:cs="Arial" w:eastAsia="Arial" w:hAnsi="Arial"/>
          <w:sz w:val="16"/>
          <w:szCs w:val="16"/>
          <w:color w:val="000000"/>
        </w:rPr>
        <w:t>$150 million</w:t>
      </w:r>
      <w:r>
        <w:rPr>
          <w:rFonts w:ascii="Arial" w:cs="Arial" w:eastAsia="Arial" w:hAnsi="Arial"/>
          <w:sz w:val="16"/>
          <w:szCs w:val="16"/>
          <w:color w:val="212529"/>
        </w:rPr>
        <w:t xml:space="preserve"> aggregate principal amount of 2026 Exchangeable Notes outstanding. The 2025 Exchangeable Notes matured on </w:t>
      </w:r>
      <w:r>
        <w:rPr>
          <w:rFonts w:ascii="Arial" w:cs="Arial" w:eastAsia="Arial" w:hAnsi="Arial"/>
          <w:sz w:val="16"/>
          <w:szCs w:val="16"/>
          <w:color w:val="000000"/>
        </w:rPr>
        <w:t>April 15, 2025</w:t>
      </w:r>
      <w:r>
        <w:rPr>
          <w:rFonts w:ascii="Arial" w:cs="Arial" w:eastAsia="Arial" w:hAnsi="Arial"/>
          <w:sz w:val="16"/>
          <w:szCs w:val="16"/>
          <w:color w:val="212529"/>
        </w:rPr>
        <w:t>, and were settled with cash</w:t>
      </w:r>
      <w:r>
        <w:rPr>
          <w:rFonts w:ascii="Arial" w:cs="Arial" w:eastAsia="Arial" w:hAnsi="Arial"/>
          <w:sz w:val="16"/>
          <w:szCs w:val="16"/>
          <w:color w:val="000000"/>
        </w:rPr>
        <w:t>.</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Securitization Facility</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December 31, 2025</w:t>
      </w:r>
      <w:r>
        <w:rPr>
          <w:rFonts w:ascii="Arial" w:cs="Arial" w:eastAsia="Arial" w:hAnsi="Arial"/>
          <w:sz w:val="16"/>
          <w:szCs w:val="16"/>
          <w:color w:val="212529"/>
        </w:rPr>
        <w:t>, we had $202 million outstanding under the Securitization Facility, consisting of $82 million under the AR Facility and $120 million outstanding under the FILO Facility.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the cash management measures we undertook as a result of the market conditions caused by COVID-19. During the year ended December 31, 2025, we did not repurchase any shares pursuant to the Share Repurchase Program. As of December 31, 2025, the Share Repurchase Program remains suspended and approximately $287 million remains authorized for repurchases. In addition, the terms of certain of the agreements governing our indebtedness contain covenants that, among other things, limit our ability to repurchase our common stock. See “Risk Factors—The terms of our debt covenants could limit our discretion in operating our business and any failure to comply with such covenants could result in the default of all of our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Cash used in operating activities totaled $109 million for the year ended December 31, 2025. The $179 million decrease in operating cash flow from 2024 was primarily due to payments in June 2025 of previously paid-in-kind interest and currently accrued interest of $227 million in connection with refinancing our 2028 Term Loan, partially offset by a $23 million decrease in interest payments in connection with our other debt, a $17 million decrease primarily due to payments in the prior year associated with employee retention plans and an $8 million decrease in debt modification costs associated with refinancing activity.</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Cash provided by operating activities totaled $70 million for the year ended December 31, 2024. The $3 million increase in operating cash flow from 2023 was primarily due to earnings growth, a $16 million decrease in interest payments related to our debt, primarily due to the deferral of paid-in-kind interest and a $31 million decrease in severance payments made in connection with our cost reduction plan. These changes were partially offset by payments of $17 million associated primarily with employee retention plans and $19 million paid for debt modification costs associated with the refinancing activity in the fourth quarter of 2024. Additionally, 2023 benefited from several working capital initiatives, which did not repeat in 2024.</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For the year ended December 31, 2025, we used $83 million of cash for capital expenditures primarily related to software developed for internal use, partially offset by the proceeds received from the sale of assets of $9 million.</w:t>
      </w:r>
    </w:p>
    <w:p>
      <w:pPr>
        <w:spacing w:after="0" w:line="4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For the year ended December 31, 2024, we used $80 million of cash for capital expenditures primarily related to software developed for internal use and acquired software licenses associated with our internal billing systems, partially offset by proceeds received from the sale of investment in securities of $55 million.</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2025, we used $686 million for financing activities. Significant highlights of our financing activities included:</w:t>
      </w:r>
    </w:p>
    <w:p>
      <w:pPr>
        <w:spacing w:after="0" w:line="113" w:lineRule="exact"/>
        <w:rPr>
          <w:sz w:val="20"/>
          <w:szCs w:val="20"/>
          <w:color w:val="auto"/>
        </w:rPr>
      </w:pPr>
    </w:p>
    <w:p>
      <w:pPr>
        <w:jc w:val="both"/>
        <w:ind w:left="820" w:hanging="164"/>
        <w:spacing w:after="0" w:line="271" w:lineRule="auto"/>
        <w:tabs>
          <w:tab w:leader="none" w:pos="809" w:val="left"/>
        </w:tabs>
        <w:numPr>
          <w:ilvl w:val="0"/>
          <w:numId w:val="14"/>
        </w:numPr>
        <w:rPr>
          <w:rFonts w:ascii="Arial" w:cs="Arial" w:eastAsia="Arial" w:hAnsi="Arial"/>
          <w:sz w:val="16"/>
          <w:szCs w:val="16"/>
          <w:color w:val="212529"/>
        </w:rPr>
      </w:pPr>
      <w:r>
        <w:rPr>
          <w:rFonts w:ascii="Arial" w:cs="Arial" w:eastAsia="Arial" w:hAnsi="Arial"/>
          <w:sz w:val="16"/>
          <w:szCs w:val="16"/>
          <w:color w:val="auto"/>
        </w:rPr>
        <w:t xml:space="preserve">payments of $1.781 billion on our 2021 Term Loan B-1, 2021 Term Loan B-2, 2022 Term Loan B-1, 2022 Term Loan B-2, 2024 Term Loan B-1, 2024 Term Loan B-2, 2025 Term Loan B-1 and 2025 Term Loan B-2, $700 million on our 2028 Term Loan, $565 million on our June 2027 Notes, $379 million on our November 2029 Notes, $183 million </w:t>
      </w:r>
      <w:r>
        <w:rPr>
          <w:rFonts w:ascii="Arial" w:cs="Arial" w:eastAsia="Arial" w:hAnsi="Arial"/>
          <w:sz w:val="16"/>
          <w:szCs w:val="16"/>
          <w:color w:val="212529"/>
        </w:rPr>
        <w:t>on our 2025</w:t>
      </w:r>
      <w:r>
        <w:rPr>
          <w:rFonts w:ascii="Arial" w:cs="Arial" w:eastAsia="Arial" w:hAnsi="Arial"/>
          <w:sz w:val="16"/>
          <w:szCs w:val="16"/>
          <w:color w:val="auto"/>
        </w:rPr>
        <w:t xml:space="preserve"> Exchangeable Notes, $44 million on our December 2027 Notes, $23 million on our September 2025 Notes and $10 million on our April 2025 Notes;</w:t>
      </w:r>
    </w:p>
    <w:p>
      <w:pPr>
        <w:spacing w:after="0" w:line="59" w:lineRule="exact"/>
        <w:rPr>
          <w:rFonts w:ascii="Arial" w:cs="Arial" w:eastAsia="Arial" w:hAnsi="Arial"/>
          <w:sz w:val="16"/>
          <w:szCs w:val="16"/>
          <w:color w:val="212529"/>
        </w:rPr>
      </w:pPr>
    </w:p>
    <w:p>
      <w:pPr>
        <w:ind w:left="820" w:hanging="164"/>
        <w:spacing w:after="0" w:line="286" w:lineRule="auto"/>
        <w:tabs>
          <w:tab w:leader="none" w:pos="8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proceeds of $1.325 billion </w:t>
      </w:r>
      <w:r>
        <w:rPr>
          <w:rFonts w:ascii="Arial" w:cs="Arial" w:eastAsia="Arial" w:hAnsi="Arial"/>
          <w:sz w:val="16"/>
          <w:szCs w:val="16"/>
          <w:color w:val="212529"/>
        </w:rPr>
        <w:t>from the issuance of the</w:t>
      </w:r>
      <w:r>
        <w:rPr>
          <w:rFonts w:ascii="Arial" w:cs="Arial" w:eastAsia="Arial" w:hAnsi="Arial"/>
          <w:sz w:val="16"/>
          <w:szCs w:val="16"/>
          <w:color w:val="auto"/>
        </w:rPr>
        <w:t xml:space="preserve"> July 2030 Notes, $347 million from the issuance of the 2025 Term Loan B-1 and B-2, $1 billion from the issuance of the June 2029 Notes, and $426 million from the issuance of the March 2030 Notes</w:t>
      </w:r>
      <w:r>
        <w:rPr>
          <w:rFonts w:ascii="Arial" w:cs="Arial" w:eastAsia="Arial" w:hAnsi="Arial"/>
          <w:sz w:val="16"/>
          <w:szCs w:val="16"/>
          <w:color w:val="212529"/>
        </w:rPr>
        <w:t>;</w:t>
      </w:r>
    </w:p>
    <w:p>
      <w:pPr>
        <w:spacing w:after="0" w:line="61" w:lineRule="exact"/>
        <w:rPr>
          <w:rFonts w:ascii="Arial" w:cs="Arial" w:eastAsia="Arial" w:hAnsi="Arial"/>
          <w:sz w:val="16"/>
          <w:szCs w:val="16"/>
          <w:color w:val="auto"/>
        </w:rPr>
      </w:pPr>
    </w:p>
    <w:p>
      <w:pPr>
        <w:ind w:left="800" w:hanging="14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$89 million for debt discount and issuance costs;</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payments of $10 million from the settlement of employee stock awards; and</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receipts received on behalf of Hospitality Solutions under the transition services agreement of $2 million.</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For the year ended December 31, 2024, cash provided by financing activities totalled $40 million. Significant highlights of our financing activities included:</w:t>
      </w:r>
    </w:p>
    <w:p>
      <w:pPr>
        <w:spacing w:after="0" w:line="61" w:lineRule="exact"/>
        <w:rPr>
          <w:sz w:val="20"/>
          <w:szCs w:val="20"/>
          <w:color w:val="auto"/>
        </w:rPr>
      </w:pPr>
    </w:p>
    <w:p>
      <w:pPr>
        <w:ind w:left="800" w:hanging="306"/>
        <w:spacing w:after="0"/>
        <w:tabs>
          <w:tab w:leader="none" w:pos="800" w:val="left"/>
        </w:tabs>
        <w:numPr>
          <w:ilvl w:val="0"/>
          <w:numId w:val="15"/>
        </w:numPr>
        <w:rPr>
          <w:rFonts w:ascii="Arial" w:cs="Arial" w:eastAsia="Arial" w:hAnsi="Arial"/>
          <w:sz w:val="16"/>
          <w:szCs w:val="16"/>
          <w:i w:val="1"/>
          <w:iCs w:val="1"/>
          <w:color w:val="212529"/>
        </w:rPr>
      </w:pPr>
      <w:r>
        <w:rPr>
          <w:rFonts w:ascii="Arial" w:cs="Arial" w:eastAsia="Arial" w:hAnsi="Arial"/>
          <w:sz w:val="16"/>
          <w:szCs w:val="16"/>
          <w:color w:val="auto"/>
        </w:rPr>
        <w:t>proceeds of $780 million from the issuance of the November 2029 Notes;</w:t>
      </w:r>
    </w:p>
    <w:p>
      <w:pPr>
        <w:spacing w:after="0" w:line="113" w:lineRule="exact"/>
        <w:rPr>
          <w:rFonts w:ascii="Arial" w:cs="Arial" w:eastAsia="Arial" w:hAnsi="Arial"/>
          <w:sz w:val="16"/>
          <w:szCs w:val="16"/>
          <w:i w:val="1"/>
          <w:iCs w:val="1"/>
          <w:color w:val="212529"/>
        </w:rPr>
      </w:pPr>
    </w:p>
    <w:p>
      <w:pPr>
        <w:ind w:left="820" w:hanging="164"/>
        <w:spacing w:after="0" w:line="286" w:lineRule="auto"/>
        <w:tabs>
          <w:tab w:leader="none" w:pos="8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payment of $509 million on the December 2027 Notes, payment of $246 million on the June 2027 Notes, payment of $21 million of the then-outstanding April 2025 Notes and payment of $4 million of the then-outstanding September 2025 Notes;</w:t>
      </w:r>
    </w:p>
    <w:p>
      <w:pPr>
        <w:spacing w:after="0" w:line="61" w:lineRule="exact"/>
        <w:rPr>
          <w:rFonts w:ascii="Arial" w:cs="Arial" w:eastAsia="Arial" w:hAnsi="Arial"/>
          <w:sz w:val="16"/>
          <w:szCs w:val="16"/>
          <w:color w:val="auto"/>
        </w:rPr>
      </w:pPr>
    </w:p>
    <w:p>
      <w:pPr>
        <w:ind w:left="800" w:hanging="144"/>
        <w:spacing w:after="0"/>
        <w:tabs>
          <w:tab w:leader="none" w:pos="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proceeds of $775 million from the issuance of the 2024 Term Loans;</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payment of $775 million on our then-existing Term Loans;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44" w:name="page45"/>
    <w:bookmarkEnd w:id="44"/>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proceeds of </w:t>
      </w:r>
      <w:r>
        <w:rPr>
          <w:rFonts w:ascii="Arial" w:cs="Arial" w:eastAsia="Arial" w:hAnsi="Arial"/>
          <w:sz w:val="16"/>
          <w:szCs w:val="16"/>
          <w:color w:val="212529"/>
        </w:rPr>
        <w:t>$150 million from the issuance of the 2026</w:t>
      </w:r>
      <w:r>
        <w:rPr>
          <w:rFonts w:ascii="Arial" w:cs="Arial" w:eastAsia="Arial" w:hAnsi="Arial"/>
          <w:sz w:val="16"/>
          <w:szCs w:val="16"/>
          <w:color w:val="auto"/>
        </w:rPr>
        <w:t xml:space="preserve"> Exchangeable Notes</w:t>
      </w:r>
      <w:r>
        <w:rPr>
          <w:rFonts w:ascii="Arial" w:cs="Arial" w:eastAsia="Arial" w:hAnsi="Arial"/>
          <w:sz w:val="16"/>
          <w:szCs w:val="16"/>
          <w:color w:val="212529"/>
        </w:rPr>
        <w:t>;</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6"/>
        </w:numPr>
        <w:rPr>
          <w:rFonts w:ascii="Arial" w:cs="Arial" w:eastAsia="Arial" w:hAnsi="Arial"/>
          <w:sz w:val="16"/>
          <w:szCs w:val="16"/>
          <w:i w:val="1"/>
          <w:iCs w:val="1"/>
          <w:color w:val="212529"/>
        </w:rPr>
      </w:pPr>
      <w:r>
        <w:rPr>
          <w:rFonts w:ascii="Arial" w:cs="Arial" w:eastAsia="Arial" w:hAnsi="Arial"/>
          <w:sz w:val="16"/>
          <w:szCs w:val="16"/>
          <w:color w:val="212529"/>
        </w:rPr>
        <w:t xml:space="preserve">payment of $150 million on our then-outstanding 2025 </w:t>
      </w:r>
      <w:r>
        <w:rPr>
          <w:rFonts w:ascii="Arial" w:cs="Arial" w:eastAsia="Arial" w:hAnsi="Arial"/>
          <w:sz w:val="16"/>
          <w:szCs w:val="16"/>
          <w:color w:val="000000"/>
        </w:rPr>
        <w:t>Exchangeable Notes</w:t>
      </w:r>
      <w:r>
        <w:rPr>
          <w:rFonts w:ascii="Arial" w:cs="Arial" w:eastAsia="Arial" w:hAnsi="Arial"/>
          <w:sz w:val="16"/>
          <w:szCs w:val="16"/>
          <w:color w:val="212529"/>
        </w:rPr>
        <w:t>;</w:t>
      </w:r>
    </w:p>
    <w:p>
      <w:pPr>
        <w:spacing w:after="0" w:line="126" w:lineRule="exact"/>
        <w:rPr>
          <w:rFonts w:ascii="Arial" w:cs="Arial" w:eastAsia="Arial" w:hAnsi="Arial"/>
          <w:sz w:val="16"/>
          <w:szCs w:val="16"/>
          <w:i w:val="1"/>
          <w:iCs w:val="1"/>
          <w:color w:val="212529"/>
        </w:rPr>
      </w:pPr>
    </w:p>
    <w:p>
      <w:pPr>
        <w:ind w:left="800" w:hanging="144"/>
        <w:spacing w:after="0"/>
        <w:tabs>
          <w:tab w:leader="none" w:pos="800" w:val="left"/>
        </w:tabs>
        <w:numPr>
          <w:ilvl w:val="0"/>
          <w:numId w:val="16"/>
        </w:numPr>
        <w:rPr>
          <w:rFonts w:ascii="Arial" w:cs="Arial" w:eastAsia="Arial" w:hAnsi="Arial"/>
          <w:sz w:val="16"/>
          <w:szCs w:val="16"/>
          <w:color w:val="212529"/>
        </w:rPr>
      </w:pPr>
      <w:r>
        <w:rPr>
          <w:rFonts w:ascii="Arial" w:cs="Arial" w:eastAsia="Arial" w:hAnsi="Arial"/>
          <w:sz w:val="16"/>
          <w:szCs w:val="16"/>
          <w:color w:val="212529"/>
        </w:rPr>
        <w:t>proceeds of $120 million from the issuance of the FILO Facility;</w:t>
      </w:r>
    </w:p>
    <w:p>
      <w:pPr>
        <w:spacing w:after="0" w:line="113" w:lineRule="exact"/>
        <w:rPr>
          <w:rFonts w:ascii="Arial" w:cs="Arial" w:eastAsia="Arial" w:hAnsi="Arial"/>
          <w:sz w:val="16"/>
          <w:szCs w:val="16"/>
          <w:color w:val="212529"/>
        </w:rPr>
      </w:pPr>
    </w:p>
    <w:p>
      <w:pPr>
        <w:ind w:left="800" w:hanging="144"/>
        <w:spacing w:after="0"/>
        <w:tabs>
          <w:tab w:leader="none" w:pos="800" w:val="left"/>
        </w:tabs>
        <w:numPr>
          <w:ilvl w:val="0"/>
          <w:numId w:val="16"/>
        </w:numPr>
        <w:rPr>
          <w:rFonts w:ascii="Arial" w:cs="Arial" w:eastAsia="Arial" w:hAnsi="Arial"/>
          <w:sz w:val="16"/>
          <w:szCs w:val="16"/>
          <w:i w:val="1"/>
          <w:iCs w:val="1"/>
          <w:color w:val="212529"/>
        </w:rPr>
      </w:pPr>
      <w:r>
        <w:rPr>
          <w:rFonts w:ascii="Arial" w:cs="Arial" w:eastAsia="Arial" w:hAnsi="Arial"/>
          <w:sz w:val="16"/>
          <w:szCs w:val="16"/>
          <w:color w:val="212529"/>
        </w:rPr>
        <w:t xml:space="preserve">proceeds of </w:t>
      </w:r>
      <w:r>
        <w:rPr>
          <w:rFonts w:ascii="Arial" w:cs="Arial" w:eastAsia="Arial" w:hAnsi="Arial"/>
          <w:sz w:val="16"/>
          <w:szCs w:val="16"/>
          <w:color w:val="000000"/>
        </w:rPr>
        <w:t>$50 million from the issuance of our June 2027 Notes;</w:t>
      </w:r>
    </w:p>
    <w:p>
      <w:pPr>
        <w:spacing w:after="0" w:line="126" w:lineRule="exact"/>
        <w:rPr>
          <w:rFonts w:ascii="Arial" w:cs="Arial" w:eastAsia="Arial" w:hAnsi="Arial"/>
          <w:sz w:val="16"/>
          <w:szCs w:val="16"/>
          <w:i w:val="1"/>
          <w:iCs w:val="1"/>
          <w:color w:val="212529"/>
        </w:rPr>
      </w:pPr>
    </w:p>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payment of $50 million for debt discount and issuance costs;</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6"/>
        </w:numPr>
        <w:rPr>
          <w:rFonts w:ascii="Arial" w:cs="Arial" w:eastAsia="Arial" w:hAnsi="Arial"/>
          <w:sz w:val="16"/>
          <w:szCs w:val="16"/>
          <w:i w:val="1"/>
          <w:iCs w:val="1"/>
          <w:color w:val="212529"/>
        </w:rPr>
      </w:pPr>
      <w:r>
        <w:rPr>
          <w:rFonts w:ascii="Arial" w:cs="Arial" w:eastAsia="Arial" w:hAnsi="Arial"/>
          <w:sz w:val="16"/>
          <w:szCs w:val="16"/>
          <w:color w:val="auto"/>
        </w:rPr>
        <w:t>payment of $36 million on our then-outstanding September 2025 Notes and $7 million on our then-outstanding April 2025 Notes;</w:t>
      </w:r>
    </w:p>
    <w:p>
      <w:pPr>
        <w:spacing w:after="0" w:line="113" w:lineRule="exact"/>
        <w:rPr>
          <w:rFonts w:ascii="Arial" w:cs="Arial" w:eastAsia="Arial" w:hAnsi="Arial"/>
          <w:sz w:val="16"/>
          <w:szCs w:val="16"/>
          <w:i w:val="1"/>
          <w:iCs w:val="1"/>
          <w:color w:val="212529"/>
        </w:rPr>
      </w:pPr>
    </w:p>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payment of $28 million on borrowings on our AR Facility; and</w:t>
      </w:r>
    </w:p>
    <w:p>
      <w:pPr>
        <w:spacing w:after="0" w:line="126" w:lineRule="exact"/>
        <w:rPr>
          <w:rFonts w:ascii="Arial" w:cs="Arial" w:eastAsia="Arial" w:hAnsi="Arial"/>
          <w:sz w:val="16"/>
          <w:szCs w:val="16"/>
          <w:color w:val="auto"/>
        </w:rPr>
      </w:pPr>
    </w:p>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payments of $7 million from the settlement of employee stock awards.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Information related to Recent Accounting Pronouncements is included in Note 1. Summary of Business and Significant Accounting Policies, to our consolidated financial statements included in Part II, Item 8 in this Annual Report on Form 10-K, which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8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 performance obligation arrangements, (ii) the evaluation of the recoverability of the carrying value of long-lived assets and goodwill, (iii) the evaluation of uncertainties surrounding the calculation of our tax assets and liabilities, and (iv) estimation of loss contingencies.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 and Multiple Performance Obligation Arrangements</w:t>
      </w:r>
    </w:p>
    <w:p>
      <w:pPr>
        <w:spacing w:after="0" w:line="1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agreements with our customers may have multiple performance obligations which generally include software solutions through SaaS and hosted delivery, professional service fees and implementation services. We also evaluate performance obligations across multiple agreements when entered into with the same customer at or near the same time. These multiple performance obligation arrangements involve judgments, including estimating the selling prices of goods and services, estimating the total contract consideration and allocating amounts to each distinct performance obligation and forecasting future volumes.</w:t>
      </w:r>
    </w:p>
    <w:p>
      <w:pPr>
        <w:spacing w:after="0" w:line="2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Revenue recognition from our IT Solutions products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 Unimplemented performance obligations lead to deferral of revenue as contract liabilities. At times, we must use judgment to estimate the implementation date and products the customer will select. The ultimate outcome of these performance obligations may result in significant changes in contract liabilities in future periods.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services. We account for separate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16"/>
          <w:szCs w:val="16"/>
          <w:color w:val="auto"/>
        </w:rPr>
        <w:t>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6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These assets are directly supported by estimates of Passengers Boarded and booking volumes for specific customers over their remaining contractual terms. Due to the long-term nature of the relevant contracts, recovery of these assets is not sensitive to near-term declines in volumes. For the year ended December 31, 2025, impairment of these assets as a result of the related contracts becoming uncollectable, modified or canceled was immaterial. Contracts are priced to generate total revenues over the life of the contract that exceed any discounts or advances provided and any upfront costs incurred to implement the customer contract.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one reporting unit associated with our continuing operations, such that our consolidated balance sheet represents our reporting unit balance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sheet.</w:t>
      </w:r>
    </w:p>
    <w:p>
      <w:pPr>
        <w:spacing w:after="0" w:line="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evaluate goodwill for impairment on an annual basis or when impairment indicators exist. We begin our evaluation with a qualitative assessment of whether it is more likely than not that our reporting unit’s fair value is less than its carrying value before applying a quantitative assessment. Our qualitative assessments consider a variety of factors, including but not limited to domestic and international economic indicators, interest rates, our financial performance, and the most recent information from the International Air Transport Association ("IATA") about global passenger traffic, which we believe to be a key assumption. If it is determined through the evaluation of events or circumstances that the carrying value may not be recoverable, or if we decide to bypass the qualitative assessment, we perform a quantitative assessment comparing the estimated fair value of our reporting unit to the sum of the carrying value of our assets and liabilities. If the sum of the carrying value of our assets and liabilities exceeds the estimated fair value of our reporting unit, the carrying value of our goodwill is reduced to fair value through an adjustment to the goodwill balance, resulting in an impairment charge. The determination of fair value requires us to make significant judgments and estimates including cash flow projections and assumptions related to market participants, the principal markets, and the highest and best use of our reporting unit. Changes in the assumptions used in our impairment testing may result in future impairment losses which could have a material impact on our results of operations. As of our last quantitative test in 2023, fair value exceeded current value by more than 10% and our subsequent qualitative tests provided no indicators that it is more likely than not that fair value is less than carrying value. On July 3, 2025, we sold our Hospitality Solutions business and wrote off all related assets as a result. As Hospitality Solutions was a separate reporting unit, its departure had no direct impact to the quantitative test for the remaining reporting unit. We utilize third-party appraisal firms to assist us in determining the fair value of our reporting unit as part of performing the quantitative assessment. We did not record any goodwill impairment charges for the years ended December 31, 2025, 2024 and 2023.</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did not record material intangible asset impairment charges for the years ended December 31, 2025, 2024 and 2023.</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The current economic environment has caused increased uncertainty in determining certain key assumptions within the assessment of our future taxable income upon which recognition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jc w:val="both"/>
        <w:spacing w:after="0" w:line="284" w:lineRule="auto"/>
        <w:rPr>
          <w:sz w:val="20"/>
          <w:szCs w:val="20"/>
          <w:color w:val="auto"/>
        </w:rPr>
      </w:pPr>
      <w:r>
        <w:rPr>
          <w:rFonts w:ascii="Arial" w:cs="Arial" w:eastAsia="Arial" w:hAnsi="Arial"/>
          <w:sz w:val="16"/>
          <w:szCs w:val="16"/>
          <w:color w:val="auto"/>
        </w:rPr>
        <w:t>deferred tax assets is assessed. At year end, we had a valuation allowance on a portion of our deferred tax assets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$547 million and $57 million, respectively as of December 31, 2025. For non-U.S. deferred tax assets of certain subsidiaries, we maintained a cumulative valuation allowance on current year losses and other deferred tax assets of $134 million as of December 31, 2025. We reassess these assumptions regularly, which could cause an increase or decrease to the valuation allowance resulting in an increase or decrease in the effective tax rate and could materially impact our results of operations.</w:t>
      </w:r>
    </w:p>
    <w:p>
      <w:pPr>
        <w:spacing w:after="0" w:line="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2025 and 2024, we had a liability, including interest and penalty, of $48 million and $53 million, respectively, for uncertain tax positions, of which $47 million and $36 million, respectively, would affect our effective tax rate if recognized. Such a change in recognition or measurement would result in the recognition of a tax benefit or an additional charge to the provision for income taxes from continuing operations.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While certain legal proceedings and related indemnification obligations and certain tax matters to which we are a party specify the amounts claimed, these claims may not represent reasonably possible losses. Given the inherent uncertainties of litigation and tax claims, the ultimate outcome of these matters cannot be predicted,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Changes in these factors could materially impact our results of operations.</w:t>
      </w:r>
    </w:p>
    <w:p>
      <w:pPr>
        <w:spacing w:after="0" w:line="282"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Risk Management</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of December 31, 2025, our exposure to interest rate risk relates primarily to our interest rate swaps and interest rates under our Amended and Restated Credit Agreement on our senior secured credit facilities. Offsetting some of this exposure is interest income received from our time deposits and money market funds. The objectives of our investment in time deposits and money market funds are (i) preservation of principal, (ii) liquidity and (iii) yield. If future short-term interest rates averaged 10% lower than they were during the year ended December 31, 2025, the impact to our interest income from these investments would not be material. This amount was determined by applying the hypothetical interest rate change to our average time deposits and money market funds invested.</w:t>
      </w:r>
    </w:p>
    <w:p>
      <w:pPr>
        <w:spacing w:after="0" w:line="68"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Interest rate swaps designated as cash flow hedges outstanding at December 31, 2025 and matured during the years ended December 31, 2025, 2024 and 2023 are as follows: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149"/>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24"/>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14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Interest Rate Paid</w:t>
            </w: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Effective Date</w:t>
            </w:r>
          </w:p>
        </w:tc>
        <w:tc>
          <w:tcPr>
            <w:tcW w:w="2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85"/>
        </w:trPr>
        <w:tc>
          <w:tcPr>
            <w:tcW w:w="2040" w:type="dxa"/>
            <w:vAlign w:val="bottom"/>
            <w:vMerge w:val="continue"/>
          </w:tcPr>
          <w:p>
            <w:pPr>
              <w:spacing w:after="0"/>
              <w:rPr>
                <w:sz w:val="16"/>
                <w:szCs w:val="16"/>
                <w:color w:val="auto"/>
              </w:rPr>
            </w:pPr>
          </w:p>
        </w:tc>
        <w:tc>
          <w:tcPr>
            <w:tcW w:w="2140" w:type="dxa"/>
            <w:vAlign w:val="bottom"/>
          </w:tcPr>
          <w:p>
            <w:pPr>
              <w:jc w:val="center"/>
              <w:ind w:left="44"/>
              <w:spacing w:after="0"/>
              <w:rPr>
                <w:sz w:val="20"/>
                <w:szCs w:val="20"/>
                <w:color w:val="auto"/>
              </w:rPr>
            </w:pPr>
            <w:r>
              <w:rPr>
                <w:rFonts w:ascii="Arial" w:cs="Arial" w:eastAsia="Arial" w:hAnsi="Arial"/>
                <w:sz w:val="13"/>
                <w:szCs w:val="13"/>
                <w:b w:val="1"/>
                <w:bCs w:val="1"/>
                <w:color w:val="auto"/>
                <w:w w:val="94"/>
              </w:rPr>
              <w:t>Received</w:t>
            </w:r>
          </w:p>
        </w:tc>
        <w:tc>
          <w:tcPr>
            <w:tcW w:w="10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 million</w:t>
            </w:r>
          </w:p>
        </w:tc>
        <w:tc>
          <w:tcPr>
            <w:tcW w:w="21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right="157"/>
              <w:spacing w:after="0"/>
              <w:rPr>
                <w:sz w:val="20"/>
                <w:szCs w:val="20"/>
                <w:color w:val="auto"/>
              </w:rPr>
            </w:pPr>
            <w:r>
              <w:rPr>
                <w:rFonts w:ascii="Arial" w:cs="Arial" w:eastAsia="Arial" w:hAnsi="Arial"/>
                <w:sz w:val="16"/>
                <w:szCs w:val="16"/>
                <w:color w:val="auto"/>
                <w:w w:val="92"/>
              </w:rPr>
              <w:t>3.09%</w:t>
            </w:r>
            <w:r>
              <w:rPr>
                <w:rFonts w:ascii="Arial" w:cs="Arial" w:eastAsia="Arial" w:hAnsi="Arial"/>
                <w:sz w:val="21"/>
                <w:szCs w:val="21"/>
                <w:color w:val="auto"/>
                <w:w w:val="92"/>
                <w:vertAlign w:val="superscript"/>
              </w:rPr>
              <w:t>(2)</w:t>
            </w:r>
          </w:p>
        </w:tc>
        <w:tc>
          <w:tcPr>
            <w:tcW w:w="1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April 30, 2022</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$150 million</w:t>
            </w:r>
          </w:p>
        </w:tc>
        <w:tc>
          <w:tcPr>
            <w:tcW w:w="2140" w:type="dxa"/>
            <w:vAlign w:val="bottom"/>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tcPr>
          <w:p>
            <w:pPr>
              <w:jc w:val="center"/>
              <w:ind w:right="157"/>
              <w:spacing w:after="0" w:line="216" w:lineRule="exact"/>
              <w:rPr>
                <w:sz w:val="20"/>
                <w:szCs w:val="20"/>
                <w:color w:val="auto"/>
              </w:rPr>
            </w:pPr>
            <w:r>
              <w:rPr>
                <w:rFonts w:ascii="Arial" w:cs="Arial" w:eastAsia="Arial" w:hAnsi="Arial"/>
                <w:sz w:val="16"/>
                <w:szCs w:val="16"/>
                <w:color w:val="auto"/>
                <w:w w:val="92"/>
              </w:rPr>
              <w:t>3.98%</w:t>
            </w:r>
            <w:r>
              <w:rPr>
                <w:rFonts w:ascii="Arial" w:cs="Arial" w:eastAsia="Arial" w:hAnsi="Arial"/>
                <w:sz w:val="21"/>
                <w:szCs w:val="21"/>
                <w:color w:val="auto"/>
                <w:w w:val="92"/>
                <w:vertAlign w:val="superscript"/>
              </w:rPr>
              <w:t>(3)</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June 30, 2022</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right="157"/>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2023</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30, 2026</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tcPr>
          <w:p>
            <w:pPr>
              <w:jc w:val="center"/>
              <w:ind w:right="157"/>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31, 2023</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center"/>
              <w:ind w:right="157"/>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16, 2024</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0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Subject to a 0.5% floor.</w:t>
      </w:r>
    </w:p>
    <w:p>
      <w:pPr>
        <w:spacing w:after="0" w:line="28" w:lineRule="exact"/>
        <w:rPr>
          <w:rFonts w:ascii="Arial" w:cs="Arial" w:eastAsia="Arial" w:hAnsi="Arial"/>
          <w:sz w:val="9"/>
          <w:szCs w:val="9"/>
          <w:color w:val="auto"/>
        </w:rPr>
      </w:pPr>
    </w:p>
    <w:p>
      <w:pPr>
        <w:ind w:left="220" w:hanging="212"/>
        <w:spacing w:after="0" w:line="192"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Fixed fee of 1.71% effective April 30, 2022, and expiring December 30, 2022, and 3.09% effective December 31, 2022, and expiring December 31, 2023.</w:t>
      </w:r>
    </w:p>
    <w:p>
      <w:pPr>
        <w:ind w:left="220" w:hanging="212"/>
        <w:spacing w:after="0" w:line="193"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8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Currently approximately 10% of our debt, net of cash and hedging impacts from interest rates swaps, is variable and impacted by changes in interest rates. Since outstanding balances under our senior secured credit facilities incur interest at rates based on SOFR, subject to an applicable floor, increases or decreases in short-term interest rates would impact our interest expense. If our mix of interest rate-sensitive assets and liabilities changes significantly, we may enter into additional derivative transactions to manage our net interest rate exposure. The fair value of these interest rate swaps was a net liability of $1 million and $2 million as of December 31, 2025 and 2024, respectively.</w:t>
      </w:r>
    </w:p>
    <w:p>
      <w:pPr>
        <w:spacing w:after="0" w:line="8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Global capital markets experienced sustained volatility throughout 2025, driven by escalating geopolitical conflicts—including the prolonged war in Ukraine and renewed Middle East hostilities—rising trade frictions and tariff related disruptions, and continued ambiguity regarding inflation trends and the future path of U.S. monetary policy. During 2024 and 2025, we refinanced portions of our debt which resulted in interest rates higher than prior years, increasing current and future interest expense. Subject to market conditions, we may opportunistically refinance portions of our debt in the near term which, at current interest rates and market conditions, may negatively impact our interest expense or result in higher dilution. See “Risk Factors—We are exposed to interest rate fluctuations."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Our foreign currency risk is primarily associated with operating expenses. During the year ended December 31, 2025, foreign currency operations included $117 million of revenue and $589 million of operating expenses, representing approximately 4% and 24% of our total revenue and operating expenses, respectively. During the year ended December 31, 2024, foreign currency operations included $132 million of revenue and $596 million of operating expenses, representing approximately 5% and 24% of our total revenue and operating expenses, respectively. During the year ended December 31, 2023, foreign currency operations included $135 million of revenue and $550 million of operating expenses, representing approximately 5% and 19% of our total revenue and operating expenses, respectively.</w:t>
      </w:r>
    </w:p>
    <w:p>
      <w:pPr>
        <w:spacing w:after="0" w:line="26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principal foreign currencies involved include the Euro, the Indian Rupee, the British Pound Sterling, the Australian Dollar, the Polish Zloty, and the Singapore Dollar. Our most significant foreign currency denominated operating expenses is in the Euro, which comprised approximately 7% of our operating expenses for the years ended December 31, 2025 and 2024. In recent years, exchange rates between foreign currencies and the U.S. dollar have fluctuated significantly and may continue to do so in the future. During times of volatile currency movements, this risk can impact our earnings. Additionally, approximately 20% of our exposure in foreign currency operating expenses is naturally hedged by foreign currency cash receipts associated with foreign currency revenue.</w:t>
      </w:r>
    </w:p>
    <w:p>
      <w:pPr>
        <w:spacing w:after="0" w:line="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income (loss) and is included in stockholders’ (deficit) equity. We recognized a net translation gain in other comprehensive income (loss) of $1 million for the year ended December 31, 2025, a loss of $1 million for the year ended December 31, 2024, and a gain of $4 million for the year ended December 31, 2023.</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Credit Risk</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2025 and 2024, approximately $196 million, or 91%, and $184 million, or 84%,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 See “</w:t>
      </w:r>
      <w:r>
        <w:rPr>
          <w:rFonts w:ascii="Arial" w:cs="Arial" w:eastAsia="Arial" w:hAnsi="Arial"/>
          <w:sz w:val="16"/>
          <w:szCs w:val="16"/>
          <w:u w:val="single" w:color="auto"/>
          <w:color w:val="0000FF"/>
        </w:rPr>
        <w:t>Risk Factors</w:t>
      </w:r>
      <w:r>
        <w:rPr>
          <w:rFonts w:ascii="Arial" w:cs="Arial" w:eastAsia="Arial" w:hAnsi="Arial"/>
          <w:sz w:val="16"/>
          <w:szCs w:val="16"/>
          <w:color w:val="auto"/>
        </w:rPr>
        <w:t>—Our travel supplier customers may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experience financial instability or consolidation, pursue cost reductions, change their distribution model or undergo other changes.”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clearing houses, such as the Airline Clearing House (“ACH”). As of December 31, 2025, 2024 and 2023, approximately 57%, 54%, and 53%, respectively, of our air customers make payments through the ACH, or other similar clearing houses, which accounts for approximately 88%, 89% and 82%, respectively, of transaction revenue related to air customers.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Inflation</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An overall labor shortage, lack of skilled labor, increased turnover or labor inflation, as a result of general macroeconomic factors, could have a material adverse impact on our operations, results of operations, liquidity or cash flows. See “Risk Factors—Our business could be harmed by adverse global and regional economic and political conditions."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3"/>
        </w:trPr>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8400" w:type="dxa"/>
            <w:vAlign w:val="bottom"/>
            <w:gridSpan w:val="8"/>
          </w:tcPr>
          <w:p>
            <w:pPr>
              <w:ind w:left="180"/>
              <w:spacing w:after="0"/>
              <w:rPr>
                <w:sz w:val="20"/>
                <w:szCs w:val="20"/>
                <w:color w:val="auto"/>
              </w:rPr>
            </w:pPr>
            <w:r>
              <w:rPr>
                <w:rFonts w:ascii="Arial" w:cs="Arial" w:eastAsia="Arial" w:hAnsi="Arial"/>
                <w:sz w:val="16"/>
                <w:szCs w:val="16"/>
                <w:b w:val="1"/>
                <w:bCs w:val="1"/>
                <w:color w:val="auto"/>
              </w:rPr>
              <w:t>FINANCIAL STATEMENTS AND SUPPLEMENTARY DATA</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5"/>
        </w:trPr>
        <w:tc>
          <w:tcPr>
            <w:tcW w:w="9160" w:type="dxa"/>
            <w:vAlign w:val="bottom"/>
            <w:gridSpan w:val="10"/>
          </w:tcPr>
          <w:p>
            <w:pPr>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5"/>
        </w:trPr>
        <w:tc>
          <w:tcPr>
            <w:tcW w:w="9160" w:type="dxa"/>
            <w:vAlign w:val="bottom"/>
            <w:gridSpan w:val="10"/>
          </w:tcPr>
          <w:p>
            <w:pPr>
              <w:ind w:left="20"/>
              <w:spacing w:after="0"/>
              <w:rPr>
                <w:sz w:val="20"/>
                <w:szCs w:val="20"/>
                <w:color w:val="auto"/>
              </w:rPr>
            </w:pPr>
            <w:r>
              <w:rPr>
                <w:rFonts w:ascii="Arial" w:cs="Arial" w:eastAsia="Arial" w:hAnsi="Arial"/>
                <w:sz w:val="16"/>
                <w:szCs w:val="16"/>
                <w:color w:val="auto"/>
              </w:rPr>
              <w:t>Consolidated Financial Statements: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78"/>
        </w:trPr>
        <w:tc>
          <w:tcPr>
            <w:tcW w:w="340" w:type="dxa"/>
            <w:vAlign w:val="bottom"/>
          </w:tcPr>
          <w:p>
            <w:pPr>
              <w:spacing w:after="0"/>
              <w:rPr>
                <w:sz w:val="15"/>
                <w:szCs w:val="15"/>
                <w:color w:val="auto"/>
              </w:rPr>
            </w:pPr>
          </w:p>
        </w:tc>
        <w:tc>
          <w:tcPr>
            <w:tcW w:w="8820" w:type="dxa"/>
            <w:vAlign w:val="bottom"/>
            <w:gridSpan w:val="9"/>
          </w:tcPr>
          <w:p>
            <w:pPr>
              <w:ind w:left="20"/>
              <w:spacing w:after="0" w:line="178" w:lineRule="exact"/>
              <w:rPr>
                <w:sz w:val="20"/>
                <w:szCs w:val="20"/>
                <w:color w:val="auto"/>
              </w:rPr>
            </w:pPr>
            <w:r>
              <w:rPr>
                <w:rFonts w:ascii="Arial" w:cs="Arial" w:eastAsia="Arial" w:hAnsi="Arial"/>
                <w:sz w:val="16"/>
                <w:szCs w:val="16"/>
                <w:color w:val="0000FF"/>
              </w:rPr>
              <w:t xml:space="preserve">Reports of Independent Registered Public Accounting Firm </w:t>
            </w:r>
            <w:r>
              <w:rPr>
                <w:rFonts w:ascii="Arial" w:cs="Arial" w:eastAsia="Arial" w:hAnsi="Arial"/>
                <w:sz w:val="16"/>
                <w:szCs w:val="16"/>
                <w:color w:val="000000"/>
              </w:rPr>
              <w:t>(PCAOB ID: 42)</w:t>
            </w:r>
          </w:p>
        </w:tc>
        <w:tc>
          <w:tcPr>
            <w:tcW w:w="2020" w:type="dxa"/>
            <w:vAlign w:val="bottom"/>
            <w:gridSpan w:val="3"/>
          </w:tcPr>
          <w:p>
            <w:pPr>
              <w:jc w:val="right"/>
              <w:spacing w:after="0" w:line="178" w:lineRule="exact"/>
              <w:rPr>
                <w:sz w:val="20"/>
                <w:szCs w:val="20"/>
                <w:color w:val="auto"/>
              </w:rPr>
            </w:pPr>
            <w:r>
              <w:rPr>
                <w:rFonts w:ascii="Arial" w:cs="Arial" w:eastAsia="Arial" w:hAnsi="Arial"/>
                <w:sz w:val="16"/>
                <w:szCs w:val="16"/>
                <w:color w:val="0000FF"/>
              </w:rPr>
              <w:t>49</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20" w:type="dxa"/>
            <w:vAlign w:val="bottom"/>
            <w:gridSpan w:val="9"/>
          </w:tcPr>
          <w:p>
            <w:pPr>
              <w:ind w:left="20"/>
              <w:spacing w:after="0"/>
              <w:rPr>
                <w:sz w:val="20"/>
                <w:szCs w:val="20"/>
                <w:color w:val="auto"/>
              </w:rPr>
            </w:pPr>
            <w:r>
              <w:rPr>
                <w:rFonts w:ascii="Arial" w:cs="Arial" w:eastAsia="Arial" w:hAnsi="Arial"/>
                <w:sz w:val="16"/>
                <w:szCs w:val="16"/>
                <w:color w:val="0000FF"/>
              </w:rPr>
              <w:t>Consolidated Statements of Operations for the Years Ended December 31, 2025, 2024 and 2023</w:t>
            </w:r>
          </w:p>
        </w:tc>
        <w:tc>
          <w:tcPr>
            <w:tcW w:w="2020" w:type="dxa"/>
            <w:vAlign w:val="bottom"/>
            <w:gridSpan w:val="3"/>
          </w:tcPr>
          <w:p>
            <w:pPr>
              <w:jc w:val="right"/>
              <w:spacing w:after="0"/>
              <w:rPr>
                <w:sz w:val="20"/>
                <w:szCs w:val="20"/>
                <w:color w:val="auto"/>
              </w:rPr>
            </w:pPr>
            <w:r>
              <w:rPr>
                <w:rFonts w:ascii="Arial" w:cs="Arial" w:eastAsia="Arial" w:hAnsi="Arial"/>
                <w:sz w:val="16"/>
                <w:szCs w:val="16"/>
                <w:color w:val="0000FF"/>
              </w:rPr>
              <w:t>52</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20" w:type="dxa"/>
            <w:vAlign w:val="bottom"/>
            <w:tcBorders>
              <w:bottom w:val="single" w:sz="8" w:color="0000FF"/>
            </w:tcBorders>
            <w:gridSpan w:val="9"/>
          </w:tcPr>
          <w:p>
            <w:pPr>
              <w:ind w:left="20"/>
              <w:spacing w:after="0"/>
              <w:rPr>
                <w:sz w:val="20"/>
                <w:szCs w:val="20"/>
                <w:color w:val="auto"/>
              </w:rPr>
            </w:pPr>
            <w:r>
              <w:rPr>
                <w:rFonts w:ascii="Arial" w:cs="Arial" w:eastAsia="Arial" w:hAnsi="Arial"/>
                <w:sz w:val="16"/>
                <w:szCs w:val="16"/>
                <w:color w:val="0000FF"/>
              </w:rPr>
              <w:t>Consolidated Statements of Other Comprehensive Income (Loss) for the Years Ended December 31, 2025, 2024 and 2023</w:t>
            </w:r>
          </w:p>
        </w:tc>
        <w:tc>
          <w:tcPr>
            <w:tcW w:w="18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53</w:t>
            </w:r>
          </w:p>
        </w:tc>
      </w:tr>
      <w:tr>
        <w:trPr>
          <w:trHeight w:val="196"/>
        </w:trPr>
        <w:tc>
          <w:tcPr>
            <w:tcW w:w="340" w:type="dxa"/>
            <w:vAlign w:val="bottom"/>
          </w:tcPr>
          <w:p>
            <w:pPr>
              <w:spacing w:after="0"/>
              <w:rPr>
                <w:sz w:val="17"/>
                <w:szCs w:val="17"/>
                <w:color w:val="auto"/>
              </w:rPr>
            </w:pPr>
          </w:p>
        </w:tc>
        <w:tc>
          <w:tcPr>
            <w:tcW w:w="4720" w:type="dxa"/>
            <w:vAlign w:val="bottom"/>
            <w:tcBorders>
              <w:bottom w:val="single" w:sz="8" w:color="0000FF"/>
            </w:tcBorders>
            <w:gridSpan w:val="4"/>
          </w:tcPr>
          <w:p>
            <w:pPr>
              <w:ind w:left="20"/>
              <w:spacing w:after="0"/>
              <w:rPr>
                <w:sz w:val="20"/>
                <w:szCs w:val="20"/>
                <w:color w:val="auto"/>
              </w:rPr>
            </w:pPr>
            <w:r>
              <w:rPr>
                <w:rFonts w:ascii="Arial" w:cs="Arial" w:eastAsia="Arial" w:hAnsi="Arial"/>
                <w:sz w:val="16"/>
                <w:szCs w:val="16"/>
                <w:color w:val="0000FF"/>
              </w:rPr>
              <w:t>Consolidated Balance Sheets as of December 31, 2025 and 2024</w:t>
            </w:r>
          </w:p>
        </w:tc>
        <w:tc>
          <w:tcPr>
            <w:tcW w:w="410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54</w:t>
            </w:r>
          </w:p>
        </w:tc>
      </w:tr>
      <w:tr>
        <w:trPr>
          <w:trHeight w:val="196"/>
        </w:trPr>
        <w:tc>
          <w:tcPr>
            <w:tcW w:w="340" w:type="dxa"/>
            <w:vAlign w:val="bottom"/>
          </w:tcPr>
          <w:p>
            <w:pPr>
              <w:spacing w:after="0"/>
              <w:rPr>
                <w:sz w:val="17"/>
                <w:szCs w:val="17"/>
                <w:color w:val="auto"/>
              </w:rPr>
            </w:pPr>
          </w:p>
        </w:tc>
        <w:tc>
          <w:tcPr>
            <w:tcW w:w="8820" w:type="dxa"/>
            <w:vAlign w:val="bottom"/>
            <w:gridSpan w:val="9"/>
          </w:tcPr>
          <w:p>
            <w:pPr>
              <w:ind w:left="20"/>
              <w:spacing w:after="0"/>
              <w:rPr>
                <w:sz w:val="20"/>
                <w:szCs w:val="20"/>
                <w:color w:val="auto"/>
              </w:rPr>
            </w:pPr>
            <w:r>
              <w:rPr>
                <w:rFonts w:ascii="Arial" w:cs="Arial" w:eastAsia="Arial" w:hAnsi="Arial"/>
                <w:sz w:val="16"/>
                <w:szCs w:val="16"/>
                <w:color w:val="0000FF"/>
              </w:rPr>
              <w:t>Consolidated Statements of Cash Flows for the Years Ended December 31, 2025, 2024 and 2023</w:t>
            </w:r>
          </w:p>
        </w:tc>
        <w:tc>
          <w:tcPr>
            <w:tcW w:w="2020" w:type="dxa"/>
            <w:vAlign w:val="bottom"/>
            <w:gridSpan w:val="3"/>
          </w:tcPr>
          <w:p>
            <w:pPr>
              <w:jc w:val="right"/>
              <w:spacing w:after="0"/>
              <w:rPr>
                <w:sz w:val="20"/>
                <w:szCs w:val="20"/>
                <w:color w:val="auto"/>
              </w:rPr>
            </w:pPr>
            <w:r>
              <w:rPr>
                <w:rFonts w:ascii="Arial" w:cs="Arial" w:eastAsia="Arial" w:hAnsi="Arial"/>
                <w:sz w:val="16"/>
                <w:szCs w:val="16"/>
                <w:color w:val="0000FF"/>
              </w:rPr>
              <w:t>55</w:t>
            </w:r>
          </w:p>
        </w:tc>
      </w:tr>
      <w:tr>
        <w:trPr>
          <w:trHeight w:val="20"/>
        </w:trPr>
        <w:tc>
          <w:tcPr>
            <w:tcW w:w="3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20" w:type="dxa"/>
            <w:vAlign w:val="bottom"/>
            <w:gridSpan w:val="9"/>
          </w:tcPr>
          <w:p>
            <w:pPr>
              <w:ind w:left="20"/>
              <w:spacing w:after="0"/>
              <w:rPr>
                <w:sz w:val="20"/>
                <w:szCs w:val="20"/>
                <w:color w:val="auto"/>
              </w:rPr>
            </w:pPr>
            <w:r>
              <w:rPr>
                <w:rFonts w:ascii="Arial" w:cs="Arial" w:eastAsia="Arial" w:hAnsi="Arial"/>
                <w:sz w:val="16"/>
                <w:szCs w:val="16"/>
                <w:color w:val="0000FF"/>
              </w:rPr>
              <w:t>Consolidated Statements of Stockholders’ Deficit for the Years Ended December 31, 2025, 2024 and 2023</w:t>
            </w:r>
          </w:p>
        </w:tc>
        <w:tc>
          <w:tcPr>
            <w:tcW w:w="2020" w:type="dxa"/>
            <w:vAlign w:val="bottom"/>
            <w:gridSpan w:val="3"/>
          </w:tcPr>
          <w:p>
            <w:pPr>
              <w:jc w:val="right"/>
              <w:spacing w:after="0"/>
              <w:rPr>
                <w:sz w:val="20"/>
                <w:szCs w:val="20"/>
                <w:color w:val="auto"/>
              </w:rPr>
            </w:pPr>
            <w:r>
              <w:rPr>
                <w:rFonts w:ascii="Arial" w:cs="Arial" w:eastAsia="Arial" w:hAnsi="Arial"/>
                <w:sz w:val="16"/>
                <w:szCs w:val="16"/>
                <w:color w:val="0000FF"/>
              </w:rPr>
              <w:t>56</w:t>
            </w:r>
          </w:p>
        </w:tc>
      </w:tr>
      <w:tr>
        <w:trPr>
          <w:trHeight w:val="196"/>
        </w:trPr>
        <w:tc>
          <w:tcPr>
            <w:tcW w:w="340" w:type="dxa"/>
            <w:vAlign w:val="bottom"/>
          </w:tcPr>
          <w:p>
            <w:pPr>
              <w:spacing w:after="0"/>
              <w:rPr>
                <w:sz w:val="17"/>
                <w:szCs w:val="17"/>
                <w:color w:val="auto"/>
              </w:rPr>
            </w:pPr>
          </w:p>
        </w:tc>
        <w:tc>
          <w:tcPr>
            <w:tcW w:w="7620" w:type="dxa"/>
            <w:vAlign w:val="bottom"/>
            <w:tcBorders>
              <w:top w:val="single" w:sz="8" w:color="0000FF"/>
            </w:tcBorders>
            <w:gridSpan w:val="8"/>
          </w:tcPr>
          <w:p>
            <w:pPr>
              <w:ind w:left="20"/>
              <w:spacing w:after="0"/>
              <w:rPr>
                <w:sz w:val="20"/>
                <w:szCs w:val="20"/>
                <w:color w:val="auto"/>
              </w:rPr>
            </w:pPr>
            <w:r>
              <w:rPr>
                <w:rFonts w:ascii="Arial" w:cs="Arial" w:eastAsia="Arial" w:hAnsi="Arial"/>
                <w:sz w:val="16"/>
                <w:szCs w:val="16"/>
                <w:color w:val="0000FF"/>
              </w:rPr>
              <w:t>Notes to Consolidated Financial Statements</w:t>
            </w:r>
          </w:p>
        </w:tc>
        <w:tc>
          <w:tcPr>
            <w:tcW w:w="1200" w:type="dxa"/>
            <w:vAlign w:val="bottom"/>
          </w:tcPr>
          <w:p>
            <w:pPr>
              <w:spacing w:after="0"/>
              <w:rPr>
                <w:sz w:val="17"/>
                <w:szCs w:val="17"/>
                <w:color w:val="auto"/>
              </w:rPr>
            </w:pPr>
          </w:p>
        </w:tc>
        <w:tc>
          <w:tcPr>
            <w:tcW w:w="1840" w:type="dxa"/>
            <w:vAlign w:val="bottom"/>
            <w:gridSpan w:val="2"/>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57</w:t>
            </w:r>
          </w:p>
        </w:tc>
      </w:tr>
      <w:tr>
        <w:trPr>
          <w:trHeight w:val="20"/>
        </w:trPr>
        <w:tc>
          <w:tcPr>
            <w:tcW w:w="3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50"/>
        </w:trPr>
        <w:tc>
          <w:tcPr>
            <w:tcW w:w="9160" w:type="dxa"/>
            <w:vAlign w:val="bottom"/>
            <w:gridSpan w:val="10"/>
          </w:tcPr>
          <w:p>
            <w:pPr>
              <w:ind w:left="20"/>
              <w:spacing w:after="0"/>
              <w:rPr>
                <w:sz w:val="20"/>
                <w:szCs w:val="20"/>
                <w:color w:val="auto"/>
              </w:rPr>
            </w:pPr>
            <w:r>
              <w:rPr>
                <w:rFonts w:ascii="Arial" w:cs="Arial" w:eastAsia="Arial" w:hAnsi="Arial"/>
                <w:sz w:val="16"/>
                <w:szCs w:val="16"/>
                <w:color w:val="auto"/>
              </w:rPr>
              <w:t>Financial Statement Schedules: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8"/>
        </w:trPr>
        <w:tc>
          <w:tcPr>
            <w:tcW w:w="340" w:type="dxa"/>
            <w:vAlign w:val="bottom"/>
          </w:tcPr>
          <w:p>
            <w:pPr>
              <w:spacing w:after="0"/>
              <w:rPr>
                <w:sz w:val="15"/>
                <w:szCs w:val="15"/>
                <w:color w:val="auto"/>
              </w:rPr>
            </w:pPr>
          </w:p>
        </w:tc>
        <w:tc>
          <w:tcPr>
            <w:tcW w:w="8820" w:type="dxa"/>
            <w:vAlign w:val="bottom"/>
            <w:gridSpan w:val="9"/>
          </w:tcPr>
          <w:p>
            <w:pPr>
              <w:ind w:left="20"/>
              <w:spacing w:after="0" w:line="178" w:lineRule="exact"/>
              <w:rPr>
                <w:sz w:val="20"/>
                <w:szCs w:val="20"/>
                <w:color w:val="auto"/>
              </w:rPr>
            </w:pPr>
            <w:r>
              <w:rPr>
                <w:rFonts w:ascii="Arial" w:cs="Arial" w:eastAsia="Arial" w:hAnsi="Arial"/>
                <w:sz w:val="16"/>
                <w:szCs w:val="16"/>
                <w:color w:val="0000FF"/>
              </w:rPr>
              <w:t>Schedule II — Valuation and Qualifying Accounts as of December 31, 2025, 2024 and 2023</w:t>
            </w:r>
          </w:p>
        </w:tc>
        <w:tc>
          <w:tcPr>
            <w:tcW w:w="2020" w:type="dxa"/>
            <w:vAlign w:val="bottom"/>
            <w:gridSpan w:val="3"/>
          </w:tcPr>
          <w:p>
            <w:pPr>
              <w:jc w:val="right"/>
              <w:spacing w:after="0" w:line="178" w:lineRule="exact"/>
              <w:rPr>
                <w:sz w:val="20"/>
                <w:szCs w:val="20"/>
                <w:color w:val="auto"/>
              </w:rPr>
            </w:pPr>
            <w:r>
              <w:rPr>
                <w:rFonts w:ascii="Arial" w:cs="Arial" w:eastAsia="Arial" w:hAnsi="Arial"/>
                <w:sz w:val="16"/>
                <w:szCs w:val="16"/>
                <w:color w:val="0000FF"/>
              </w:rPr>
              <w:t>108</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9" w:right="399" w:bottom="1440" w:gutter="0" w:footer="0" w:header="0"/>
        </w:sectPr>
      </w:pPr>
    </w:p>
    <w:bookmarkStart w:id="50" w:name="page51"/>
    <w:bookmarkEnd w:id="50"/>
    <w:p>
      <w:pPr>
        <w:ind w:right="3380" w:firstLine="3379"/>
        <w:spacing w:after="0" w:line="48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Sabre Corporation </w:t>
      </w:r>
      <w:r>
        <w:rPr>
          <w:rFonts w:ascii="Arial" w:cs="Arial" w:eastAsia="Arial" w:hAnsi="Arial"/>
          <w:sz w:val="16"/>
          <w:szCs w:val="16"/>
          <w:b w:val="1"/>
          <w:bCs w:val="1"/>
          <w:color w:val="auto"/>
        </w:rPr>
        <w:t>Opinion on the Financial Statements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audited the accompanying consolidated balance sheets of Sabre Corporation (the Company) as of December 31, 2025 and 2024, the related consolidated statements of operations, comprehensive income (loss), stockholders' deficit and cash flows for each of the three years in the period ended</w:t>
      </w:r>
    </w:p>
    <w:p>
      <w:pPr>
        <w:jc w:val="both"/>
        <w:spacing w:after="0" w:line="266" w:lineRule="auto"/>
        <w:rPr>
          <w:sz w:val="20"/>
          <w:szCs w:val="20"/>
          <w:color w:val="auto"/>
        </w:rPr>
      </w:pPr>
      <w:r>
        <w:rPr>
          <w:rFonts w:ascii="Arial" w:cs="Arial" w:eastAsia="Arial" w:hAnsi="Arial"/>
          <w:sz w:val="16"/>
          <w:szCs w:val="16"/>
          <w:color w:val="auto"/>
        </w:rPr>
        <w:t xml:space="preserve">December 31, 2025, and the related notes and financial statement schedule listed in the Index at Item 15 (collectively referred to as the </w:t>
      </w:r>
      <w:r>
        <w:rPr>
          <w:rFonts w:ascii="Arial" w:cs="Arial" w:eastAsia="Arial" w:hAnsi="Arial"/>
          <w:sz w:val="17"/>
          <w:szCs w:val="17"/>
          <w:color w:val="auto"/>
        </w:rPr>
        <w:t>“</w:t>
      </w:r>
      <w:r>
        <w:rPr>
          <w:rFonts w:ascii="Arial" w:cs="Arial" w:eastAsia="Arial" w:hAnsi="Arial"/>
          <w:sz w:val="16"/>
          <w:szCs w:val="16"/>
          <w:color w:val="auto"/>
        </w:rPr>
        <w:t>consolidated financial statements</w:t>
      </w:r>
      <w:r>
        <w:rPr>
          <w:rFonts w:ascii="Arial" w:cs="Arial" w:eastAsia="Arial" w:hAnsi="Arial"/>
          <w:sz w:val="17"/>
          <w:szCs w:val="17"/>
          <w:color w:val="auto"/>
        </w:rPr>
        <w:t>”</w:t>
      </w:r>
      <w:r>
        <w:rPr>
          <w:rFonts w:ascii="Arial" w:cs="Arial" w:eastAsia="Arial" w:hAnsi="Arial"/>
          <w:sz w:val="16"/>
          <w:szCs w:val="16"/>
          <w:color w:val="auto"/>
        </w:rPr>
        <w:t>).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8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2025, based on criteria established in Internal Control—Integrated Framework issued by the Committee of Sponsoring Organizations of the Treadway Commission (2013 framework), and our report dated February 18, 2026 expressed an unqualified opinion thereon.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left="2560"/>
        <w:spacing w:after="0"/>
        <w:rPr>
          <w:sz w:val="20"/>
          <w:szCs w:val="20"/>
          <w:color w:val="auto"/>
        </w:rPr>
      </w:pPr>
      <w:r>
        <w:rPr>
          <w:rFonts w:ascii="Arial" w:cs="Arial" w:eastAsia="Arial" w:hAnsi="Arial"/>
          <w:sz w:val="16"/>
          <w:szCs w:val="16"/>
          <w:b w:val="1"/>
          <w:bCs w:val="1"/>
          <w:color w:val="auto"/>
        </w:rPr>
        <w:t>Measurement of IT Solutions Revenue</w:t>
      </w:r>
    </w:p>
    <w:p>
      <w:pPr>
        <w:spacing w:after="0" w:line="59" w:lineRule="exact"/>
        <w:rPr>
          <w:sz w:val="20"/>
          <w:szCs w:val="20"/>
          <w:color w:val="auto"/>
        </w:rPr>
      </w:pPr>
    </w:p>
    <w:p>
      <w:pPr>
        <w:jc w:val="both"/>
        <w:ind w:left="2560" w:hanging="2537"/>
        <w:spacing w:after="0" w:line="251" w:lineRule="auto"/>
        <w:tabs>
          <w:tab w:leader="none" w:pos="254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2 of the financial statements, the Company recognized $554 million of IT Solutions revenue. IT Solutions customer agreements are long-term contracts that frequently contain multiple performance obligations. Judgment exists in determining which performance obligations are distinct and accounted for separately. These contracts also contain variable consideration in the form of tiered pricing, contractual minimums or discounts. Judgment exists in estimating the total contract consideration and allocating amounts to each distinct performance obligation.</w:t>
      </w:r>
    </w:p>
    <w:p>
      <w:pPr>
        <w:spacing w:after="0" w:line="209" w:lineRule="exact"/>
        <w:rPr>
          <w:sz w:val="20"/>
          <w:szCs w:val="20"/>
          <w:color w:val="auto"/>
        </w:rPr>
      </w:pPr>
    </w:p>
    <w:p>
      <w:pPr>
        <w:jc w:val="both"/>
        <w:ind w:left="2560"/>
        <w:spacing w:after="0" w:line="257" w:lineRule="auto"/>
        <w:rPr>
          <w:sz w:val="20"/>
          <w:szCs w:val="20"/>
          <w:color w:val="auto"/>
        </w:rPr>
      </w:pPr>
      <w:r>
        <w:rPr>
          <w:rFonts w:ascii="Arial" w:cs="Arial" w:eastAsia="Arial" w:hAnsi="Arial"/>
          <w:sz w:val="16"/>
          <w:szCs w:val="16"/>
          <w:color w:val="auto"/>
        </w:rPr>
        <w:t>Auditing management’s recognition of IT Solutions revenue was complex and involved a high degree of judgment because of the significant management judgments and estimates required to identify the distinct performance obligations, estimate and allocate contract consideration, and determine the rate used to recognize revenue.</w:t>
      </w:r>
    </w:p>
    <w:p>
      <w:pPr>
        <w:spacing w:after="0" w:line="28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ind w:left="20"/>
        <w:spacing w:after="0"/>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related to the Company’s process for recognizing IT Solutions revenue, including management’s review of the</w:t>
      </w:r>
    </w:p>
    <w:p>
      <w:pPr>
        <w:jc w:val="both"/>
        <w:ind w:left="2560"/>
        <w:spacing w:after="0" w:line="220" w:lineRule="auto"/>
        <w:rPr>
          <w:sz w:val="20"/>
          <w:szCs w:val="20"/>
          <w:color w:val="auto"/>
        </w:rPr>
      </w:pPr>
      <w:r>
        <w:rPr>
          <w:rFonts w:ascii="Arial" w:cs="Arial" w:eastAsia="Arial" w:hAnsi="Arial"/>
          <w:sz w:val="16"/>
          <w:szCs w:val="16"/>
          <w:color w:val="auto"/>
        </w:rPr>
        <w:t>significant judgments and estimates used in the identification of distinct performance obligations, the estimation and allocation of amounts to each performance obligation, and the determination of the rate used to recognize</w:t>
      </w:r>
    </w:p>
    <w:p>
      <w:pPr>
        <w:ind w:left="2560"/>
        <w:spacing w:after="0"/>
        <w:rPr>
          <w:sz w:val="20"/>
          <w:szCs w:val="20"/>
          <w:color w:val="auto"/>
        </w:rPr>
      </w:pPr>
      <w:r>
        <w:rPr>
          <w:rFonts w:ascii="Arial" w:cs="Arial" w:eastAsia="Arial" w:hAnsi="Arial"/>
          <w:sz w:val="16"/>
          <w:szCs w:val="16"/>
          <w:color w:val="auto"/>
        </w:rPr>
        <w:t>revenue.</w:t>
      </w:r>
    </w:p>
    <w:p>
      <w:pPr>
        <w:spacing w:after="0" w:line="219" w:lineRule="exact"/>
        <w:rPr>
          <w:sz w:val="20"/>
          <w:szCs w:val="20"/>
          <w:color w:val="auto"/>
        </w:rPr>
      </w:pPr>
    </w:p>
    <w:p>
      <w:pPr>
        <w:jc w:val="both"/>
        <w:ind w:left="2560"/>
        <w:spacing w:after="0" w:line="235" w:lineRule="auto"/>
        <w:rPr>
          <w:sz w:val="20"/>
          <w:szCs w:val="20"/>
          <w:color w:val="auto"/>
        </w:rPr>
      </w:pPr>
      <w:r>
        <w:rPr>
          <w:rFonts w:ascii="Arial" w:cs="Arial" w:eastAsia="Arial" w:hAnsi="Arial"/>
          <w:sz w:val="16"/>
          <w:szCs w:val="16"/>
          <w:color w:val="auto"/>
        </w:rPr>
        <w:t>Our audit procedures included, among others, testing management’s identification of the distinct performance obligations based on terms in the contracts and the Company’s policies. Our procedures also included testing the judgments and estimates used to determine the rate to recognize revenue based on the contractual minimums,</w:t>
      </w:r>
    </w:p>
    <w:p>
      <w:pPr>
        <w:spacing w:after="0" w:line="2" w:lineRule="exact"/>
        <w:rPr>
          <w:sz w:val="20"/>
          <w:szCs w:val="20"/>
          <w:color w:val="auto"/>
        </w:rPr>
      </w:pPr>
    </w:p>
    <w:p>
      <w:pPr>
        <w:jc w:val="both"/>
        <w:ind w:left="2560"/>
        <w:spacing w:after="0" w:line="220" w:lineRule="auto"/>
        <w:rPr>
          <w:sz w:val="20"/>
          <w:szCs w:val="20"/>
          <w:color w:val="auto"/>
        </w:rPr>
      </w:pPr>
      <w:r>
        <w:rPr>
          <w:rFonts w:ascii="Arial" w:cs="Arial" w:eastAsia="Arial" w:hAnsi="Arial"/>
          <w:sz w:val="16"/>
          <w:szCs w:val="16"/>
          <w:color w:val="auto"/>
        </w:rPr>
        <w:t>tiered pricing and other discounts, and current economic conditions. To test the calculation of the amount of consideration allocated to each distinct performance obligation, we performed procedures to test management’s</w:t>
      </w:r>
    </w:p>
    <w:p>
      <w:pPr>
        <w:jc w:val="both"/>
        <w:ind w:left="2560"/>
        <w:spacing w:after="0"/>
        <w:rPr>
          <w:sz w:val="20"/>
          <w:szCs w:val="20"/>
          <w:color w:val="auto"/>
        </w:rPr>
      </w:pPr>
      <w:r>
        <w:rPr>
          <w:rFonts w:ascii="Arial" w:cs="Arial" w:eastAsia="Arial" w:hAnsi="Arial"/>
          <w:sz w:val="16"/>
          <w:szCs w:val="16"/>
          <w:color w:val="auto"/>
        </w:rPr>
        <w:t>judgments and assumptions related to the allocation of consideration to each distinct performance obligation. Our procedures included an evaluation of the significant assumptions and the accuracy and completeness of the underlying data used in management’s calculation of revenue recognized. We have also evaluated the adequacy of the Company’s IT Solutions revenue disclosures included in Note 2 in relation to these revenue recognition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w:t>
      </w:r>
      <w:r>
        <w:rPr>
          <w:rFonts w:ascii="Arial" w:cs="Arial" w:eastAsia="Arial" w:hAnsi="Arial"/>
          <w:sz w:val="17"/>
          <w:szCs w:val="17"/>
          <w:color w:val="auto"/>
        </w:rPr>
        <w:t>’</w:t>
      </w:r>
      <w:r>
        <w:rPr>
          <w:rFonts w:ascii="Arial" w:cs="Arial" w:eastAsia="Arial" w:hAnsi="Arial"/>
          <w:sz w:val="16"/>
          <w:szCs w:val="16"/>
          <w:color w:val="auto"/>
        </w:rPr>
        <w:t>s auditor since 1993.</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35" w:right="759" w:bottom="1440" w:gutter="0" w:footer="0" w:header="0"/>
        </w:sectPr>
      </w:pPr>
    </w:p>
    <w:bookmarkStart w:id="52" w:name="page53"/>
    <w:bookmarkEnd w:id="52"/>
    <w:p>
      <w:pPr>
        <w:ind w:right="3380" w:firstLine="3379"/>
        <w:spacing w:after="0" w:line="41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Sabre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audited Sabre Corporation</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2025, based on criteria established in Internal Control— Integrated Framework issued by the Committee of Sponsoring Organizations of the Treadway Commission (2013 framework) (the COSO criteria). In our opinion, Sabre Corporation (the Company) maintained, in all material respects, effective internal control over financial reporting as of December 31, 2025, based on the COSO criteria.</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deficit and cash flows for each of the three years in the period ended December 31, 2025, and the related notes and financial statement schedule listed in the Index at Item 15, and our report dated February 18, 2026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2,770,983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2,744,845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2,642,077</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Cost of revenue, excluding technology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1,206,987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1,146,275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1,076,241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Technology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950,726</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582,887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32,223</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Other expense: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(396,598)</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Loss on extinguishment of debt,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(90,680)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(108,577)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(534,729)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(490,116)</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(239,234)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(457,893)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(491,538)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779,452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523,962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(527,940)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income (loss) attributable to Sabre Corporation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(278,759)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(527,608)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dividends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524,617</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(278,759)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(541,865)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Basic net income (loss) per share attributable to common stockholders: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net income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346,567</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346,567</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78"/>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0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2023</w:t>
            </w:r>
          </w:p>
        </w:tc>
      </w:tr>
      <w:tr>
        <w:trPr>
          <w:trHeight w:val="22"/>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523,962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(527,940)</w:t>
            </w:r>
          </w:p>
        </w:tc>
      </w:t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Unrealized foreign currency translation adjustment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w:t>
            </w:r>
          </w:p>
        </w:tc>
      </w:tr>
      <w:tr>
        <w:trPr>
          <w:trHeight w:val="215"/>
        </w:trPr>
        <w:tc>
          <w:tcPr>
            <w:tcW w:w="7360" w:type="dxa"/>
            <w:vAlign w:val="bottom"/>
          </w:tcPr>
          <w:p>
            <w:pPr>
              <w:ind w:left="420"/>
              <w:spacing w:after="0"/>
              <w:rPr>
                <w:sz w:val="20"/>
                <w:szCs w:val="20"/>
                <w:color w:val="auto"/>
              </w:rPr>
            </w:pPr>
            <w:r>
              <w:rPr>
                <w:rFonts w:ascii="Arial" w:cs="Arial" w:eastAsia="Arial" w:hAnsi="Arial"/>
                <w:sz w:val="16"/>
                <w:szCs w:val="16"/>
                <w:color w:val="auto"/>
              </w:rPr>
              <w:t>Realized foreign currency translation from divestiture of business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 ("CTA")</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3,890</w:t>
            </w:r>
          </w:p>
        </w:tc>
      </w:tr>
      <w:tr>
        <w:trPr>
          <w:trHeight w:val="195"/>
        </w:trPr>
        <w:tc>
          <w:tcPr>
            <w:tcW w:w="7360" w:type="dxa"/>
            <w:vAlign w:val="bottom"/>
          </w:tcPr>
          <w:p>
            <w:pPr>
              <w:ind w:left="200"/>
              <w:spacing w:after="0"/>
              <w:rPr>
                <w:sz w:val="20"/>
                <w:szCs w:val="20"/>
                <w:color w:val="auto"/>
              </w:rPr>
            </w:pPr>
            <w:r>
              <w:rPr>
                <w:rFonts w:ascii="Arial" w:cs="Arial" w:eastAsia="Arial" w:hAnsi="Arial"/>
                <w:sz w:val="16"/>
                <w:szCs w:val="16"/>
                <w:color w:val="auto"/>
              </w:rPr>
              <w:t>Retirement-related benefit plans: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actuarial gain (loss), net of taxes of $(217), $(114) and $8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(5,179)</w:t>
            </w:r>
          </w:p>
        </w:tc>
      </w:tr>
      <w:tr>
        <w:trPr>
          <w:trHeight w:val="215"/>
        </w:trPr>
        <w:tc>
          <w:tcPr>
            <w:tcW w:w="7360" w:type="dxa"/>
            <w:vAlign w:val="bottom"/>
          </w:tcPr>
          <w:p>
            <w:pPr>
              <w:ind w:left="460"/>
              <w:spacing w:after="0"/>
              <w:rPr>
                <w:sz w:val="20"/>
                <w:szCs w:val="20"/>
                <w:color w:val="auto"/>
              </w:rPr>
            </w:pPr>
            <w:r>
              <w:rPr>
                <w:rFonts w:ascii="Arial" w:cs="Arial" w:eastAsia="Arial" w:hAnsi="Arial"/>
                <w:sz w:val="16"/>
                <w:szCs w:val="16"/>
                <w:color w:val="auto"/>
              </w:rPr>
              <w:t>Amortization of prior service credits, net of taxes of nil in all periods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17"/>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actuarial losses, net of taxes of nil in all periods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r>
      <w:tr>
        <w:trPr>
          <w:trHeight w:val="209"/>
        </w:trPr>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change in retirement-related benefit plans, net of tax</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(4,309)</w:t>
            </w:r>
          </w:p>
        </w:tc>
      </w:tr>
      <w:tr>
        <w:trPr>
          <w:trHeight w:val="197"/>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360" w:type="dxa"/>
            <w:vAlign w:val="bottom"/>
          </w:tcPr>
          <w:p>
            <w:pPr>
              <w:ind w:left="440"/>
              <w:spacing w:after="0"/>
              <w:rPr>
                <w:sz w:val="20"/>
                <w:szCs w:val="20"/>
                <w:color w:val="auto"/>
              </w:rPr>
            </w:pPr>
            <w:r>
              <w:rPr>
                <w:rFonts w:ascii="Arial" w:cs="Arial" w:eastAsia="Arial" w:hAnsi="Arial"/>
                <w:sz w:val="16"/>
                <w:szCs w:val="16"/>
                <w:color w:val="auto"/>
              </w:rPr>
              <w:t>Unrealized gains (losses), net of taxes of nil in all periods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Reclassification adjustment for realized losses (gains), net of taxes of nil in all periods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(6,652)</w:t>
            </w:r>
          </w:p>
        </w:tc>
      </w:tr>
      <w:tr>
        <w:trPr>
          <w:trHeight w:val="209"/>
        </w:trPr>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change in derivatives, net of tax</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r>
      <w:tr>
        <w:trPr>
          <w:trHeight w:val="210"/>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 of other comprehensive loss of equity method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9"/>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(8,191)</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531,053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(536,131)</w:t>
            </w:r>
          </w:p>
        </w:tc>
      </w:tr>
      <w:tr>
        <w:trPr>
          <w:trHeight w:val="215"/>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3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(loss) attributable to Sabre Corporation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531,708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(278,582)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(535,799)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724,479</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118,558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21,039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286,601</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74,055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76,518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09"/>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1,296,038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1,163,218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 of accumulated depreciation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233,785</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22,470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2,384,191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2,383,380</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137,411</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272,876</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4"/>
        </w:trPr>
        <w:tc>
          <w:tcPr>
            <w:tcW w:w="84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242,992</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105,533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265,065</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60,200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186,563</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245,651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230,214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09"/>
        </w:trPr>
        <w:tc>
          <w:tcPr>
            <w:tcW w:w="84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1,213,571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1,141,774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30,120</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173,172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204,041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4,103,208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4,834,776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00"/>
              <w:spacing w:after="0" w:line="162" w:lineRule="exact"/>
              <w:rPr>
                <w:sz w:val="20"/>
                <w:szCs w:val="20"/>
                <w:color w:val="auto"/>
              </w:rPr>
            </w:pPr>
            <w:r>
              <w:rPr>
                <w:rFonts w:ascii="Arial" w:cs="Arial" w:eastAsia="Arial" w:hAnsi="Arial"/>
                <w:sz w:val="16"/>
                <w:szCs w:val="16"/>
                <w:color w:val="auto"/>
              </w:rPr>
              <w:t>Common stock: $0.01 par value; 1,000,000 authorized shares; 427,366 and 414,754 shares issued, 395,004 and</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4,274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385,932 shares outstanding at December 31, 2025 and 2024, respectively</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3,304,466</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Treasury stock, at cost, 32,362 and 28,822 shares at December 31, 2025 and 2024,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(537,197)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(526,789)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(3,802,535)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(4,327,152)</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(66,656)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(73,747)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(1,036,494)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(1,604,699)</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70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r>
      <w:tr>
        <w:trPr>
          <w:trHeight w:val="140"/>
        </w:trPr>
        <w:tc>
          <w:tcPr>
            <w:tcW w:w="70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2023</w:t>
            </w: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Net income (loss)</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523,962</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(278,683)</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(527,940)</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Adjustments to reconcile net income (loss) to cash provided by (used in)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(Income) loss from discontinued operations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(779,452)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7,135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36,402</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Payment of previously paid-in-kind interest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(199,938)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Depreciation and amortization</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105,920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109,521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121,217</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Loss on extinguishment of debt, net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90,680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37,994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108,577</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Stock-based compensation expense</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45,661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49,027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46,707</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Amortization of upfront incentive consideration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38,225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34,317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34,833</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Amortization of debt discount and issuance costs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28,611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26,634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20,478</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Paid-in-kind interest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28,327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117,752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53,859</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Other</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(6,264)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6,988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(3,258)</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(Gain) on sale of assets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Deferred income taxes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5,134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(1,802)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19,076</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Provision for expected credit losses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1,869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4,954</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(Gain) loss on investment fair value adjustment</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(3,234)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2,400</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Changes in operating assets and liabilities: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Accounts and other receivables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(65,288)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18,029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18,306</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Prepaid expenses and other current assets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37,794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51,236</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Capitalized implementation costs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(8,563)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(13,085)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(4,242)</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Upfront incentive consideration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(23,712)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(9,432)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(13,942)</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Other assets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(13,892)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(4,391)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128</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Accrued compensation and related benefits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(18,921)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(31,246)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1,038</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Accounts payable and other accrued liabilities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126,177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36,971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49,359</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Deferred revenue including upfront solution fees</w:t>
            </w:r>
          </w:p>
        </w:tc>
        <w:tc>
          <w:tcPr>
            <w:tcW w:w="7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(20,003)</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(38,720)</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48,181</w:t>
            </w:r>
          </w:p>
        </w:tc>
      </w:tr>
      <w:tr>
        <w:trPr>
          <w:trHeight w:val="138"/>
        </w:trPr>
        <w:tc>
          <w:tcPr>
            <w:tcW w:w="7000" w:type="dxa"/>
            <w:vAlign w:val="bottom"/>
          </w:tcPr>
          <w:p>
            <w:pPr>
              <w:ind w:left="660"/>
              <w:spacing w:after="0"/>
              <w:rPr>
                <w:sz w:val="20"/>
                <w:szCs w:val="20"/>
                <w:color w:val="auto"/>
              </w:rPr>
            </w:pPr>
            <w:r>
              <w:rPr>
                <w:rFonts w:ascii="Arial" w:cs="Arial" w:eastAsia="Arial" w:hAnsi="Arial"/>
                <w:sz w:val="10"/>
                <w:szCs w:val="10"/>
                <w:color w:val="auto"/>
              </w:rPr>
              <w:t>Cash (used in) provided by operating activities</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(108,864)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70,249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67,369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Investing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Additions to property and equipment</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(82,887)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(79,527)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(80,920)</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Proceeds from sale of assets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9,267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Other investing activities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664</w:t>
            </w:r>
          </w:p>
        </w:tc>
      </w:tr>
      <w:tr>
        <w:trPr>
          <w:trHeight w:val="153"/>
        </w:trPr>
        <w:tc>
          <w:tcPr>
            <w:tcW w:w="70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Proceeds from sale of investments in securities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54,834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200"/>
              <w:spacing w:after="0"/>
              <w:rPr>
                <w:sz w:val="20"/>
                <w:szCs w:val="20"/>
                <w:color w:val="auto"/>
              </w:rPr>
            </w:pPr>
            <w:r>
              <w:rPr>
                <w:rFonts w:ascii="Arial" w:cs="Arial" w:eastAsia="Arial" w:hAnsi="Arial"/>
                <w:sz w:val="10"/>
                <w:szCs w:val="10"/>
                <w:color w:val="auto"/>
              </w:rPr>
              <w:t>Purchase of investments</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(11,200)</w:t>
            </w:r>
          </w:p>
        </w:tc>
      </w:tr>
      <w:tr>
        <w:trPr>
          <w:trHeight w:val="146"/>
        </w:trPr>
        <w:tc>
          <w:tcPr>
            <w:tcW w:w="70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0"/>
                <w:szCs w:val="10"/>
                <w:color w:val="auto"/>
              </w:rPr>
              <w:t>Cash used in investing activities</w:t>
            </w:r>
          </w:p>
        </w:tc>
        <w:tc>
          <w:tcPr>
            <w:tcW w:w="7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(73,820)</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(24,993)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(91,456)</w:t>
            </w:r>
          </w:p>
        </w:tc>
      </w:tr>
      <w:tr>
        <w:trPr>
          <w:trHeight w:val="146"/>
        </w:trPr>
        <w:tc>
          <w:tcPr>
            <w:tcW w:w="7000" w:type="dxa"/>
            <w:vAlign w:val="bottom"/>
          </w:tcPr>
          <w:p>
            <w:pPr>
              <w:spacing w:after="0"/>
              <w:rPr>
                <w:sz w:val="20"/>
                <w:szCs w:val="20"/>
                <w:color w:val="auto"/>
              </w:rPr>
            </w:pPr>
            <w:r>
              <w:rPr>
                <w:rFonts w:ascii="Arial" w:cs="Arial" w:eastAsia="Arial" w:hAnsi="Arial"/>
                <w:sz w:val="10"/>
                <w:szCs w:val="10"/>
                <w:b w:val="1"/>
                <w:bCs w:val="1"/>
                <w:color w:val="auto"/>
              </w:rPr>
              <w:t>Financing Activities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1"/>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Payments on borrowings from lenders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(3,686,879)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(1,750,740)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(1,573,729)</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Proceeds of borrowings from lenders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3,098,196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1,755,104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1,530,473</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Payments on borrowings under Securitization Facility</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(123,450)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(91,300)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(108,600)</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Proceeds from borrowings under Securitization Facility</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123,250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183,500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218,600</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Debt prepayment fees and issuance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(88,641)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(50,325)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(159,589)</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Net payment on the settlement of equity-based awards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(10,410)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(6,667)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(5,535)</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Receipts on Behalf under TSA</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2,183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Dividends paid on preferred stock</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(16,039)</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Proceeds from sale of redeemable shares in subsidiary</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16,000</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Other financing activities</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4,200</w:t>
            </w:r>
          </w:p>
        </w:tc>
      </w:tr>
      <w:tr>
        <w:trPr>
          <w:trHeight w:val="146"/>
        </w:trPr>
        <w:tc>
          <w:tcPr>
            <w:tcW w:w="70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0"/>
                <w:szCs w:val="10"/>
                <w:color w:val="auto"/>
              </w:rPr>
              <w:t>Cash (used in) provided by financing activities</w:t>
            </w:r>
          </w:p>
        </w:tc>
        <w:tc>
          <w:tcPr>
            <w:tcW w:w="7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(685,751)</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39,572</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(94,219)</w:t>
            </w:r>
          </w:p>
        </w:tc>
      </w:tr>
      <w:tr>
        <w:trPr>
          <w:trHeight w:val="146"/>
        </w:trPr>
        <w:tc>
          <w:tcPr>
            <w:tcW w:w="7000" w:type="dxa"/>
            <w:vAlign w:val="bottom"/>
          </w:tcPr>
          <w:p>
            <w:pPr>
              <w:spacing w:after="0"/>
              <w:rPr>
                <w:sz w:val="20"/>
                <w:szCs w:val="20"/>
                <w:color w:val="auto"/>
              </w:rPr>
            </w:pPr>
            <w:r>
              <w:rPr>
                <w:rFonts w:ascii="Arial" w:cs="Arial" w:eastAsia="Arial" w:hAnsi="Arial"/>
                <w:sz w:val="10"/>
                <w:szCs w:val="10"/>
                <w:b w:val="1"/>
                <w:bCs w:val="1"/>
                <w:color w:val="auto"/>
              </w:rPr>
              <w:t>Cash Flows from Discontinued Operations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1"/>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Cash (used in) provided by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(21,659)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(11,554)</w:t>
            </w:r>
          </w:p>
        </w:tc>
      </w:tr>
      <w:tr>
        <w:trPr>
          <w:trHeight w:val="144"/>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Cash provided by (used in) investing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1,050,242</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(18,525)</w:t>
            </w:r>
          </w:p>
        </w:tc>
      </w:tr>
      <w:tr>
        <w:trPr>
          <w:trHeight w:val="146"/>
        </w:trPr>
        <w:tc>
          <w:tcPr>
            <w:tcW w:w="7000" w:type="dxa"/>
            <w:vAlign w:val="bottom"/>
            <w:shd w:val="clear" w:color="auto" w:fill="CCEEFF"/>
          </w:tcPr>
          <w:p>
            <w:pPr>
              <w:ind w:left="660"/>
              <w:spacing w:after="0"/>
              <w:rPr>
                <w:sz w:val="20"/>
                <w:szCs w:val="20"/>
                <w:color w:val="auto"/>
              </w:rPr>
            </w:pPr>
            <w:r>
              <w:rPr>
                <w:rFonts w:ascii="Arial" w:cs="Arial" w:eastAsia="Arial" w:hAnsi="Arial"/>
                <w:sz w:val="10"/>
                <w:szCs w:val="10"/>
                <w:color w:val="auto"/>
              </w:rPr>
              <w:t>Cash provided by (used in) discontinued operations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1,028,583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(4,276)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(30,079)</w:t>
            </w:r>
          </w:p>
        </w:tc>
      </w:tr>
      <w:tr>
        <w:trPr>
          <w:trHeight w:val="144"/>
        </w:trPr>
        <w:tc>
          <w:tcPr>
            <w:tcW w:w="7000" w:type="dxa"/>
            <w:vAlign w:val="bottom"/>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4,447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(4,278)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1,706</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Increase (decrease) in cash, cash equivalents and restricted cash</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164,595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76,274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(146,679)</w:t>
            </w:r>
          </w:p>
        </w:tc>
      </w:tr>
      <w:tr>
        <w:trPr>
          <w:trHeight w:val="14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cash equivalents and restricted cash at beginning of period</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745,518</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669,244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815,923</w:t>
            </w:r>
          </w:p>
        </w:tc>
      </w:tr>
      <w:tr>
        <w:trPr>
          <w:trHeight w:val="144"/>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cash equivalents and restricted cash at end of period</w:t>
            </w: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910,113</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745,518</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669,244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color w:val="auto"/>
              </w:rPr>
              <w:t>Cash payments for interest</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589,045</w:t>
            </w:r>
          </w:p>
        </w:tc>
        <w:tc>
          <w:tcPr>
            <w:tcW w:w="12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382,966</w:t>
            </w:r>
          </w:p>
        </w:tc>
        <w:tc>
          <w:tcPr>
            <w:tcW w:w="10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394,539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Capitalized interest</w:t>
            </w:r>
          </w:p>
        </w:tc>
        <w:tc>
          <w:tcPr>
            <w:tcW w:w="7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5,871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5,740</w:t>
            </w:r>
          </w:p>
        </w:tc>
      </w:tr>
      <w:tr>
        <w:trPr>
          <w:trHeight w:val="140"/>
        </w:trPr>
        <w:tc>
          <w:tcPr>
            <w:tcW w:w="7000" w:type="dxa"/>
            <w:vAlign w:val="bottom"/>
          </w:tcPr>
          <w:p>
            <w:pPr>
              <w:spacing w:after="0"/>
              <w:rPr>
                <w:sz w:val="20"/>
                <w:szCs w:val="20"/>
                <w:color w:val="auto"/>
              </w:rPr>
            </w:pPr>
            <w:r>
              <w:rPr>
                <w:rFonts w:ascii="Arial" w:cs="Arial" w:eastAsia="Arial" w:hAnsi="Arial"/>
                <w:sz w:val="10"/>
                <w:szCs w:val="10"/>
                <w:color w:val="auto"/>
              </w:rPr>
              <w:t>Non-cash additions to property and equipment</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13</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20"/>
                <w:szCs w:val="20"/>
                <w:color w:val="auto"/>
              </w:rPr>
            </w:pPr>
            <w:r>
              <w:rPr>
                <w:rFonts w:ascii="Arial" w:cs="Arial" w:eastAsia="Arial" w:hAnsi="Arial"/>
                <w:sz w:val="13"/>
                <w:szCs w:val="13"/>
                <w:color w:val="auto"/>
              </w:rPr>
              <w:t>See Notes to Consolidated Financial Statements.</w:t>
            </w:r>
          </w:p>
        </w:tc>
        <w:tc>
          <w:tcPr>
            <w:tcW w:w="7100" w:type="dxa"/>
            <w:vAlign w:val="bottom"/>
          </w:tcPr>
          <w:p>
            <w:pPr>
              <w:jc w:val="right"/>
              <w:ind w:right="5439"/>
              <w:spacing w:after="0"/>
              <w:rPr>
                <w:sz w:val="20"/>
                <w:szCs w:val="20"/>
                <w:color w:val="auto"/>
              </w:rPr>
            </w:pPr>
            <w:r>
              <w:rPr>
                <w:rFonts w:ascii="Arial" w:cs="Arial" w:eastAsia="Arial" w:hAnsi="Arial"/>
                <w:sz w:val="16"/>
                <w:szCs w:val="16"/>
                <w:color w:val="auto"/>
              </w:rPr>
              <w:t>55</w:t>
            </w:r>
          </w:p>
        </w:tc>
      </w:tr>
      <w:tr>
        <w:trPr>
          <w:trHeight w:val="103"/>
        </w:trPr>
        <w:tc>
          <w:tcPr>
            <w:tcW w:w="414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60"/>
              <w:spacing w:after="0"/>
              <w:rPr>
                <w:sz w:val="20"/>
                <w:szCs w:val="20"/>
                <w:color w:val="auto"/>
              </w:rPr>
            </w:pPr>
            <w:r>
              <w:rPr>
                <w:rFonts w:ascii="Arial" w:cs="Arial" w:eastAsia="Arial" w:hAnsi="Arial"/>
                <w:sz w:val="9"/>
                <w:szCs w:val="9"/>
                <w:b w:val="1"/>
                <w:bCs w:val="1"/>
                <w:color w:val="auto"/>
              </w:rPr>
              <w:t>Stockholders’ Equity (Deficit)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460" w:type="dxa"/>
            <w:vAlign w:val="bottom"/>
            <w:gridSpan w:val="5"/>
            <w:vMerge w:val="restart"/>
          </w:tcPr>
          <w:p>
            <w:pPr>
              <w:ind w:left="340"/>
              <w:spacing w:after="0"/>
              <w:rPr>
                <w:sz w:val="20"/>
                <w:szCs w:val="20"/>
                <w:color w:val="auto"/>
              </w:rPr>
            </w:pPr>
            <w:r>
              <w:rPr>
                <w:rFonts w:ascii="Arial" w:cs="Arial" w:eastAsia="Arial" w:hAnsi="Arial"/>
                <w:sz w:val="9"/>
                <w:szCs w:val="9"/>
                <w:b w:val="1"/>
                <w:bCs w:val="1"/>
                <w:color w:val="auto"/>
              </w:rPr>
              <w:t>Preferred Stock</w:t>
            </w:r>
          </w:p>
        </w:tc>
        <w:tc>
          <w:tcPr>
            <w:tcW w:w="1600" w:type="dxa"/>
            <w:vAlign w:val="bottom"/>
            <w:gridSpan w:val="5"/>
            <w:vMerge w:val="restart"/>
          </w:tcPr>
          <w:p>
            <w:pPr>
              <w:ind w:left="420"/>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Additional</w:t>
            </w:r>
          </w:p>
        </w:tc>
        <w:tc>
          <w:tcPr>
            <w:tcW w:w="1660" w:type="dxa"/>
            <w:vAlign w:val="bottom"/>
            <w:gridSpan w:val="5"/>
            <w:vMerge w:val="restart"/>
          </w:tcPr>
          <w:p>
            <w:pPr>
              <w:ind w:left="440"/>
              <w:spacing w:after="0"/>
              <w:rPr>
                <w:sz w:val="20"/>
                <w:szCs w:val="20"/>
                <w:color w:val="auto"/>
              </w:rPr>
            </w:pPr>
            <w:r>
              <w:rPr>
                <w:rFonts w:ascii="Arial" w:cs="Arial" w:eastAsia="Arial" w:hAnsi="Arial"/>
                <w:sz w:val="9"/>
                <w:szCs w:val="9"/>
                <w:b w:val="1"/>
                <w:bCs w:val="1"/>
                <w:color w:val="auto"/>
              </w:rPr>
              <w:t>Treasury Stock</w:t>
            </w:r>
          </w:p>
        </w:tc>
        <w:tc>
          <w:tcPr>
            <w:tcW w:w="14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Retained</w:t>
            </w: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7"/>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95" w:lineRule="exact"/>
              <w:rPr>
                <w:sz w:val="20"/>
                <w:szCs w:val="20"/>
                <w:color w:val="auto"/>
              </w:rPr>
            </w:pPr>
            <w:r>
              <w:rPr>
                <w:rFonts w:ascii="Arial" w:cs="Arial" w:eastAsia="Arial" w:hAnsi="Arial"/>
                <w:sz w:val="9"/>
                <w:szCs w:val="9"/>
                <w:b w:val="1"/>
                <w:bCs w:val="1"/>
                <w:color w:val="auto"/>
              </w:rPr>
              <w:t>Paid in</w:t>
            </w: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260"/>
              <w:spacing w:after="0" w:line="95" w:lineRule="exact"/>
              <w:rPr>
                <w:sz w:val="20"/>
                <w:szCs w:val="20"/>
                <w:color w:val="auto"/>
              </w:rPr>
            </w:pPr>
            <w:r>
              <w:rPr>
                <w:rFonts w:ascii="Arial" w:cs="Arial" w:eastAsia="Arial" w:hAnsi="Arial"/>
                <w:sz w:val="9"/>
                <w:szCs w:val="9"/>
                <w:b w:val="1"/>
                <w:bCs w:val="1"/>
                <w:color w:val="auto"/>
                <w:w w:val="98"/>
              </w:rPr>
              <w:t>Earnings</w:t>
            </w:r>
          </w:p>
        </w:tc>
        <w:tc>
          <w:tcPr>
            <w:tcW w:w="80" w:type="dxa"/>
            <w:vAlign w:val="bottom"/>
          </w:tcPr>
          <w:p>
            <w:pPr>
              <w:spacing w:after="0"/>
              <w:rPr>
                <w:sz w:val="2"/>
                <w:szCs w:val="2"/>
                <w:color w:val="auto"/>
              </w:rPr>
            </w:pPr>
          </w:p>
        </w:tc>
        <w:tc>
          <w:tcPr>
            <w:tcW w:w="880" w:type="dxa"/>
            <w:vAlign w:val="bottom"/>
            <w:gridSpan w:val="2"/>
            <w:vMerge w:val="restart"/>
          </w:tcPr>
          <w:p>
            <w:pPr>
              <w:jc w:val="center"/>
              <w:ind w:right="200"/>
              <w:spacing w:after="0" w:line="9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2"/>
                <w:szCs w:val="2"/>
                <w:color w:val="auto"/>
              </w:rPr>
            </w:pPr>
          </w:p>
        </w:tc>
        <w:tc>
          <w:tcPr>
            <w:tcW w:w="86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9"/>
              </w:rPr>
              <w:t>Noncontrolling</w:t>
            </w:r>
          </w:p>
        </w:tc>
        <w:tc>
          <w:tcPr>
            <w:tcW w:w="80" w:type="dxa"/>
            <w:vAlign w:val="bottom"/>
          </w:tcPr>
          <w:p>
            <w:pPr>
              <w:spacing w:after="0"/>
              <w:rPr>
                <w:sz w:val="2"/>
                <w:szCs w:val="2"/>
                <w:color w:val="auto"/>
              </w:rPr>
            </w:pPr>
          </w:p>
        </w:tc>
        <w:tc>
          <w:tcPr>
            <w:tcW w:w="720" w:type="dxa"/>
            <w:vAlign w:val="bottom"/>
            <w:vMerge w:val="restart"/>
          </w:tcPr>
          <w:p>
            <w:pPr>
              <w:jc w:val="center"/>
              <w:ind w:right="27"/>
              <w:spacing w:after="0" w:line="9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48"/>
        </w:trPr>
        <w:tc>
          <w:tcPr>
            <w:tcW w:w="2080" w:type="dxa"/>
            <w:vAlign w:val="bottom"/>
          </w:tcPr>
          <w:p>
            <w:pPr>
              <w:spacing w:after="0"/>
              <w:rPr>
                <w:sz w:val="4"/>
                <w:szCs w:val="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4"/>
                <w:szCs w:val="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Capital</w:t>
            </w: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(Deficit)</w:t>
            </w:r>
          </w:p>
        </w:tc>
        <w:tc>
          <w:tcPr>
            <w:tcW w:w="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Income (Loss)</w:t>
            </w: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Interest</w:t>
            </w:r>
          </w:p>
        </w:tc>
        <w:tc>
          <w:tcPr>
            <w:tcW w:w="80" w:type="dxa"/>
            <w:vAlign w:val="bottom"/>
          </w:tcPr>
          <w:p>
            <w:pPr>
              <w:spacing w:after="0"/>
              <w:rPr>
                <w:sz w:val="11"/>
                <w:szCs w:val="11"/>
                <w:color w:val="auto"/>
              </w:rPr>
            </w:pPr>
          </w:p>
        </w:tc>
        <w:tc>
          <w:tcPr>
            <w:tcW w:w="720" w:type="dxa"/>
            <w:vAlign w:val="bottom"/>
          </w:tcPr>
          <w:p>
            <w:pPr>
              <w:jc w:val="center"/>
              <w:ind w:right="27"/>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3,290,000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353,436,503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3,534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3,198,580</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24,894,998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(514,215)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(3,506,528)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(65,731)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11,500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(872,827)</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(527,608)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(8,191)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(534,639)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(14,257)</w:t>
            </w: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line="109" w:lineRule="exact"/>
              <w:rPr>
                <w:sz w:val="20"/>
                <w:szCs w:val="20"/>
                <w:color w:val="auto"/>
              </w:rPr>
            </w:pPr>
            <w:r>
              <w:rPr>
                <w:rFonts w:ascii="Arial" w:cs="Arial" w:eastAsia="Arial" w:hAnsi="Arial"/>
                <w:sz w:val="11"/>
                <w:szCs w:val="11"/>
                <w:color w:val="auto"/>
              </w:rPr>
              <w:t>Conversion of preferred stock to</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(3,290,000)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46,999,367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5,478,793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375</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1,450,686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(5,909)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(5,479)</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52,015</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52,015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2023</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405,914,663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4,059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3,249,901</w:t>
            </w:r>
          </w:p>
        </w:tc>
        <w:tc>
          <w:tcPr>
            <w:tcW w:w="10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26,345,684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(520,124)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(4,048,393)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(73,922)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12,660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(1,375,819)</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(278,759)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(276,866)</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8,839,013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2,476,800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(6,665)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(6,579)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54,567</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54,567</w:t>
            </w:r>
          </w:p>
        </w:tc>
        <w:tc>
          <w:tcPr>
            <w:tcW w:w="0" w:type="dxa"/>
            <w:vAlign w:val="bottom"/>
          </w:tcPr>
          <w:p>
            <w:pPr>
              <w:spacing w:after="0"/>
              <w:rPr>
                <w:sz w:val="1"/>
                <w:szCs w:val="1"/>
                <w:color w:val="auto"/>
              </w:rPr>
            </w:pPr>
          </w:p>
        </w:tc>
      </w:tr>
      <w:tr>
        <w:trPr>
          <w:trHeight w:val="156"/>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414,753,676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4,147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3,304,466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28,822,484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(526,789)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(4,327,152)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14,376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(1,604,699)</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524,617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Arial" w:cs="Arial" w:eastAsia="Arial" w:hAnsi="Arial"/>
                <w:sz w:val="11"/>
                <w:szCs w:val="11"/>
                <w:color w:val="auto"/>
              </w:rPr>
              <w:t>7,091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531,841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12,612,965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3,539,950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(10,408)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(10,283)</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46,387</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46,387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260</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260</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2025</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427,366,641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4,274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3,351,111</w:t>
            </w:r>
          </w:p>
        </w:tc>
        <w:tc>
          <w:tcPr>
            <w:tcW w:w="1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32,362,434</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(537,197)</w:t>
            </w:r>
          </w:p>
        </w:tc>
        <w:tc>
          <w:tcPr>
            <w:tcW w:w="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(3,802,535)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(66,656)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14,509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(1,036,494)</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Our mandatory convertible preferred stock accumulated cumulative dividends at an annual rate of 6.50%.</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8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At Sabre, we make travel happen. We are a global technology company that provides a global business-to-business travel marketplace for travel suppliers and travel buyers, including a broad portfolio of software technology products and solutions for airlines. With the disposition of our Hospitality Solutions business during 2025, we manage and report our business in one reportable segment that constitutes our consolidated results.</w:t>
      </w:r>
    </w:p>
    <w:p>
      <w:pPr>
        <w:spacing w:after="0" w:line="7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i w:val="1"/>
          <w:iCs w:val="1"/>
          <w:color w:val="auto"/>
        </w:rPr>
        <w:t>Recent Events—</w:t>
      </w:r>
      <w:r>
        <w:rPr>
          <w:rFonts w:ascii="Arial" w:cs="Arial" w:eastAsia="Arial" w:hAnsi="Arial"/>
          <w:sz w:val="16"/>
          <w:szCs w:val="16"/>
          <w:color w:val="auto"/>
        </w:rPr>
        <w:t>On April 27, 2025, we entered into a definitive purchase agreement with an affiliate of TPG (the “Buyer”), an unrelated party,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Buyer agreed to purchase our Hospitality Solutions business, and on July 3, 2025, we closed the sale (the “Hospitality Solutions Sale”). The assets and liabilities associated with the Hospitality Solutions business are presented as discontinued operations on our consolidated balance sheet as of December 31, 2024, and the operating results of our Hospitality Solutions business are presented as discontinued operations on our consolidated statements of operations for all periods presented. See Note 3. Discontinued Operations and Dispositions for further details.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We consolidate all majority-owned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 We have reclassified certain amounts in the notes to the financial statements, in the prior periods, to conform to current period presentation.</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Within our results of operations, cost of revenue, excluding technology costs, primarily consists of costs associated with the delivery and distribution of our products and services, including employee-related costs for our delivery, customer operations and call center teams, transactional-related costs, including travel agency incentive consideration for reservations made on our global distribution system ("GDS"), amortization of upfront incentive consideration, depreciation and amortization associated with capitalized implementation costs, and certain intangible assets, and costs such as stock-based compensation and restructuring charges (in applicable periods). Technology costs consist of expenses related to third-party providers and employee-related costs to operate technology operations including data processing and hosting, third-party software, other costs associated with the maintenance and minor enhancement of our technology, and depreciation and amortization associated with software developed for internal use that supports our products, assets supporting our technology platform, businesses and systems and intangible assets related to technology. Technology costs also include costs associated with our technology transformation efforts as well as certain expenses such as stock-based compensation and restructuring charges (in applicable periods). Selling, general and administrative expenses consist of professional service fees, certain settlement charges or reimbursements, costs to defend legal disputes, provision for expected credit losses, non-recoverable taxes, indirect taxes, other overhead costs, personnel-related expenses, including stock-based compensation, for employees engaged in sales, sales support, account management and who administratively support the business in finance, legal, human resources, information technology and communications, and depreciation and amortization associated with property and equipment, acquired customer relationships, trademarks and brand names.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Revenue recognition is primarily driven by GDS and reservation system transactions. Timing of revenue recognition is primarily based on the consistent provision of services in a stand-ready series SaaS environment, and the amount of revenue recognized varies with the volume of transactions processed. Revenue is recognized if it is not considered probable of reversal.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ind w:left="500"/>
        <w:spacing w:after="0"/>
        <w:rPr>
          <w:sz w:val="20"/>
          <w:szCs w:val="20"/>
          <w:color w:val="auto"/>
        </w:rPr>
      </w:pPr>
      <w:r>
        <w:rPr>
          <w:rFonts w:ascii="Arial" w:cs="Arial" w:eastAsia="Arial" w:hAnsi="Arial"/>
          <w:sz w:val="16"/>
          <w:szCs w:val="16"/>
          <w:i w:val="1"/>
          <w:iCs w:val="1"/>
          <w:color w:val="auto"/>
        </w:rPr>
        <w:t>Performance Obligations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Accounting Standards Codification ("ASC") 606. The transaction price is allocated to each performance obligation and recognized as revenue when, or as, the performance obligation is satisfied. Most of our contracts for GDS services have a single stand-ready series performance obligation. For IT Solutions revenue, many of our contracts may have multiple performance obligations, which generally include software and product solutions through SaaS and hosted delivery, and other service fees. We also evaluate performance obligations across multiple agreements when entered into with the same customer at or near the same time.</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significant product and services and methods of recognition are as follows: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Stand-ready series revenue recognition</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recognize revenue from usage-based fees for the use of the software which represents a stand-ready performance obligation. Variability in the usage-based fee that does not align with the value provided to the customer can result in a difference between billings to the customer and the timing of contract performance and revenue recognition, which may result in the recognition of a contract asset. This can result in a requirement to forecast expected usage-based fees and volumes over the contract term in order to determine the rate for revenue recognition. This variable consideration is constrained if there is an inability to reliably forecast this revenue or if future reversal is considered probable. Additionally, we may occasionally recognize revenue in the current period for performance obligations partially or fully satisfied in the previous periods resulting from changes in estimates of the transaction price, including any changes to our assessment of whether an estimate of variable consideration is constrained.</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Transactional revenue</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generate distribution revenue for bookings made through our GDS (e.g., Air, and Lodging, Ground and Sea ("LGS")). GDS services link and engage transactions between travel agents and travel suppliers. Revenue is generated from contracts with the travel suppliers as each booking is made or transaction occurs and represents a stand-ready series performance obligation where our systems perform the same service each day for the customer, based on the customer’s level of usage. Distribution revenue associated with car rental, hotel transactions and other travel providers is recognized at the time the reservation is used by the customer. Distribution revenue associated with airline travel reservations is recognized at the time of booking of the reservation, net of estimated future cancellations. Cancellations prior to the day of departure are estimated based on historical and expected levels of cancellation rates, adjusted to take into account any recent factors which could cause a change in those rates.</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generate IT Solutions revenue from our product offerings including reservation systems for full-service and low-cost carriers, commercial and operations products, agency solutions and booking data. Reservation system revenue is primarily generated based on the number of passengers boarded. Generally, customers are charged a fixed, upfront solutions fee and a recurring usage-based fee for the use of the software in a stand-ready series performance obligation. In the context of both our reservation systems and our commercial and operations products, upfront solutions fees are recognized primarily on a straight-line basis over the relevant contract term, upon cut-over of the primary SaaS solution.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Assets and Deferred Customer Advances and Discounts</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and deferred customer advances and discounts are reviewed for recoverability on a periodic basis based on a review of impairment indicators, future contracted revenues and estimated direct costs of the contract when a significant event occurs that could impact the recoverability of the assets, such as a significant contract modification or early renewal of contract terms. Impairment related to these assets as a result of the related contract becoming uncollectible, modified or canceled were immaterial for each of the years ended December 31, 2025, 2024 and 2023. Contracts are priced to generate total revenues over the life of the contract that exceed any discounts or advances provided and any upfront costs incurred to implement the customer contract.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revenue recognition patterns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also provide other services including development labor or professional consulting. These services can be sold separately or with other products and services, and we may bundle multiple technology solutions in one arrangement with these other services. Revenue from other services consisting of development services that represent minor configuration or professional consulting is generally recognized over the period the services are performed or upon completed delivery. We also collect subscription fees which are recognized over the term of the contract.</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also directly license certain software to our customers where the customer obtains on-site control of the license. Revenue from software license fees is recognized when the customer gains control of the software enabling them to directly use the software and obtain substantially all of the remaining benefits. Fees for ongoing software maintenance are recognized ratably over the life of the contract. Under these arrangements, often we are entitled to minimum fees which are collected over the term of the agreement, while the revenue from the license is recognized at the point when the customer gains control, which results in current and long-term unbilled receivables for these arrangements.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0" w:name="page61"/>
    <w:bookmarkEnd w:id="60"/>
    <w:p>
      <w:pPr>
        <w:jc w:val="both"/>
        <w:ind w:firstLine="486"/>
        <w:spacing w:after="0" w:line="265" w:lineRule="auto"/>
        <w:rPr>
          <w:sz w:val="20"/>
          <w:szCs w:val="20"/>
          <w:color w:val="auto"/>
        </w:rPr>
      </w:pPr>
      <w:r>
        <w:rPr>
          <w:rFonts w:ascii="Arial" w:cs="Arial" w:eastAsia="Arial" w:hAnsi="Arial"/>
          <w:sz w:val="16"/>
          <w:szCs w:val="16"/>
          <w:color w:val="auto"/>
        </w:rPr>
        <w:t>Variability in the amounts billed to the customer and revenue recognized coincides with the customer’s level of usage with the exception of upfront solution fees, non-usage based variable consideration, license and maintenance agreements and other services including development labor and professional consulting. Contracts with the same customer which are entered into at or around the same period are analyzed for revenue recognition purposes on a combined basis across our businesses which can impact timing of revenue recognition.</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contracts with multiple performance obligations,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Revenue recognition from our business requires significant judgments such as identifying distinct performance obligations including estimating the total contract consideration and allocating amounts to each distinct performance obligation, determining whether variable pricing within a contract meets the allocation objective, assessing revenue for constraint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evaluate whether it is appropriate to record the gross amount of our revenues and related costs by considering whether the entity is a principal (gross presentation) or an agent (net presentation) by evaluating the nature of our promise to the customer. We report revenue net of any revenue-based taxes assessed by governmental authorities that are imposed on and concurrent with specific revenue producing transactions.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Incentive Consideration</w:t>
      </w:r>
    </w:p>
    <w:p>
      <w:pPr>
        <w:spacing w:after="0" w:line="1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excluding technology costs over the expected life of the service contract, which is generally three to ten years. Deferred charges related to such contracts are recorded in other assets, net on the consolidated balance sheets. The service contracts are priced so that the airline and other booking fees generated over the life of the contract will exceed the cost of the incentive consideration provided. Incentive consideration paid to the travel agency represents a commission paid to the travel agency for booking travel on our GDS. Similar to the revenue cancellation reserve, we record a reduction to incentive expense within cost of revenue, excluding technology costs for amounts considered probable of recovery from travel agencies for incentives previously paid on cancelled bookings.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Advertising costs are expensed as incurred. Advertising costs incurred by our continuing operations totaled $9 million, $8 million and $10 million for the years ended December 31, 2025, 2024 and 2023,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classify all highly liquid instruments, including money market funds and money market securities with original maturities of three months or less, as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Restricted cash primarily includes $21 million of cash collateral for standby letters of credit associated with guarantees related to our bilateral letter of credit facility issued in conjunction with our Senior Secured Credit Facility and $98 million of cash restricted for purposes of redeeming the 8.625% senior secured notes due 2027, in 2026, which is subject to an irrevocable satisfaction and discharge agreement with the trustee. See Note 10. Debt for additional information.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 and Concentration of Credit Risk</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unique to each and we determine the adequacy of our allowance for credit loss by assessing the risks and losses inherent in our receivables related to each.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jc w:val="both"/>
        <w:ind w:firstLine="486"/>
        <w:spacing w:after="0" w:line="258" w:lineRule="auto"/>
        <w:rPr>
          <w:sz w:val="20"/>
          <w:szCs w:val="20"/>
          <w:color w:val="auto"/>
        </w:rPr>
      </w:pPr>
      <w:r>
        <w:rPr>
          <w:rFonts w:ascii="Arial" w:cs="Arial" w:eastAsia="Arial" w:hAnsi="Arial"/>
          <w:sz w:val="16"/>
          <w:szCs w:val="16"/>
          <w:color w:val="auto"/>
        </w:rPr>
        <w:t>The majority of our receivables are trade receivables due in less than one year. In addition to our short-term trade and unbilled receivables, our receivables also include contract assets and long-term trade unbilled receivables. See Note 2. Revenue from Contracts with Customers for more information about these financial assets. Contract assets and long-term receivables are reviewed for recoverability on a periodic basis based on a review of subjective factors and trends in collection data including the aging of our trade receivable balances with these customers and expectations of future global economic growth. Our credit risk is mitigated with carriers who use the Airline Clearing House or other similar clearing houses (“ACH”), as ACH requires participants to deposit certain balances into their demand deposit accounts by certain deadlines, which facilitates a timely settlement process. For those carriers from which we do not collect payments through the ACH, our credit risk is higher. We monitor our ongoing credit exposure for these carriers through active review of customer balances against contract terms and due dates with account management. Our activities include established collection processes, account reconciliations, dispute resolution and payment confirmations. We may employ collection agencies and legal counsel to pursue recovery of defaulted receivables. We generally do not require security or collateral from our customers as a condition of sale.</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determine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assumes that economic and credit conditions existing at the balance sheet date would remain unchanged over the remaining contractual life of these assets.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Receivables are considered to be delinquent when contractual payment terms are exceeded. All receivables aged over twelve months are fully reserved. Receivables are written off against the allowance when it is probable that all remaining contractual payments will not be collected as evidenced by factors such as the extended age of the balance, the exhaustion of collection efforts, and the lack of ongoing contact or billing with the customer.</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maintained an allowance for credit losses of approximately $18 million and $24 million at December 31, 2025 and 2024, respectively. See Note 9.</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Credit Losses for further considerations involved in the development of this estimate.</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recognize all derivatives on the consolidated balance sheets at fair value and do not offset fair value amounts recognized for derivative instruments executed with the same counterparty under a master netting arrangement. If the derivative is designated as a hedge, depending on the nature of the hedge, changes in the fair value of derivatives are offset against the change in fair value of the hedged item through earnings (a “fair value hedge”) or recognized in other comprehensive income (loss) until the hedged item is recognized in earnings (a “cash flow hedge”).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11"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Property and equipment are stated at cost less accumulated depreciation and amortization, which is calculated on the straight-line basis. Our depreciation and amortization policies are as follows: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1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Lesser of lease term or 35 years</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Lesser of lease term or useful life</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5 to 15 years</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Equipment, general office and computer</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3 to 5 years</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developed for internal use</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 to 7 years</w:t>
            </w:r>
          </w:p>
        </w:tc>
      </w:tr>
    </w:tbl>
    <w:p>
      <w:pPr>
        <w:spacing w:after="0" w:line="2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in accordance with GAAP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SaaS-related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7. Balance Sheet Components, for amounts capitalized as property and equipment in our consolidated balance sheets. Depreciation and amortization of property and equipment totaled $61 million, $62 million and $68 million for the years ended December 31, 2025, 2024 and 2023, respectively. Amortization of software developed for internal use totaled $50 million, $48 million and $55 million for the years ended December 31, 2025, 2024 and 2023, respectively. During the years ended December 31, 2025, 2024 and 2023, we capitalized $81 million, $61 million, and $71 million, respectively, related to software developed for internal use.</w:t>
      </w:r>
    </w:p>
    <w:p>
      <w:pPr>
        <w:spacing w:after="0" w:line="8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also evaluate the useful lives of these assets on an annual basis and test for impairment whenever events or changes in circumstances indicate that the carrying amount of the assets used in combination to generate cash flows largely independent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6"/>
          <w:szCs w:val="16"/>
          <w:color w:val="auto"/>
        </w:rPr>
        <w:t>of other assets may not be recoverable. We did not record any property and equipment impairment charges for the years ended December 31, 2025 and 2024.</w:t>
      </w:r>
    </w:p>
    <w:p>
      <w:pPr>
        <w:spacing w:after="0" w:line="35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lease certain facilities under long term operating leases. We determine if an arrangement is a lease at inception. We evaluate lessee agreements with a minimum term greater than one year for recording on the balance sheet. Operating lease assets are included in operating lease right-of-use (“ROU”) assets within other assets, net and operating lease liabilities are included in other current liabilities and other noncurrent liabilities in our consolidated balance sheets. Finance lease assets are included in property and equipment with associated liabilities included in current portion of debt and long-term debt in our consolidated balance sheets. We did not have any finance lease assets for the years ended December 31, 2025 and 2024.</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internal borrowing rate for leases with a lease term of less than or equal to five years. For leases with a lease term greater than five years, we use our incremental borrowing rate based on the estimated rate of interest for corporate bond borrowings over a similar term of the lease payments.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straight-line basis over the term of the lease.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We recognize measurement-period adjustments in the period in which we determine the amounts, including the effect on earnings of any amounts we would have recorded in previous periods if the accounting had been completed at the acquisition date.</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Divestitures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periodically divest assets that we do not consider core to our business strategy. The carrying value of the net assets held for sale are compared to their fair value, less cost to sell, and any initial adjustments of the carrying value to fair value, less cost to sell are recorded when the held for sale criteria are met. Gains or losses associated with the disposal of assets held for sale are recorded within other, net in our consolidated statements of operations. When the net assets constitute a business, we allocate a portion of the goodwill from the related reporting unit to the carrying value of the net assets held for sale. The amount of goodwill allocated is based on the relative fair values of the business to be disposed of and the portion of the reporting unit that will be retained.</w:t>
      </w:r>
    </w:p>
    <w:p>
      <w:pPr>
        <w:spacing w:after="0" w:line="3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Goodwill is the excess of the purchase price over the fair value of identifiable tangible and intangible assets acquired in business combinations. Goodwill is not amortized but is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perform our annual goodwill impairment assessment as of October 1 of each year and interim assessments as required upon the identification of a triggering event. We begin with the qualitative assessment of whether it is more likely than not that a reporting unit’s fair value is less than its carrying value before applying the quantitative assessment described below. If it is determined through the evaluation of events or circumstances that the carrying value may not be recoverable, or if we decide to bypass the qualitative assessment, we perform a quantitative assessment comparing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We utilize third-party appraisal firms to assist us in determining the fair value of a reporting unit as part of performing the quantitative assessment. We have one reporting unit associated with our continuing operations. We did not record any goodwill impairment charges for the years ended December 31, 2025, 2024 and 2023. See Note 6. Goodwill and Intangible Assets for additional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jc w:val="both"/>
        <w:ind w:firstLine="486"/>
        <w:spacing w:after="0" w:line="259"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any intangible asset impairment charges for the years ended December 31, 2025, 2024 and 2023. See Note 6. Goodwill and Intangible Assets for additional information.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utilize the equity method to account for our interests in entities that we do not control but over which we exert significant influence. We periodically evaluate investments accounted for under the equity method for impairment by reviewing updated financial information provided by the investee, including valuation information from new financing transactions by the investee and information relating to competitors of investees when available. We own voting interests in various national marketing companies ranging from 20% to 49%, a voting interest of 40% in ESS Elektroniczne Systemy Spzedazy Sp. zo.o, and a voting interest of 20% in Asiana Sabre, Inc. The carrying value of these equity method investments in joint ventures amounts to $20 million and $19 million as of December 31, 2025 and 2024,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incur contract acquisition costs related to new contracts with our customers in the form of sales commissions based on estimated contract value. These costs are capitalized and reviewed for impairment on an annual basis. We generally amortize these costs, and those for renewals, over the average contract term for those businesses, excluding commissions on contracts with a term of one year or less, which are generally expensed in the period earned and recorded within selling, general and administrative expenses.</w:t>
      </w:r>
    </w:p>
    <w:p>
      <w:pPr>
        <w:spacing w:after="0" w:line="6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two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See Note 7. Balance Sheet Components and Note 2. Revenue from Contracts with Customers, for additional information. Amortization of capitalized implementation costs, included in depreciation and amortization, totaled $11 million, $13 million and $17 million for the years ended December 31, 2025, 2024 and 2023, respectively.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enacted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recognize liabilities when we determine a tax position is not more likely than not to be sustained upon examination by the tax authorities. We use significant judgment in determining whether a tax position's technical merits are more likely than not to be sustained and in measuring the amount of tax benefit that qualifies for recognition. For matters that are determined will more likely than not be sustained, we measure the tax benefit as the largest amount which is more than 50% likely of being realized upon ultimate settlement. We recognize penalties and interest accrued related to income taxes as a component of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6"/>
          <w:szCs w:val="16"/>
          <w:color w:val="auto"/>
        </w:rPr>
        <w:t>provision for income taxes. As the matters challenged by the taxing authorities are typically complex and open to subjective interpretation, their ultimate outcome may differ from the amounts recognized.</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recognize liabilities, if any, related to global low-taxed intangible income (“GILTI”) in the year in which the liability arises and not as a deferred tax liability.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Compensation expense on stock awards subject to performance conditions, which is based on the quantity of awards we have determined are probable of vesting, is recognized over the longer of the estimated performance goal attainment period or time vesting period. We recognize equity-based compensation expense net of any actual forfeitures.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based on the historical volatility of our stock price. The expected risk-free interest rates are based on the yields of U.S. Treasury securities with maturities appropriate for the expected term of the stock options. The expected dividend yield is based on the calculated yield on our common stock at the time of grant. No stock options were granted during the years ended December 31, 2025, 2024 and 2023.</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Adoption of New Accounting Standards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December 2023, the Financial Accounting Standards Board ("FASB") issued updated guidance to enhance the transparency and decision usefulness of income tax disclosures through improvements primarily related to the rate reconciliation and income taxes paid information. The updated standard is effective for public companies for fiscal years beginning after December 15, 2024, with early adoption permitted. The updated standard can be applied on a prospective basis, although retrospective application to all periods presented is permitted. We adopted this standard on a prospective basis as of December 31, 2025. See Note 8. Income Taxes for more information on the impacts from adoption.</w:t>
      </w:r>
    </w:p>
    <w:p>
      <w:pPr>
        <w:spacing w:after="0" w:line="7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6"/>
          <w:szCs w:val="16"/>
          <w:color w:val="auto"/>
        </w:rPr>
        <w:t>In July 2025, the FASB issued updated guidance to simplify the application of the current expected credit loss (“CECL”) model for certain short-duration financial assets. The standard is effective for fiscal years beginning after December 15, 2025, including interim periods within those fiscal years, with early adoption permitted. We early adopted this standard for the year ended December 31, 2025, including the application of the practical expedient related to the estimation of expected credit losses for current accounts receivable and current contract assets. The adoption had no impact on our financial statements.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November 2024, the FASB issued guidance regarding disaggregation of income statement expenses, which requires additional disclosure of certain costs and expenses within the notes to the financial statements. The standard is effective for public companies for fiscal years beginning after December 15, 2026, and interim periods within fiscal years beginning after December 15, 2027, with early adoption permitted. We are currently evaluating the impact that this standard will have on our consolidated financial statement disclosures.</w:t>
      </w:r>
    </w:p>
    <w:p>
      <w:pPr>
        <w:spacing w:after="0" w:line="65"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 September 2025, the FASB issued guidance regarding intangibles—goodwill and other—internal-use software, which updates the accounting and disclosures for software costs. The standard is effective for public companies for fiscal years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6"/>
          <w:szCs w:val="16"/>
          <w:color w:val="auto"/>
        </w:rPr>
        <w:t>beginning after December 15, 2027, and interim reporting periods within those annual reporting periods, with early adoption permitted. We are currently evaluating the impact that this standard will have on our consolidated financial statements and related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SaaS revenues, and hosted revenues. Timing differences among revenue recognition, unconditional rights to bill, and receipt of contract consideration may result in contract assets or contract liabilities.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December 31,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Pr>
          <w:p>
            <w:pPr>
              <w:spacing w:after="0"/>
              <w:rPr>
                <w:sz w:val="17"/>
                <w:szCs w:val="17"/>
                <w:color w:val="auto"/>
              </w:rPr>
            </w:pPr>
          </w:p>
        </w:tc>
        <w:tc>
          <w:tcPr>
            <w:tcW w:w="1560" w:type="dxa"/>
            <w:vAlign w:val="bottom"/>
          </w:tcPr>
          <w:p>
            <w:pPr>
              <w:jc w:val="right"/>
              <w:ind w:right="24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57"/>
        </w:trPr>
        <w:tc>
          <w:tcPr>
            <w:tcW w:w="36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82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Prepaid expenses and other current assets / other</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16,692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28,112</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0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308,825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282,173</w:t>
            </w:r>
          </w:p>
        </w:tc>
        <w:tc>
          <w:tcPr>
            <w:tcW w:w="0" w:type="dxa"/>
            <w:vAlign w:val="bottom"/>
          </w:tcPr>
          <w:p>
            <w:pPr>
              <w:spacing w:after="0"/>
              <w:rPr>
                <w:sz w:val="1"/>
                <w:szCs w:val="1"/>
                <w:color w:val="auto"/>
              </w:rPr>
            </w:pPr>
          </w:p>
        </w:tc>
      </w:tr>
      <w:tr>
        <w:trPr>
          <w:trHeight w:val="21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96,753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107,867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contract assets of $4 million and $8 million for December 31, 2025 and 2024, respectively.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year ended December 31, 2025, we recognized revenue of approximately $25 million from contract liabilities that existed as of January 1,</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2025. Our long-term trade unbilled receivables, net relate to fixed license fees billed over the contractual period and recognized when the customer gains control of the software. We evaluate collectability of our accounts receivable based on a combination of factors and record reserves as described further in Note 9. Credit Losses.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revenues disaggregated by business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1"/>
        </w:trPr>
        <w:tc>
          <w:tcPr>
            <w:tcW w:w="5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2023</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2,216,990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2,173,619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2,057,044</w:t>
            </w:r>
          </w:p>
        </w:tc>
      </w:tr>
      <w:tr>
        <w:trPr>
          <w:trHeight w:val="216"/>
        </w:trPr>
        <w:tc>
          <w:tcPr>
            <w:tcW w:w="5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IT Solutions</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553,993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571,226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585,033</w:t>
            </w: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Sabre Revenue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2,770,983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2,744,845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2,642,077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ind w:left="340" w:right="20" w:hanging="332"/>
        <w:spacing w:after="0" w:line="231" w:lineRule="auto"/>
        <w:tabs>
          <w:tab w:leader="none" w:pos="187"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license fee revenue recognized upon delivery to the customer of $5 million, $7 million and $7 million for the years ended December 31, 2025, 2024 and 2023, respectively.</w:t>
      </w:r>
    </w:p>
    <w:p>
      <w:pPr>
        <w:spacing w:after="0" w:line="8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year ended December 31, 2025, the impact on revenue recognized in the current period, from performance obligations partially or fully satisfied in the previous period, is $3 million.</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See Note 1. Summary of Business and Significant Accounting Policies regarding revenue recognition of our various revenue streams for more information.</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estimate future cancellations using the expected value approach at the end of each reporting period based on the number of undeparted bookings, expected cancellations and an estimated rate. Assumptions used in our cancellation reserve include our estimate of bookings that we expect will eventually travel, as well as to the mix of those bookings between domestic and international, given the varying rates paid by airline suppliers. Our air booking cancellation reserve totaled $13 million and $11 million as of December 31, 2025 and 2024,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color w:val="auto"/>
        </w:rPr>
        <w:t>We incur contract costs in the form of acquisition costs and implementation costs. Contract acquisition costs are related to new contracts with our customers in the form of sales commissions based on the estimated contract value. We incur contract implementation costs to implement new customer</w:t>
      </w:r>
    </w:p>
    <w:p>
      <w:pPr>
        <w:jc w:val="both"/>
        <w:ind w:right="20"/>
        <w:spacing w:after="0" w:line="289" w:lineRule="auto"/>
        <w:rPr>
          <w:sz w:val="20"/>
          <w:szCs w:val="20"/>
          <w:color w:val="auto"/>
        </w:rPr>
      </w:pPr>
      <w:r>
        <w:rPr>
          <w:rFonts w:ascii="Arial" w:cs="Arial" w:eastAsia="Arial" w:hAnsi="Arial"/>
          <w:sz w:val="16"/>
          <w:szCs w:val="16"/>
          <w:color w:val="auto"/>
        </w:rPr>
        <w:t>contracts under our SaaS revenue model</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periodically assess contract costs for recoverability, and our assessment did not result in any material impairments for the years ended December 31,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jc w:val="both"/>
        <w:ind w:right="20"/>
        <w:spacing w:after="0" w:line="286" w:lineRule="auto"/>
        <w:rPr>
          <w:sz w:val="20"/>
          <w:szCs w:val="20"/>
          <w:color w:val="auto"/>
        </w:rPr>
      </w:pPr>
      <w:r>
        <w:rPr>
          <w:rFonts w:ascii="Arial" w:cs="Arial" w:eastAsia="Arial" w:hAnsi="Arial"/>
          <w:sz w:val="16"/>
          <w:szCs w:val="16"/>
          <w:color w:val="auto"/>
        </w:rPr>
        <w:t>and 2024. See Note 1. Summary of Business and Significant Accounting Policies for an overview of our policy for capitalization of acquisition and implementation costs.</w:t>
      </w:r>
    </w:p>
    <w:p>
      <w:pPr>
        <w:spacing w:after="0" w:line="6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following table presents the activity of our acquisition costs and capitalized implementation costs for the years ended December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acquisition costs: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8,008</w:t>
            </w:r>
          </w:p>
        </w:tc>
        <w:tc>
          <w:tcPr>
            <w:tcW w:w="8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7,847</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w:t>
            </w:r>
          </w:p>
        </w:tc>
      </w:tr>
      <w:tr>
        <w:trPr>
          <w:trHeight w:val="21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w:t>
            </w: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Capitalized implementation costs: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50,365</w:t>
            </w:r>
          </w:p>
        </w:tc>
        <w:tc>
          <w:tcPr>
            <w:tcW w:w="8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50,363</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13,085</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(11,423)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(12,698)</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r>
      <w:tr>
        <w:trPr>
          <w:trHeight w:val="21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Discontinued Operations and Dispositions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April 27, 2025, we entered into a definitive purchase agreement with the Buyer pursuant to which the Buyer agreed to purchase our Hospitality Solutions business, and on July 3, 2025, we closed the transaction for estimated cash proceeds of $965 million, net. Cash proceeds are net of estimated taxes and fees, cash acquired by the Buyer and customary closing adjustments. We recognized a pre-tax gain on sale of $822 million (after-tax $724 million) in the third quarter of 2025, which is recorded in other, net, within discontinued operations in our consolidated statements of operations during the year ended December 31, 2025. The assets and liabilities associated with the Hospitality Solutions business are presented as discontinued operations on our consolidated balance sheet as of December 31, 2024, and the operating results of our Hospitality Solutions business are presented as discontinued operations in our consolidated statements of operations for all periods presented. The presentation of discontinued operations excludes general corporate overhead and other costs that do not meet the requirements to be presented as discontinued operations. Interest expense associated with the debt that was required to be repaid with the proceeds from the Hospitality Solutions Sale as well as the related loss on extinguishment of debt is classified as discontinued operations within our results of operations in all periods presented. See Note 10. Debt for further details.</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connection with the closing of the Hospitality Solutions Sale, we entered into transition services agreements ("TSA") with the Buyer, under which we provide transition services consisting of technology, employment, administrative and other services for up to an eighteen month period to help provide for an orderly transition and facilitate the ongoing operations of the Hospitality Solutions business following the close. Consideration received under the agreements is primarily based on actual costs incurred for each service provided. Amounts due for transition services provided to the Hospitality Solutions business under the TSA, net of direct and incremental costs to provide the services, are recorded to other, net, within continuing operations in our consolidated statements of operations during the year ended December 31, 2025 and presented within the operating activities section of the statement of cash flows. Service charges under the TSA were approximately $39 million for the year ended December 31, 2025 and cash receipts related to the charges were approximately $33 million for the year ended December 31, 2025. Under the TSA, we also collect funds and make payments on behalf of Hospitality Solutions. These net receipts or payments are presented as Net Receipts (Payments) on Behalf under TSA within the financing activities section of the statement of cash flows.</w:t>
      </w:r>
    </w:p>
    <w:p>
      <w:pPr>
        <w:spacing w:after="0" w:line="2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Additionally, at the time of sale, Hospitality Solutions entered into certain long-term agreements with us to continue to utilize our GDS for bookings which generates revenue for us. Consideration received under these revenue agreements has been assessed and determined to be at fair value. Revenue earned and cash received since the closing of the Hospitality Solutions Sale related to these agreements was approximately $25 million and $18 million, respectively for the year ended December 31, 2025. Historically, Travel Solutions recognized inter-segment revenue for bookings generated by our Hospitality Solutions business. Revenue that was previously eliminated but is now in our results of continuing operations was $35 million and $42 million for the years ended December 31, 2025 and 2024, respectively.</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major categories of income from discontinued operations related to the Hospitality Solutions business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tbl>
      <w:tblPr>
        <w:tblLayout w:type="fixed"/>
        <w:tblInd w:w="50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2023</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174,317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326,819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304,168</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84,732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150,562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151,874</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85,870</w:t>
            </w:r>
          </w:p>
        </w:tc>
      </w:tr>
      <w:tr>
        <w:trPr>
          <w:trHeight w:val="21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27,025</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46,698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51,750</w:t>
            </w:r>
          </w:p>
        </w:tc>
      </w:tr>
      <w:tr>
        <w:trPr>
          <w:trHeight w:val="210"/>
        </w:trPr>
        <w:tc>
          <w:tcPr>
            <w:tcW w:w="5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(51,281)</w:t>
            </w:r>
          </w:p>
        </w:tc>
      </w:tr>
      <w:tr>
        <w:trPr>
          <w:trHeight w:val="215"/>
        </w:trPr>
        <w:tc>
          <w:tcPr>
            <w:tcW w:w="52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825,247</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0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769,658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(57,328)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(50,384)</w:t>
            </w: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before income taxes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790,227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(35,710)</w:t>
            </w:r>
          </w:p>
        </w:tc>
      </w:tr>
      <w:tr>
        <w:trPr>
          <w:trHeight w:val="216"/>
        </w:trPr>
        <w:tc>
          <w:tcPr>
            <w:tcW w:w="52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Provision (benefit) for income taxes</w:t>
            </w:r>
            <w:r>
              <w:rPr>
                <w:rFonts w:ascii="Arial" w:cs="Arial" w:eastAsia="Arial" w:hAnsi="Arial"/>
                <w:sz w:val="21"/>
                <w:szCs w:val="21"/>
                <w:color w:val="auto"/>
                <w:vertAlign w:val="superscript"/>
              </w:rPr>
              <w:t>(1)</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10,775</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3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from discontinued operations</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779,452</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w:t>
      </w:r>
    </w:p>
    <w:p>
      <w:pPr>
        <w:spacing w:after="0" w:line="242" w:lineRule="exact"/>
        <w:rPr>
          <w:sz w:val="20"/>
          <w:szCs w:val="20"/>
          <w:color w:val="auto"/>
        </w:rPr>
      </w:pPr>
    </w:p>
    <w:p>
      <w:pPr>
        <w:ind w:left="480" w:hanging="148"/>
        <w:spacing w:after="0"/>
        <w:tabs>
          <w:tab w:leader="none" w:pos="480" w:val="left"/>
        </w:tabs>
        <w:numPr>
          <w:ilvl w:val="0"/>
          <w:numId w:val="21"/>
        </w:numPr>
        <w:rPr>
          <w:rFonts w:ascii="Arial" w:cs="Arial" w:eastAsia="Arial" w:hAnsi="Arial"/>
          <w:sz w:val="9"/>
          <w:szCs w:val="9"/>
          <w:color w:val="auto"/>
        </w:rPr>
      </w:pPr>
      <w:r>
        <w:rPr>
          <w:rFonts w:ascii="Arial" w:cs="Arial" w:eastAsia="Arial" w:hAnsi="Arial"/>
          <w:sz w:val="14"/>
          <w:szCs w:val="14"/>
          <w:color w:val="auto"/>
        </w:rPr>
        <w:t>We used an intra-period tax allocation to allocate the provision for income taxes for all periods presented between continuing operations and discontinued operations.</w:t>
      </w:r>
    </w:p>
    <w:p>
      <w:pPr>
        <w:spacing w:after="0" w:line="200" w:lineRule="exact"/>
        <w:rPr>
          <w:sz w:val="20"/>
          <w:szCs w:val="20"/>
          <w:color w:val="auto"/>
        </w:rPr>
      </w:pPr>
    </w:p>
    <w:p>
      <w:pPr>
        <w:spacing w:after="0" w:line="21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following table presents the major classes of assets and liabilities from discontinued operations at December 31, 2024 related to the Hospitality Solutions business (in thousands):</w:t>
      </w:r>
    </w:p>
    <w:p>
      <w:pPr>
        <w:spacing w:after="0" w:line="36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8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53,377</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9"/>
        </w:trPr>
        <w:tc>
          <w:tcPr>
            <w:tcW w:w="8480" w:type="dxa"/>
            <w:vAlign w:val="bottom"/>
          </w:tcPr>
          <w:p>
            <w:pPr>
              <w:ind w:left="56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 of accumulated depreciation</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Goodwill and intangibles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192,156</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29,032</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assets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Other accrued liabilities and accrued compensation</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18,609</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09"/>
        </w:trPr>
        <w:tc>
          <w:tcPr>
            <w:tcW w:w="8480" w:type="dxa"/>
            <w:vAlign w:val="bottom"/>
          </w:tcPr>
          <w:p>
            <w:pPr>
              <w:ind w:left="56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 and deferred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The following table presents selected financial information related to cash flows from discontinued operations for the years ended December 31, 2025 and 2024 (in thousands):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sectPr>
      </w:pPr>
    </w:p>
    <w:bookmarkStart w:id="68" w:name="page69"/>
    <w:bookmarkEnd w:id="68"/>
    <w:tbl>
      <w:tblPr>
        <w:tblLayout w:type="fixed"/>
        <w:tblInd w:w="50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2023</w:t>
            </w:r>
          </w:p>
        </w:tc>
      </w:tr>
      <w:tr>
        <w:trPr>
          <w:trHeight w:val="211"/>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provided by operating activities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242424"/>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(21,659)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242424"/>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242424"/>
              </w:rPr>
              <w:t>345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242424"/>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(11,554)</w:t>
            </w:r>
          </w:p>
        </w:tc>
      </w:tr>
      <w:tr>
        <w:trPr>
          <w:trHeight w:val="215"/>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provided by (used in) investing activities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242424"/>
              </w:rPr>
              <w:t>1,050,242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(4,621)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(18,525)</w:t>
            </w:r>
          </w:p>
        </w:tc>
      </w:tr>
      <w:tr>
        <w:trPr>
          <w:trHeight w:val="235"/>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provided by (used in) discontinued operations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242424"/>
                <w:w w:val="89"/>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242424"/>
              </w:rPr>
              <w:t>1,028,583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6"/>
                <w:szCs w:val="16"/>
                <w:color w:val="242424"/>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42424"/>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242424"/>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42424"/>
              </w:rPr>
              <w:t>(30,079)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Redeemable Noncontrolling Interest</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February 1, 2023, we sold common shares representing a 19% interest in the direct parent of Conferma Limited, our subsidiary that is a virtual payments technology company (“Conferma”), to a third party for cash consideration of $16 million. In connection with the sale, we entered into a governing agreement which requires us under limited conditions to redeem the 19% interest, if requested, for the original purchase price of $16 million. We currently do not believe it is probable that the noncontrolling interest will become redeemable, given the remote likelihood of the applicable conditions being satisfied.</w:t>
      </w:r>
    </w:p>
    <w:p>
      <w:pPr>
        <w:spacing w:after="0" w:line="7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December 31, 2025 and 2024, the redeemable noncontrolling interest was $12 million and $13 million, respectively.</w:t>
      </w:r>
    </w:p>
    <w:p>
      <w:pPr>
        <w:spacing w:after="0" w:line="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The following table presents the changes in redeemable noncontrolling interest of a consolidated subsidiary in temporary equity during the years ended December 31, 2025 and 2024 (in thousands):</w:t>
      </w: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Year Ended December 31,</w:t>
            </w:r>
          </w:p>
        </w:tc>
        <w:tc>
          <w:tcPr>
            <w:tcW w:w="1060" w:type="dxa"/>
            <w:vAlign w:val="bottom"/>
            <w:tcBorders>
              <w:bottom w:val="single" w:sz="8" w:color="auto"/>
            </w:tcBorders>
          </w:tcPr>
          <w:p>
            <w:pPr>
              <w:spacing w:after="0"/>
              <w:rPr>
                <w:sz w:val="15"/>
                <w:szCs w:val="15"/>
                <w:color w:val="auto"/>
              </w:rPr>
            </w:pPr>
          </w:p>
        </w:tc>
      </w:tr>
      <w:tr>
        <w:trPr>
          <w:trHeight w:val="171"/>
        </w:trPr>
        <w:tc>
          <w:tcPr>
            <w:tcW w:w="75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w w:val="96"/>
              </w:rPr>
              <w:t>2024</w:t>
            </w: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beginning of period</w:t>
            </w:r>
          </w:p>
        </w:tc>
        <w:tc>
          <w:tcPr>
            <w:tcW w:w="108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12,928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14,375</w:t>
            </w:r>
          </w:p>
        </w:tc>
      </w:tr>
      <w:tr>
        <w:trPr>
          <w:trHeight w:val="21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redeemable noncontrolling interest</w:t>
            </w: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w:t>
            </w: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end of period</w:t>
            </w:r>
          </w:p>
        </w:tc>
        <w:tc>
          <w:tcPr>
            <w:tcW w:w="108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12,057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12,928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Restructuring Activities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have announced that we are implementing a program in 2026, designed to offset normal inflationary pressures over the next two to three years, with the goal of keeping technology costs and selling, general and administrative costs relatively flat when compared to 2025. In connection with these efforts, we accrued restructuring costs within our consolidated statement of operations during the year ended December 31, 2025, primarily associated with our workforce. We expect to record additional restructuring charges associated with these activities in 2026, and currently estimate the total costs to be $65 million, primarily associated with our workforce.</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During the year ended December 31, 2025, we accrued $51 million in connection with this program, of which $7 million is recorded within cost of revenue, excluding technology costs, $21 million is recorded within technology costs and $23 million is recorded within selling, general and administrative costs within our consolidated statement of operations. These restructuring costs are primarily comprised of amounts that will be paid in cash for severance and related benefits costs.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 and Intangible Assets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 of goodwill during the years ended December 31, 2025 and 2024 are as follows (in thousands):</w:t>
      </w:r>
    </w:p>
    <w:p>
      <w:pPr>
        <w:spacing w:after="0" w:line="135" w:lineRule="exact"/>
        <w:rPr>
          <w:sz w:val="20"/>
          <w:szCs w:val="20"/>
          <w:color w:val="auto"/>
        </w:rPr>
      </w:pPr>
    </w:p>
    <w:tbl>
      <w:tblPr>
        <w:tblLayout w:type="fixed"/>
        <w:tblInd w:w="25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464"/>
              <w:spacing w:after="0"/>
              <w:rPr>
                <w:sz w:val="20"/>
                <w:szCs w:val="20"/>
                <w:color w:val="auto"/>
              </w:rPr>
            </w:pPr>
            <w:r>
              <w:rPr>
                <w:rFonts w:ascii="Arial" w:cs="Arial" w:eastAsia="Arial" w:hAnsi="Arial"/>
                <w:sz w:val="13"/>
                <w:szCs w:val="13"/>
                <w:b w:val="1"/>
                <w:bCs w:val="1"/>
                <w:color w:val="auto"/>
              </w:rPr>
              <w:t>Total</w:t>
            </w:r>
          </w:p>
        </w:tc>
      </w:tr>
      <w:tr>
        <w:trPr>
          <w:trHeight w:val="176"/>
        </w:trPr>
        <w:tc>
          <w:tcPr>
            <w:tcW w:w="47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Goodwill</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2,384,480</w:t>
            </w:r>
          </w:p>
        </w:tc>
      </w:tr>
      <w:tr>
        <w:trPr>
          <w:trHeight w:val="216"/>
        </w:trPr>
        <w:tc>
          <w:tcPr>
            <w:tcW w:w="4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2,383,380</w:t>
            </w:r>
          </w:p>
        </w:tc>
      </w:tr>
      <w:tr>
        <w:trPr>
          <w:trHeight w:val="216"/>
        </w:trPr>
        <w:tc>
          <w:tcPr>
            <w:tcW w:w="4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r>
      <w:tr>
        <w:trPr>
          <w:trHeight w:val="23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2,384,191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52" w:lineRule="exact"/>
        <w:rPr>
          <w:sz w:val="20"/>
          <w:szCs w:val="20"/>
          <w:color w:val="auto"/>
        </w:rPr>
      </w:pPr>
    </w:p>
    <w:p>
      <w:pPr>
        <w:spacing w:after="0"/>
        <w:tabs>
          <w:tab w:leader="none" w:pos="300" w:val="left"/>
        </w:tabs>
        <w:rPr>
          <w:sz w:val="20"/>
          <w:szCs w:val="20"/>
          <w:color w:val="auto"/>
        </w:rPr>
      </w:pP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4"/>
          <w:szCs w:val="14"/>
          <w:color w:val="auto"/>
        </w:rPr>
        <w:t>Includes net foreign currency effects during the years ended December 31, 2025 and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9" w:name="page70"/>
    <w:bookmarkEnd w:id="69"/>
    <w:p>
      <w:pPr>
        <w:ind w:left="500"/>
        <w:spacing w:after="0"/>
        <w:rPr>
          <w:sz w:val="20"/>
          <w:szCs w:val="20"/>
          <w:color w:val="auto"/>
        </w:rPr>
      </w:pPr>
      <w:r>
        <w:rPr>
          <w:rFonts w:ascii="Arial" w:cs="Arial" w:eastAsia="Arial" w:hAnsi="Arial"/>
          <w:sz w:val="16"/>
          <w:szCs w:val="16"/>
          <w:color w:val="auto"/>
        </w:rPr>
        <w:t>The following table presents our intangible assets as of December 31, 2025 and 2024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2025</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5"/>
              </w:rPr>
              <w:t>December 31, 2024</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1"/>
                <w:szCs w:val="11"/>
                <w:color w:val="auto"/>
              </w:rPr>
            </w:pPr>
          </w:p>
        </w:tc>
        <w:tc>
          <w:tcPr>
            <w:tcW w:w="1000" w:type="dxa"/>
            <w:vAlign w:val="bottom"/>
          </w:tcPr>
          <w:p>
            <w:pPr>
              <w:jc w:val="center"/>
              <w:ind w:right="166"/>
              <w:spacing w:after="0" w:line="128"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1"/>
                <w:szCs w:val="11"/>
                <w:color w:val="auto"/>
              </w:rPr>
            </w:pPr>
          </w:p>
        </w:tc>
        <w:tc>
          <w:tcPr>
            <w:tcW w:w="1000" w:type="dxa"/>
            <w:vAlign w:val="bottom"/>
          </w:tcPr>
          <w:p>
            <w:pPr>
              <w:jc w:val="center"/>
              <w:ind w:right="166"/>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66"/>
              <w:spacing w:after="0" w:line="126"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000" w:type="dxa"/>
            <w:vAlign w:val="bottom"/>
          </w:tcPr>
          <w:p>
            <w:pPr>
              <w:jc w:val="center"/>
              <w:ind w:right="16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956,093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(796,767)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955,800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18"/>
                <w:szCs w:val="18"/>
                <w:color w:val="auto"/>
              </w:rPr>
            </w:pP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315,630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118,625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315,563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129,187</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technology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380,867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379,972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8,224</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Acquired contracts, supplier and</w:t>
            </w:r>
          </w:p>
        </w:tc>
        <w:tc>
          <w:tcPr>
            <w:tcW w:w="240" w:type="dxa"/>
            <w:vAlign w:val="bottom"/>
          </w:tcPr>
          <w:p>
            <w:pPr>
              <w:spacing w:after="0"/>
              <w:rPr>
                <w:sz w:val="14"/>
                <w:szCs w:val="14"/>
                <w:color w:val="auto"/>
              </w:rPr>
            </w:pPr>
          </w:p>
        </w:tc>
        <w:tc>
          <w:tcPr>
            <w:tcW w:w="1020" w:type="dxa"/>
            <w:vAlign w:val="bottom"/>
            <w:vMerge w:val="restart"/>
          </w:tcPr>
          <w:p>
            <w:pPr>
              <w:jc w:val="right"/>
              <w:ind w:right="6"/>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6"/>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80" w:type="dxa"/>
            <w:vAlign w:val="bottom"/>
          </w:tcPr>
          <w:p>
            <w:pPr>
              <w:ind w:left="180"/>
              <w:spacing w:after="0"/>
              <w:rPr>
                <w:sz w:val="20"/>
                <w:szCs w:val="20"/>
                <w:color w:val="auto"/>
              </w:rPr>
            </w:pPr>
            <w:r>
              <w:rPr>
                <w:rFonts w:ascii="Arial" w:cs="Arial" w:eastAsia="Arial" w:hAnsi="Arial"/>
                <w:sz w:val="16"/>
                <w:szCs w:val="16"/>
                <w:color w:val="auto"/>
              </w:rPr>
              <w:t>distributor agreements</w:t>
            </w: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1,677,190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1,675,935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315,285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Amortization expense relating to intangible assets subject to amortization totaled $31 million for the year ended December 31, 2025 and $33 million for each of the years ended December 31, 2024 and 2023. Estimated amortization expense related to intangible assets subject to amortization for each of the five succeeding years and beyond is as follows (in thousands):</w:t>
      </w:r>
    </w:p>
    <w:p>
      <w:pPr>
        <w:spacing w:after="0" w:line="25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31,011</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2027</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30,640</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29,894</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2029</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28,997</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26,584</w:t>
            </w:r>
          </w:p>
        </w:tc>
      </w:tr>
      <w:tr>
        <w:trPr>
          <w:trHeight w:val="215"/>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2031 and thereafter</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137,756</w:t>
            </w:r>
          </w:p>
        </w:tc>
      </w:tr>
      <w:tr>
        <w:trPr>
          <w:trHeight w:val="234"/>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284,882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Balance Sheet Components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543"/>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3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38,270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Value added tax receivable</w:t>
            </w:r>
          </w:p>
        </w:tc>
        <w:tc>
          <w:tcPr>
            <w:tcW w:w="3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21,766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26,659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6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14,019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74,055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76,518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0" w:type="dxa"/>
            <w:vAlign w:val="bottom"/>
            <w:vMerge w:val="restart"/>
          </w:tcPr>
          <w:p>
            <w:pPr>
              <w:jc w:val="right"/>
              <w:ind w:right="2248"/>
              <w:spacing w:after="0"/>
              <w:rPr>
                <w:sz w:val="20"/>
                <w:szCs w:val="20"/>
                <w:color w:val="auto"/>
              </w:rPr>
            </w:pPr>
            <w:r>
              <w:rPr>
                <w:rFonts w:ascii="Arial" w:cs="Arial" w:eastAsia="Arial" w:hAnsi="Arial"/>
                <w:sz w:val="16"/>
                <w:szCs w:val="16"/>
                <w:color w:val="auto"/>
              </w:rPr>
              <w:t>68</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Property and equipment, net consists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leasehold improvements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23,522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25,086</w:t>
            </w:r>
          </w:p>
        </w:tc>
        <w:tc>
          <w:tcPr>
            <w:tcW w:w="0" w:type="dxa"/>
            <w:vAlign w:val="bottom"/>
          </w:tcPr>
          <w:p>
            <w:pPr>
              <w:spacing w:after="0"/>
              <w:rPr>
                <w:sz w:val="1"/>
                <w:szCs w:val="1"/>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31,908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31,631</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117,421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117,867</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Software developed for internal use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1,806,517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1,755,336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1,979,368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1,929,920</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 and amortization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(1,724,045)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(1,696,135)</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255,323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233,785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b w:val="1"/>
                <w:bCs w:val="1"/>
                <w:i w:val="1"/>
                <w:iCs w:val="1"/>
                <w:color w:val="auto"/>
              </w:rPr>
              <w:t>Other Assets,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000" w:type="dxa"/>
            <w:vAlign w:val="bottom"/>
          </w:tcPr>
          <w:p>
            <w:pPr>
              <w:ind w:left="460"/>
              <w:spacing w:after="0"/>
              <w:rPr>
                <w:sz w:val="20"/>
                <w:szCs w:val="20"/>
                <w:color w:val="auto"/>
              </w:rPr>
            </w:pPr>
            <w:r>
              <w:rPr>
                <w:rFonts w:ascii="Arial" w:cs="Arial" w:eastAsia="Arial" w:hAnsi="Arial"/>
                <w:sz w:val="16"/>
                <w:szCs w:val="16"/>
                <w:color w:val="auto"/>
              </w:rPr>
              <w:t>Other assets, net consist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63"/>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541"/>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spacing w:after="0" w:line="220" w:lineRule="exact"/>
              <w:rPr>
                <w:sz w:val="20"/>
                <w:szCs w:val="20"/>
                <w:color w:val="auto"/>
              </w:rPr>
            </w:pPr>
            <w:r>
              <w:rPr>
                <w:rFonts w:ascii="Arial" w:cs="Arial" w:eastAsia="Arial" w:hAnsi="Arial"/>
                <w:sz w:val="16"/>
                <w:szCs w:val="16"/>
                <w:color w:val="auto"/>
              </w:rPr>
              <w:t>Right-of-Use asset</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57,520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66,835</w:t>
            </w:r>
          </w:p>
        </w:tc>
        <w:tc>
          <w:tcPr>
            <w:tcW w:w="0" w:type="dxa"/>
            <w:vAlign w:val="bottom"/>
          </w:tcPr>
          <w:p>
            <w:pPr>
              <w:spacing w:after="0"/>
              <w:rPr>
                <w:sz w:val="1"/>
                <w:szCs w:val="1"/>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Capitalized implementation costs, net</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47,485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50,365</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upfront incentive consideration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58,476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61,058</w:t>
            </w:r>
          </w:p>
        </w:tc>
        <w:tc>
          <w:tcPr>
            <w:tcW w:w="0" w:type="dxa"/>
            <w:vAlign w:val="bottom"/>
          </w:tcPr>
          <w:p>
            <w:pPr>
              <w:spacing w:after="0"/>
              <w:rPr>
                <w:sz w:val="1"/>
                <w:szCs w:val="1"/>
                <w:color w:val="auto"/>
              </w:rPr>
            </w:pP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Long-term contract assets and customer advances and discounts</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26,069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Long-term trade unbilled receivables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67,351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59,218</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254,738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272,876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07"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9"/>
          <w:szCs w:val="9"/>
          <w:color w:val="auto"/>
        </w:rPr>
      </w:pPr>
      <w:r>
        <w:rPr>
          <w:rFonts w:ascii="Arial" w:cs="Arial" w:eastAsia="Arial" w:hAnsi="Arial"/>
          <w:sz w:val="14"/>
          <w:szCs w:val="14"/>
          <w:color w:val="auto"/>
        </w:rPr>
        <w:t>Refer to Note 13. Leases for additional information.</w:t>
      </w:r>
    </w:p>
    <w:p>
      <w:pPr>
        <w:spacing w:after="0" w:line="122" w:lineRule="exact"/>
        <w:rPr>
          <w:rFonts w:ascii="Arial" w:cs="Arial" w:eastAsia="Arial" w:hAnsi="Arial"/>
          <w:sz w:val="9"/>
          <w:szCs w:val="9"/>
          <w:color w:val="auto"/>
        </w:rPr>
      </w:pPr>
    </w:p>
    <w:p>
      <w:pPr>
        <w:ind w:left="160" w:hanging="152"/>
        <w:spacing w:after="0"/>
        <w:tabs>
          <w:tab w:leader="none" w:pos="160" w:val="left"/>
        </w:tabs>
        <w:numPr>
          <w:ilvl w:val="0"/>
          <w:numId w:val="22"/>
        </w:numPr>
        <w:rPr>
          <w:rFonts w:ascii="Arial" w:cs="Arial" w:eastAsia="Arial" w:hAnsi="Arial"/>
          <w:sz w:val="9"/>
          <w:szCs w:val="9"/>
          <w:color w:val="auto"/>
        </w:rPr>
      </w:pPr>
      <w:r>
        <w:rPr>
          <w:rFonts w:ascii="Arial" w:cs="Arial" w:eastAsia="Arial" w:hAnsi="Arial"/>
          <w:sz w:val="14"/>
          <w:szCs w:val="14"/>
          <w:color w:val="auto"/>
        </w:rPr>
        <w:t>Refer to Note 2. Revenue from Contracts with Customers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Noncurrent Liabilities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noncurrent liabilities consist of the following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2024</w:t>
            </w:r>
          </w:p>
        </w:tc>
      </w:tr>
      <w:tr>
        <w:trPr>
          <w:trHeight w:val="214"/>
        </w:trPr>
        <w:tc>
          <w:tcPr>
            <w:tcW w:w="8000" w:type="dxa"/>
            <w:vAlign w:val="bottom"/>
            <w:shd w:val="clear" w:color="auto" w:fill="CCEEFF"/>
          </w:tcPr>
          <w:p>
            <w:pPr>
              <w:spacing w:after="0" w:line="214" w:lineRule="exact"/>
              <w:rPr>
                <w:sz w:val="20"/>
                <w:szCs w:val="20"/>
                <w:color w:val="auto"/>
              </w:rPr>
            </w:pPr>
            <w:r>
              <w:rPr>
                <w:rFonts w:ascii="Arial" w:cs="Arial" w:eastAsia="Arial" w:hAnsi="Arial"/>
                <w:sz w:val="16"/>
                <w:szCs w:val="16"/>
                <w:color w:val="auto"/>
              </w:rPr>
              <w:t>Pension and other postretirement benefits</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38,904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61,990</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38,867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47,668</w:t>
            </w:r>
          </w:p>
        </w:tc>
      </w:tr>
      <w:tr>
        <w:trPr>
          <w:trHeight w:val="217"/>
        </w:trPr>
        <w:tc>
          <w:tcPr>
            <w:tcW w:w="800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Lease liabilities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45,393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52,516</w:t>
            </w: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50,008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41,867</w:t>
            </w:r>
          </w:p>
        </w:tc>
      </w:tr>
      <w:tr>
        <w:trPr>
          <w:trHeight w:val="235"/>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173,172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204,041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Refer to Note 17. Pension and Other Postretirement Benefit Plans, for additional information.</w:t>
      </w:r>
    </w:p>
    <w:p>
      <w:pPr>
        <w:spacing w:after="0" w:line="9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Refer to Note 13.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1" w:right="359" w:bottom="1440" w:gutter="0" w:footer="0" w:header="0"/>
        </w:sectPr>
      </w:pPr>
    </w:p>
    <w:bookmarkStart w:id="71" w:name="page72"/>
    <w:bookmarkEnd w:id="71"/>
    <w:p>
      <w:pPr>
        <w:ind w:left="50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loss consists of the following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pension and other postretirement benefit plans</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(70,603)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(76,510)</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Unrealized foreign currency translation gain</w:t>
            </w:r>
          </w:p>
        </w:tc>
        <w:tc>
          <w:tcPr>
            <w:tcW w:w="90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8,757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8,196</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interest rate swaps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other comprehensive loss of equity method investment</w:t>
            </w: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34"/>
        </w:trPr>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accumulated other comprehensive loss, net of tax</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(66,656)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See Note 17. Pension and Other Postretirement Benefit Plans, for information on the income statement line items affected as the result of amortization of actuarial losses and periodic service credits associated with our retirement-related benefit plans. See Note 11. Derivatives, for information on the income statement line items affected as the result of reclassification adjustments associated with derivatives.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Income Taxes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pretax income from continuing operations, generally based on the jurisdiction of the legal entity, were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Components of pre-tax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Domestic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(373,099)</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(363,329)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(542,089)</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133,865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95,888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84,196</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(457,893)</w:t>
            </w:r>
          </w:p>
        </w:tc>
        <w:tc>
          <w:tcPr>
            <w:tcW w:w="0" w:type="dxa"/>
            <w:vAlign w:val="bottom"/>
          </w:tcPr>
          <w:p>
            <w:pPr>
              <w:spacing w:after="0"/>
              <w:rPr>
                <w:sz w:val="1"/>
                <w:szCs w:val="1"/>
                <w:color w:val="auto"/>
              </w:rPr>
            </w:pPr>
          </w:p>
        </w:tc>
      </w:tr>
      <w:tr>
        <w:trPr>
          <w:trHeight w:val="22"/>
        </w:trPr>
        <w:tc>
          <w:tcPr>
            <w:tcW w:w="6960" w:type="dxa"/>
            <w:vAlign w:val="bottom"/>
            <w:vMerge w:val="restart"/>
          </w:tcPr>
          <w:p>
            <w:pPr>
              <w:ind w:left="460"/>
              <w:spacing w:after="0"/>
              <w:rPr>
                <w:sz w:val="20"/>
                <w:szCs w:val="20"/>
                <w:color w:val="auto"/>
              </w:rPr>
            </w:pPr>
            <w:r>
              <w:rPr>
                <w:rFonts w:ascii="Arial" w:cs="Arial" w:eastAsia="Arial" w:hAnsi="Arial"/>
                <w:sz w:val="16"/>
                <w:szCs w:val="16"/>
                <w:color w:val="auto"/>
              </w:rPr>
              <w:t>The provision for income taxes relating to continuing operations consists of the following:</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539</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13,430</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14,569</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Deferred portion: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18,332</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19,076</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provision for income taxes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for the year ended December 31, 2025 as follows (in thousands, except percentages):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2" w:name="page73"/>
    <w:bookmarkEnd w:id="72"/>
    <w:tbl>
      <w:tblPr>
        <w:tblLayout w:type="fixed"/>
        <w:tblInd w:w="500" w:type="dxa"/>
        <w:tblCellMar>
          <w:top w:w="0" w:type="dxa"/>
          <w:left w:w="0" w:type="dxa"/>
          <w:bottom w:w="0" w:type="dxa"/>
          <w:right w:w="0" w:type="dxa"/>
        </w:tblCellMar>
      </w:tblPr>
      <w:tr>
        <w:trPr>
          <w:trHeight w:val="176"/>
        </w:trPr>
        <w:tc>
          <w:tcPr>
            <w:tcW w:w="66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Year Ended December 31, 2025</w:t>
            </w:r>
          </w:p>
        </w:tc>
        <w:tc>
          <w:tcPr>
            <w:tcW w:w="900" w:type="dxa"/>
            <w:vAlign w:val="bottom"/>
            <w:tcBorders>
              <w:bottom w:val="single" w:sz="8" w:color="auto"/>
            </w:tcBorders>
          </w:tcPr>
          <w:p>
            <w:pPr>
              <w:spacing w:after="0"/>
              <w:rPr>
                <w:sz w:val="15"/>
                <w:szCs w:val="15"/>
                <w:color w:val="auto"/>
              </w:rPr>
            </w:pPr>
          </w:p>
        </w:tc>
      </w:tr>
      <w:tr>
        <w:trPr>
          <w:trHeight w:val="213"/>
        </w:trPr>
        <w:tc>
          <w:tcPr>
            <w:tcW w:w="6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U.S. federal statutory tax rate</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(50,239)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21.0%</w:t>
            </w:r>
          </w:p>
        </w:tc>
      </w:tr>
      <w:tr>
        <w:trPr>
          <w:trHeight w:val="217"/>
        </w:trPr>
        <w:tc>
          <w:tcPr>
            <w:tcW w:w="6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State and local income tax, net of federal (national) income tax effect</w:t>
            </w:r>
            <w:r>
              <w:rPr>
                <w:rFonts w:ascii="Arial" w:cs="Arial" w:eastAsia="Arial" w:hAnsi="Arial"/>
                <w:sz w:val="21"/>
                <w:szCs w:val="21"/>
                <w:color w:val="auto"/>
                <w:vertAlign w:val="superscript"/>
              </w:rPr>
              <w:t>(1)</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Foreign tax effects</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7,180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Uruguay</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Free trade zone incentives</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(12,326)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r>
      <w:tr>
        <w:trPr>
          <w:trHeight w:val="215"/>
        </w:trPr>
        <w:tc>
          <w:tcPr>
            <w:tcW w:w="6600" w:type="dxa"/>
            <w:vAlign w:val="bottom"/>
          </w:tcPr>
          <w:p>
            <w:pPr>
              <w:ind w:left="440"/>
              <w:spacing w:after="0"/>
              <w:rPr>
                <w:sz w:val="20"/>
                <w:szCs w:val="20"/>
                <w:color w:val="auto"/>
              </w:rPr>
            </w:pPr>
            <w:r>
              <w:rPr>
                <w:rFonts w:ascii="Arial" w:cs="Arial" w:eastAsia="Arial" w:hAnsi="Arial"/>
                <w:sz w:val="16"/>
                <w:szCs w:val="16"/>
                <w:color w:val="auto"/>
              </w:rPr>
              <w:t>Other</w:t>
            </w:r>
          </w:p>
        </w:tc>
        <w:tc>
          <w:tcPr>
            <w:tcW w:w="60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2,148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(0.9)%</w:t>
            </w: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foreign jurisdictions</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(9,551)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Effect of cross-border tax laws</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Branch income or loss</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7,111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Global intangible low-tax income</w:t>
            </w:r>
          </w:p>
        </w:tc>
        <w:tc>
          <w:tcPr>
            <w:tcW w:w="60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12,929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(5.4)%</w:t>
            </w: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Subpart F income inclusion</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10,209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r>
      <w:tr>
        <w:trPr>
          <w:trHeight w:val="215"/>
        </w:trPr>
        <w:tc>
          <w:tcPr>
            <w:tcW w:w="6600" w:type="dxa"/>
            <w:vAlign w:val="bottom"/>
          </w:tcPr>
          <w:p>
            <w:pPr>
              <w:ind w:left="220"/>
              <w:spacing w:after="0"/>
              <w:rPr>
                <w:sz w:val="20"/>
                <w:szCs w:val="20"/>
                <w:color w:val="auto"/>
              </w:rPr>
            </w:pPr>
            <w:r>
              <w:rPr>
                <w:rFonts w:ascii="Arial" w:cs="Arial" w:eastAsia="Arial" w:hAnsi="Arial"/>
                <w:sz w:val="16"/>
                <w:szCs w:val="16"/>
                <w:color w:val="auto"/>
              </w:rPr>
              <w:t>Dividend received deduction</w:t>
            </w:r>
          </w:p>
        </w:tc>
        <w:tc>
          <w:tcPr>
            <w:tcW w:w="60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(5,611)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w:t>
            </w: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tax credit</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(10,794)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Changes in valuation allowances</w:t>
            </w:r>
          </w:p>
        </w:tc>
        <w:tc>
          <w:tcPr>
            <w:tcW w:w="60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73,071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(30.5)%</w:t>
            </w:r>
          </w:p>
        </w:tc>
      </w:tr>
      <w:tr>
        <w:trPr>
          <w:trHeight w:val="21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unrecognized tax benefits</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(4,674)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r>
      <w:tr>
        <w:trPr>
          <w:trHeight w:val="21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adjustments</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(5,999)</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r>
      <w:tr>
        <w:trPr>
          <w:trHeight w:val="23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16,256</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Florida, Massachusetts, Oklahoma, and Illinois represent the majority (greater than 50%) of the tax effect in this category.</w:t>
      </w:r>
    </w:p>
    <w:p>
      <w:pPr>
        <w:spacing w:after="0" w:line="304"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for the years ended December 31, 2024 and 2023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8"/>
              </w:rPr>
              <w:t>Year Ended December 31,</w:t>
            </w:r>
          </w:p>
        </w:tc>
        <w:tc>
          <w:tcPr>
            <w:tcW w:w="1180" w:type="dxa"/>
            <w:vAlign w:val="bottom"/>
            <w:tcBorders>
              <w:bottom w:val="single" w:sz="8" w:color="auto"/>
            </w:tcBorders>
          </w:tcPr>
          <w:p>
            <w:pPr>
              <w:spacing w:after="0"/>
              <w:rPr>
                <w:sz w:val="15"/>
                <w:szCs w:val="15"/>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2023</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statutory federal income tax rate</w:t>
            </w:r>
          </w:p>
        </w:tc>
        <w:tc>
          <w:tcPr>
            <w:tcW w:w="120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(96,157)</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State income taxes, net of federal benefit</w:t>
            </w: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(6,465)</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non U.S. taxing jurisdictions, net</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Base erosion and anti-abuse tax</w:t>
            </w:r>
          </w:p>
        </w:tc>
        <w:tc>
          <w:tcPr>
            <w:tcW w:w="1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9,818</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based compensation</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Research tax credit</w:t>
            </w: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(11,261)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(31,296)</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70,487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154,392</w:t>
            </w: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r>
      <w:tr>
        <w:trPr>
          <w:trHeight w:val="235"/>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(benefit) provision for income taxes</w:t>
            </w:r>
          </w:p>
        </w:tc>
        <w:tc>
          <w:tcPr>
            <w:tcW w:w="120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paid for income taxes, net of refunds received, by jurisdiction for the year ended December 31, 2025 is as follows (in thousands):</w:t>
      </w:r>
    </w:p>
    <w:p>
      <w:pPr>
        <w:spacing w:after="0" w:line="190" w:lineRule="exact"/>
        <w:rPr>
          <w:sz w:val="20"/>
          <w:szCs w:val="20"/>
          <w:color w:val="auto"/>
        </w:rPr>
      </w:pPr>
    </w:p>
    <w:tbl>
      <w:tblPr>
        <w:tblLayout w:type="fixed"/>
        <w:tblInd w:w="880" w:type="dxa"/>
        <w:tblCellMar>
          <w:top w:w="0" w:type="dxa"/>
          <w:left w:w="0" w:type="dxa"/>
          <w:bottom w:w="0" w:type="dxa"/>
          <w:right w:w="0" w:type="dxa"/>
        </w:tblCellMar>
      </w:tblPr>
      <w:tr>
        <w:trPr>
          <w:trHeight w:val="176"/>
        </w:trPr>
        <w:tc>
          <w:tcPr>
            <w:tcW w:w="7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w w:val="99"/>
              </w:rPr>
              <w:t>Year Ended December 31, 2025</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5,200</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State</w:t>
            </w:r>
          </w:p>
        </w:tc>
        <w:tc>
          <w:tcPr>
            <w:tcW w:w="200" w:type="dxa"/>
            <w:vAlign w:val="bottom"/>
          </w:tcPr>
          <w:p>
            <w:pPr>
              <w:spacing w:after="0"/>
              <w:rPr>
                <w:sz w:val="18"/>
                <w:szCs w:val="18"/>
                <w:color w:val="auto"/>
              </w:rPr>
            </w:pPr>
          </w:p>
        </w:tc>
        <w:tc>
          <w:tcPr>
            <w:tcW w:w="2240" w:type="dxa"/>
            <w:vAlign w:val="bottom"/>
          </w:tcPr>
          <w:p>
            <w:pPr>
              <w:jc w:val="right"/>
              <w:ind w:right="2"/>
              <w:spacing w:after="0"/>
              <w:rPr>
                <w:sz w:val="20"/>
                <w:szCs w:val="20"/>
                <w:color w:val="auto"/>
              </w:rPr>
            </w:pPr>
            <w:r>
              <w:rPr>
                <w:rFonts w:ascii="Arial" w:cs="Arial" w:eastAsia="Arial" w:hAnsi="Arial"/>
                <w:sz w:val="16"/>
                <w:szCs w:val="16"/>
                <w:color w:val="auto"/>
              </w:rPr>
              <w:t>5,029</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5"/>
        </w:trPr>
        <w:tc>
          <w:tcPr>
            <w:tcW w:w="7060" w:type="dxa"/>
            <w:vAlign w:val="bottom"/>
          </w:tcPr>
          <w:p>
            <w:pPr>
              <w:ind w:left="120"/>
              <w:spacing w:after="0"/>
              <w:rPr>
                <w:sz w:val="20"/>
                <w:szCs w:val="20"/>
                <w:color w:val="auto"/>
              </w:rPr>
            </w:pPr>
            <w:r>
              <w:rPr>
                <w:rFonts w:ascii="Arial" w:cs="Arial" w:eastAsia="Arial" w:hAnsi="Arial"/>
                <w:sz w:val="16"/>
                <w:szCs w:val="16"/>
                <w:color w:val="auto"/>
              </w:rPr>
              <w:t>India</w:t>
            </w:r>
          </w:p>
        </w:tc>
        <w:tc>
          <w:tcPr>
            <w:tcW w:w="200" w:type="dxa"/>
            <w:vAlign w:val="bottom"/>
          </w:tcPr>
          <w:p>
            <w:pPr>
              <w:spacing w:after="0"/>
              <w:rPr>
                <w:sz w:val="18"/>
                <w:szCs w:val="18"/>
                <w:color w:val="auto"/>
              </w:rPr>
            </w:pPr>
          </w:p>
        </w:tc>
        <w:tc>
          <w:tcPr>
            <w:tcW w:w="2240" w:type="dxa"/>
            <w:vAlign w:val="bottom"/>
          </w:tcPr>
          <w:p>
            <w:pPr>
              <w:jc w:val="right"/>
              <w:ind w:right="2"/>
              <w:spacing w:after="0"/>
              <w:rPr>
                <w:sz w:val="20"/>
                <w:szCs w:val="20"/>
                <w:color w:val="auto"/>
              </w:rPr>
            </w:pPr>
            <w:r>
              <w:rPr>
                <w:rFonts w:ascii="Arial" w:cs="Arial" w:eastAsia="Arial" w:hAnsi="Arial"/>
                <w:sz w:val="16"/>
                <w:szCs w:val="16"/>
                <w:color w:val="auto"/>
              </w:rPr>
              <w:t>2,075</w:t>
            </w:r>
          </w:p>
        </w:tc>
      </w:tr>
      <w:tr>
        <w:trPr>
          <w:trHeight w:val="217"/>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Foreign Jurisdictions</w:t>
            </w:r>
          </w:p>
        </w:tc>
        <w:tc>
          <w:tcPr>
            <w:tcW w:w="20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2,602</w:t>
            </w:r>
          </w:p>
        </w:tc>
      </w:tr>
      <w:tr>
        <w:trPr>
          <w:trHeight w:val="209"/>
        </w:trPr>
        <w:tc>
          <w:tcPr>
            <w:tcW w:w="7060" w:type="dxa"/>
            <w:vAlign w:val="bottom"/>
          </w:tcPr>
          <w:p>
            <w:pPr>
              <w:ind w:left="220"/>
              <w:spacing w:after="0"/>
              <w:rPr>
                <w:sz w:val="20"/>
                <w:szCs w:val="20"/>
                <w:color w:val="auto"/>
              </w:rPr>
            </w:pPr>
            <w:r>
              <w:rPr>
                <w:rFonts w:ascii="Arial" w:cs="Arial" w:eastAsia="Arial" w:hAnsi="Arial"/>
                <w:sz w:val="16"/>
                <w:szCs w:val="16"/>
                <w:color w:val="auto"/>
              </w:rPr>
              <w:t>Cash paid for income taxes, net of refunds received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14,906</w:t>
            </w: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paid for income taxes was $18 million and $24 million for the years ended December 31, 2024 and 2023, respectively.</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3" w:name="page74"/>
    <w:bookmarkEnd w:id="73"/>
    <w:p>
      <w:pPr>
        <w:ind w:left="500"/>
        <w:spacing w:after="0"/>
        <w:rPr>
          <w:sz w:val="20"/>
          <w:szCs w:val="20"/>
          <w:color w:val="auto"/>
        </w:rPr>
      </w:pPr>
      <w:r>
        <w:rPr>
          <w:rFonts w:ascii="Arial" w:cs="Arial" w:eastAsia="Arial" w:hAnsi="Arial"/>
          <w:sz w:val="16"/>
          <w:szCs w:val="16"/>
          <w:color w:val="auto"/>
        </w:rPr>
        <w:t>The components of our deferred tax assets and liabilities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r>
      <w:tr>
        <w:trPr>
          <w:trHeight w:val="196"/>
        </w:trPr>
        <w:tc>
          <w:tcPr>
            <w:tcW w:w="84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2024</w:t>
            </w:r>
          </w:p>
        </w:tc>
      </w:tr>
      <w:tr>
        <w:trPr>
          <w:trHeight w:val="213"/>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Interest expense carryforwards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355,202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251,985</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Software developed for internal use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198,354</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Tax loss carryforwards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188,202</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credit carryforwards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96,135</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Employee benefits other than pension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31,874</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27,320</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14,803</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Suspended loss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14,737</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Pension obligations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11,087</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10,901</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Incentive consideration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4,223</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209"/>
        </w:trPr>
        <w:tc>
          <w:tcPr>
            <w:tcW w:w="8400" w:type="dxa"/>
            <w:vAlign w:val="bottom"/>
          </w:tcPr>
          <w:p>
            <w:pPr>
              <w:ind w:left="460"/>
              <w:spacing w:after="0"/>
              <w:rPr>
                <w:sz w:val="20"/>
                <w:szCs w:val="20"/>
                <w:color w:val="auto"/>
              </w:rPr>
            </w:pPr>
            <w:r>
              <w:rPr>
                <w:rFonts w:ascii="Arial" w:cs="Arial" w:eastAsia="Arial" w:hAnsi="Arial"/>
                <w:sz w:val="16"/>
                <w:szCs w:val="16"/>
                <w:color w:val="auto"/>
              </w:rPr>
              <w:t>Total deferred tax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846,623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850,945</w:t>
            </w: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(81,467)</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 operations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(24,982)</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Right of use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(14,126)</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gains and losses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Investment in partnership</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(10,345)</w:t>
            </w: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Bond discounts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215"/>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w:t>
            </w:r>
          </w:p>
        </w:tc>
      </w:tr>
      <w:tr>
        <w:trPr>
          <w:trHeight w:val="210"/>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(152,269)</w:t>
            </w:r>
          </w:p>
        </w:tc>
      </w:tr>
      <w:tr>
        <w:trPr>
          <w:trHeight w:val="216"/>
        </w:trPr>
        <w:tc>
          <w:tcPr>
            <w:tcW w:w="8400" w:type="dxa"/>
            <w:vAlign w:val="bottom"/>
            <w:tcBorders>
              <w:bottom w:val="single" w:sz="8" w:color="CCEEFF"/>
            </w:tcBorders>
          </w:tcPr>
          <w:p>
            <w:pPr>
              <w:ind w:left="460"/>
              <w:spacing w:after="0" w:line="216" w:lineRule="exact"/>
              <w:rPr>
                <w:sz w:val="20"/>
                <w:szCs w:val="20"/>
                <w:color w:val="auto"/>
              </w:rPr>
            </w:pPr>
            <w:r>
              <w:rPr>
                <w:rFonts w:ascii="Arial" w:cs="Arial" w:eastAsia="Arial" w:hAnsi="Arial"/>
                <w:sz w:val="16"/>
                <w:szCs w:val="16"/>
                <w:color w:val="auto"/>
              </w:rPr>
              <w:t>Valuation allowance</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(737,391)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(727,805)</w:t>
            </w:r>
          </w:p>
        </w:tc>
      </w:tr>
      <w:tr>
        <w:trPr>
          <w:trHeight w:val="235"/>
        </w:trPr>
        <w:tc>
          <w:tcPr>
            <w:tcW w:w="8400" w:type="dxa"/>
            <w:vAlign w:val="bottom"/>
            <w:tcBorders>
              <w:bottom w:val="single" w:sz="8" w:color="CCEEFF"/>
            </w:tcBorders>
            <w:shd w:val="clear" w:color="auto" w:fill="CCEEFF"/>
          </w:tcPr>
          <w:p>
            <w:pPr>
              <w:ind w:left="200"/>
              <w:spacing w:after="0" w:line="210" w:lineRule="exact"/>
              <w:rPr>
                <w:sz w:val="20"/>
                <w:szCs w:val="20"/>
                <w:color w:val="auto"/>
              </w:rPr>
            </w:pPr>
            <w:r>
              <w:rPr>
                <w:rFonts w:ascii="Arial" w:cs="Arial" w:eastAsia="Arial" w:hAnsi="Arial"/>
                <w:sz w:val="16"/>
                <w:szCs w:val="16"/>
                <w:color w:val="auto"/>
              </w:rPr>
              <w:t>Net deferred tax liability</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4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change in the valuation allowance includes movement for both continuing operations and discontinued operations.</w:t>
      </w:r>
    </w:p>
    <w:p>
      <w:pPr>
        <w:spacing w:after="0" w:line="28" w:lineRule="exact"/>
        <w:rPr>
          <w:rFonts w:ascii="Arial" w:cs="Arial" w:eastAsia="Arial" w:hAnsi="Arial"/>
          <w:sz w:val="9"/>
          <w:szCs w:val="9"/>
          <w:color w:val="auto"/>
        </w:rPr>
      </w:pPr>
    </w:p>
    <w:p>
      <w:pPr>
        <w:ind w:left="320" w:hanging="312"/>
        <w:spacing w:after="0" w:line="193" w:lineRule="auto"/>
        <w:tabs>
          <w:tab w:leader="none" w:pos="3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The deferred balances as of the year ended December 31, 2024 are inclusive of the discontinued operations net deferred tax liability of $7 million.</w:t>
      </w:r>
    </w:p>
    <w:p>
      <w:pPr>
        <w:spacing w:after="0" w:line="8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do not consider undistributed foreign earnings to be indefinitely reinvested as of December 31, 2025, with certain limited exceptions and have not, in those cases, recorded corresponding deferred taxes. We consider the undistributed capital investments in most of our foreign subsidiaries to be indefinitely reinvested as of December 31, 2025, and have not provided deferred taxes on any outside basis differences. The determination of the liability for the undistributed capital investments is not practicable.</w:t>
      </w:r>
    </w:p>
    <w:p>
      <w:pPr>
        <w:spacing w:after="0" w:line="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2025, we have U.S. federal research tax credit carryforwards of approximately $73 million, which will expire between 2038 and 2045. U.S federal NOL carryforwards are forecast to be utilized with the filing of the 2025 U.S. federal tax return. There are no U.S. federal NOLs subject to the annual limit on the ability of a corporation to use certain tax attributes (as defined in Section 382 of the Internal Revenue Code). We have state NOLs of $7 million which will expire primarily between 2028 and 2045 and state research tax credit carryforwards of $28 million which will expire between 2035 and 2045. We have $585 million of non-U.S. NOL carryforwards and $8 million of foreign tax credits related to certain non-U.S. taxing jurisdictions that are primarily from countries with indefinite carryforward periods.</w:t>
      </w:r>
    </w:p>
    <w:p>
      <w:pPr>
        <w:spacing w:after="0" w:line="8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regularly review our deferred tax assets for realizability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$547 million and $57 million, respectively as of December 31, 2025. For non-U.S. deferred tax assets of certain subsidiaries, we maintained a cumulative valuation allowance on current year losses and other deferred tax assets of $134 million as of December 31, 2025. We reassess these assumptions regularly, which could cause an increase or decrease to the valuation allowance resulting in an increase or decrease in the effective tax rate and could materially impact our results of operations.</w:t>
      </w:r>
    </w:p>
    <w:p>
      <w:pPr>
        <w:spacing w:after="0" w:line="8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for income taxes from continuing operations. During the year ended December 31, 2025, we recognized a benefit of $2 million, and</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74" w:name="page75"/>
    <w:bookmarkEnd w:id="74"/>
    <w:p>
      <w:pPr>
        <w:jc w:val="both"/>
        <w:spacing w:after="0" w:line="275" w:lineRule="auto"/>
        <w:rPr>
          <w:sz w:val="20"/>
          <w:szCs w:val="20"/>
          <w:color w:val="auto"/>
        </w:rPr>
      </w:pPr>
      <w:r>
        <w:rPr>
          <w:rFonts w:ascii="Arial" w:cs="Arial" w:eastAsia="Arial" w:hAnsi="Arial"/>
          <w:sz w:val="16"/>
          <w:szCs w:val="16"/>
          <w:color w:val="auto"/>
        </w:rPr>
        <w:t>during the years ended December 31, 2024, and 2023, we recognized an expense of $4 million, and $12 million, respectively, related to interest and penalties. As of December 31, 2025 and 2024, we had a liability, including interest and penalties, of $48 million and $53 million, respectively, for uncertain tax positions, including cumulative accrued interest and penalties of approximately $8 million and $10 million, respectively.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uncertain tax positions, excluding interest and penalties,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52,850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88,162</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Additions for tax positions taken in the current year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6,275</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1,737</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(19,900)</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Reductions for tax positions of expired statute of limitations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(18,485)</w:t>
            </w: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r>
      <w:tr>
        <w:trPr>
          <w:trHeight w:val="23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52,850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221"/>
        <w:spacing w:after="0" w:line="265" w:lineRule="auto"/>
        <w:rPr>
          <w:sz w:val="20"/>
          <w:szCs w:val="20"/>
          <w:color w:val="auto"/>
        </w:rPr>
      </w:pPr>
      <w:r>
        <w:rPr>
          <w:rFonts w:ascii="Arial" w:cs="Arial" w:eastAsia="Arial" w:hAnsi="Arial"/>
          <w:sz w:val="16"/>
          <w:szCs w:val="16"/>
          <w:color w:val="auto"/>
        </w:rPr>
        <w:t>We present uncertain tax positions as a reduction to deferred tax assets for NOLs, similar tax loss or a tax credit carryforward that is available to settle additional income taxes that would result from the disallowance of a tax position, presuming disallowance at the reporting date. The amount of uncertain tax positions that were offset against deferred tax assets on our balance sheets was $19 million, $19 million, and $27 million as of December 31, 2025, 2024, and 2023 respectively, with remaining amounts recorded as a liability.</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of December 31, 2025, 2024, and 2023, the amount of uncertain tax positions that, if recognized, would impact the effective tax rate was $40 million, $25 million, and $37 million, respectively.</w:t>
      </w:r>
    </w:p>
    <w:p>
      <w:pPr>
        <w:spacing w:after="0" w:line="142"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93" w:lineRule="exact"/>
        <w:rPr>
          <w:sz w:val="20"/>
          <w:szCs w:val="20"/>
          <w:color w:val="auto"/>
        </w:rPr>
      </w:pPr>
    </w:p>
    <w:tbl>
      <w:tblPr>
        <w:tblLayout w:type="fixed"/>
        <w:tblInd w:w="1960" w:type="dxa"/>
        <w:tblCellMar>
          <w:top w:w="0" w:type="dxa"/>
          <w:left w:w="0" w:type="dxa"/>
          <w:bottom w:w="0" w:type="dxa"/>
          <w:right w:w="0" w:type="dxa"/>
        </w:tblCellMar>
      </w:tblPr>
      <w:tr>
        <w:trPr>
          <w:trHeight w:val="197"/>
        </w:trPr>
        <w:tc>
          <w:tcPr>
            <w:tcW w:w="1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Tax Jurisdiction</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Subject to Examination</w:t>
            </w: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2023 - forward</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2960" w:type="dxa"/>
            <w:vAlign w:val="bottom"/>
          </w:tcPr>
          <w:p>
            <w:pPr>
              <w:jc w:val="center"/>
              <w:spacing w:after="0"/>
              <w:rPr>
                <w:sz w:val="20"/>
                <w:szCs w:val="20"/>
                <w:color w:val="auto"/>
              </w:rPr>
            </w:pPr>
            <w:r>
              <w:rPr>
                <w:rFonts w:ascii="Arial" w:cs="Arial" w:eastAsia="Arial" w:hAnsi="Arial"/>
                <w:sz w:val="16"/>
                <w:szCs w:val="16"/>
                <w:color w:val="auto"/>
              </w:rPr>
              <w:t>2021 - forward</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2003 - forward</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960" w:type="dxa"/>
            <w:vAlign w:val="bottom"/>
          </w:tcPr>
          <w:p>
            <w:pPr>
              <w:jc w:val="center"/>
              <w:spacing w:after="0"/>
              <w:rPr>
                <w:sz w:val="20"/>
                <w:szCs w:val="20"/>
                <w:color w:val="auto"/>
              </w:rPr>
            </w:pPr>
            <w:r>
              <w:rPr>
                <w:rFonts w:ascii="Arial" w:cs="Arial" w:eastAsia="Arial" w:hAnsi="Arial"/>
                <w:sz w:val="16"/>
                <w:szCs w:val="16"/>
                <w:color w:val="auto"/>
              </w:rPr>
              <w:t>2020 - forward</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2016 - forward</w:t>
            </w: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currently have ongoing audits in India and various other jurisdictions. We do not expect that the results of these examinations will have a material effect on our financial condition or results of operations. With few exceptions, we are no longer subject to income tax examinations by tax authorities for years prior to 2016.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9. Credit Losses</w:t>
      </w:r>
    </w:p>
    <w:p>
      <w:pPr>
        <w:spacing w:after="0" w:line="11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year ended December 31, 2025 and 2024 for our portfolio segment is summarized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right"/>
              <w:ind w:right="62"/>
              <w:spacing w:after="0"/>
              <w:rPr>
                <w:sz w:val="20"/>
                <w:szCs w:val="20"/>
                <w:color w:val="auto"/>
              </w:rPr>
            </w:pPr>
            <w:r>
              <w:rPr>
                <w:rFonts w:ascii="Arial" w:cs="Arial" w:eastAsia="Arial" w:hAnsi="Arial"/>
                <w:sz w:val="13"/>
                <w:szCs w:val="13"/>
                <w:b w:val="1"/>
                <w:bCs w:val="1"/>
                <w:color w:val="auto"/>
                <w:w w:val="96"/>
              </w:rPr>
              <w:t>Year Ended December 31,</w:t>
            </w:r>
          </w:p>
        </w:tc>
      </w:tr>
      <w:tr>
        <w:trPr>
          <w:trHeight w:val="176"/>
        </w:trPr>
        <w:tc>
          <w:tcPr>
            <w:tcW w:w="9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2025</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31,098</w:t>
            </w:r>
          </w:p>
        </w:tc>
      </w:tr>
      <w:tr>
        <w:trPr>
          <w:trHeight w:val="215"/>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14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2,194</w:t>
            </w:r>
          </w:p>
        </w:tc>
      </w:tr>
      <w:tr>
        <w:trPr>
          <w:trHeight w:val="217"/>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(9,492)</w:t>
            </w:r>
          </w:p>
        </w:tc>
      </w:tr>
      <w:tr>
        <w:trPr>
          <w:trHeight w:val="215"/>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23,557</w:t>
            </w:r>
          </w:p>
        </w:tc>
      </w:tr>
      <w:tr>
        <w:trPr>
          <w:trHeight w:val="215"/>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14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1,869</w:t>
            </w:r>
          </w:p>
        </w:tc>
      </w:tr>
      <w:tr>
        <w:trPr>
          <w:trHeight w:val="217"/>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15"/>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w:t>
            </w:r>
          </w:p>
        </w:tc>
      </w:tr>
      <w:tr>
        <w:trPr>
          <w:trHeight w:val="23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17,953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regularly monitor the financial condition of the air transportation industry. The credit risk related to the air carriers’ difficulties is significantly mitigated by the fact that we collect a significant portion of the receivables from these carriers through the ACH. As of December 31, 2025, approximately 57% of our air customers make payments through the ACH which accounts for approximately 88% of transaction revenue related to air customers. For these carriers,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Debt</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As of December 31, 2025 and 2024, our outstanding debt included in our consolidated balance sheets totaled $4,349 million and $5,065 million, respectively, which are net of debt issuance costs of $60 million and $56 million, respectively, and unamortized discounts of $123 million and $100 million, respectively. The following table sets forth the face values of our outstanding debt as of December 31, 2025 and 2024 (in thousands):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6" w:name="page77"/>
    <w:bookmarkEnd w:id="76"/>
    <w:tbl>
      <w:tblPr>
        <w:tblLayout w:type="fixed"/>
        <w:tblInd w:w="6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Rate</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Maturity</w:t>
            </w:r>
          </w:p>
        </w:tc>
        <w:tc>
          <w:tcPr>
            <w:tcW w:w="320" w:type="dxa"/>
            <w:vAlign w:val="bottom"/>
          </w:tcPr>
          <w:p>
            <w:pPr>
              <w:spacing w:after="0"/>
              <w:rPr>
                <w:sz w:val="17"/>
                <w:szCs w:val="17"/>
                <w:color w:val="auto"/>
              </w:rPr>
            </w:pPr>
          </w:p>
        </w:tc>
        <w:tc>
          <w:tcPr>
            <w:tcW w:w="1020" w:type="dxa"/>
            <w:vAlign w:val="bottom"/>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40"/>
              <w:spacing w:after="0"/>
              <w:rPr>
                <w:sz w:val="20"/>
                <w:szCs w:val="20"/>
                <w:color w:val="auto"/>
              </w:rPr>
            </w:pPr>
            <w:r>
              <w:rPr>
                <w:rFonts w:ascii="Arial" w:cs="Arial" w:eastAsia="Arial" w:hAnsi="Arial"/>
                <w:sz w:val="13"/>
                <w:szCs w:val="13"/>
                <w:b w:val="1"/>
                <w:bCs w:val="1"/>
                <w:color w:val="auto"/>
              </w:rPr>
              <w:t>2024</w:t>
            </w:r>
          </w:p>
        </w:tc>
      </w:tr>
      <w:tr>
        <w:trPr>
          <w:trHeight w:val="20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Facilities:</w:t>
            </w: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6"/>
                <w:szCs w:val="16"/>
                <w:color w:val="auto"/>
              </w:rPr>
              <w:t>2021 Term Loan B-1</w:t>
            </w:r>
          </w:p>
        </w:tc>
        <w:tc>
          <w:tcPr>
            <w:tcW w:w="176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4"/>
              </w:rPr>
              <w:t>S</w:t>
            </w:r>
            <w:r>
              <w:rPr>
                <w:rFonts w:ascii="Arial" w:cs="Arial" w:eastAsia="Arial" w:hAnsi="Arial"/>
                <w:sz w:val="21"/>
                <w:szCs w:val="21"/>
                <w:color w:val="auto"/>
                <w:w w:val="94"/>
                <w:vertAlign w:val="superscript"/>
              </w:rPr>
              <w:t>(1)</w:t>
            </w:r>
            <w:r>
              <w:rPr>
                <w:rFonts w:ascii="Arial" w:cs="Arial" w:eastAsia="Arial" w:hAnsi="Arial"/>
                <w:sz w:val="16"/>
                <w:szCs w:val="16"/>
                <w:color w:val="auto"/>
                <w:w w:val="94"/>
              </w:rPr>
              <w:t xml:space="preserve"> +3.50%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314,860</w:t>
            </w:r>
          </w:p>
        </w:tc>
      </w:tr>
      <w:tr>
        <w:trPr>
          <w:trHeight w:val="216"/>
        </w:trPr>
        <w:tc>
          <w:tcPr>
            <w:tcW w:w="4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 Term Loan B-2</w:t>
            </w:r>
          </w:p>
        </w:tc>
        <w:tc>
          <w:tcPr>
            <w:tcW w:w="176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94"/>
              </w:rPr>
              <w:t>S</w:t>
            </w:r>
            <w:r>
              <w:rPr>
                <w:rFonts w:ascii="Arial" w:cs="Arial" w:eastAsia="Arial" w:hAnsi="Arial"/>
                <w:sz w:val="21"/>
                <w:szCs w:val="21"/>
                <w:color w:val="auto"/>
                <w:w w:val="94"/>
                <w:vertAlign w:val="superscript"/>
              </w:rPr>
              <w:t>(1)</w:t>
            </w:r>
            <w:r>
              <w:rPr>
                <w:rFonts w:ascii="Arial" w:cs="Arial" w:eastAsia="Arial" w:hAnsi="Arial"/>
                <w:sz w:val="16"/>
                <w:szCs w:val="16"/>
                <w:color w:val="auto"/>
                <w:w w:val="94"/>
              </w:rPr>
              <w:t xml:space="preserve"> +3.50%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366,280</w:t>
            </w: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2022 Term Loan B-1</w:t>
            </w:r>
          </w:p>
        </w:tc>
        <w:tc>
          <w:tcPr>
            <w:tcW w:w="176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+ 4.25%</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382,147</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 Term Loan B-2</w:t>
            </w:r>
          </w:p>
        </w:tc>
        <w:tc>
          <w:tcPr>
            <w:tcW w:w="176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+ 5.00%</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414,482</w:t>
            </w: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2024 Term Loan B-1</w:t>
            </w:r>
          </w:p>
        </w:tc>
        <w:tc>
          <w:tcPr>
            <w:tcW w:w="176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November 2029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700,000</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Term Loan B-2</w:t>
            </w:r>
          </w:p>
        </w:tc>
        <w:tc>
          <w:tcPr>
            <w:tcW w:w="176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2029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2025 Term Loan B-1</w:t>
            </w:r>
          </w:p>
        </w:tc>
        <w:tc>
          <w:tcPr>
            <w:tcW w:w="176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+ 6.25%</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July 2029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288,240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Term Loan B-2</w:t>
            </w:r>
          </w:p>
        </w:tc>
        <w:tc>
          <w:tcPr>
            <w:tcW w:w="176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+ 6.25%</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July 2029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2028 Term Loan</w:t>
            </w:r>
          </w:p>
        </w:tc>
        <w:tc>
          <w:tcPr>
            <w:tcW w:w="176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4"/>
              </w:rPr>
              <w:t>RR</w:t>
            </w:r>
            <w:r>
              <w:rPr>
                <w:rFonts w:ascii="Arial" w:cs="Arial" w:eastAsia="Arial" w:hAnsi="Arial"/>
                <w:sz w:val="21"/>
                <w:szCs w:val="21"/>
                <w:color w:val="auto"/>
                <w:w w:val="94"/>
                <w:vertAlign w:val="superscript"/>
              </w:rPr>
              <w:t>(2)</w:t>
            </w:r>
            <w:r>
              <w:rPr>
                <w:rFonts w:ascii="Arial" w:cs="Arial" w:eastAsia="Arial" w:hAnsi="Arial"/>
                <w:sz w:val="16"/>
                <w:szCs w:val="16"/>
                <w:color w:val="auto"/>
                <w:w w:val="94"/>
              </w:rPr>
              <w:t xml:space="preserve"> + 1.75%</w:t>
            </w:r>
            <w:r>
              <w:rPr>
                <w:rFonts w:ascii="Arial" w:cs="Arial" w:eastAsia="Arial" w:hAnsi="Arial"/>
                <w:sz w:val="21"/>
                <w:szCs w:val="21"/>
                <w:color w:val="auto"/>
                <w:w w:val="94"/>
                <w:vertAlign w:val="superscript"/>
              </w:rPr>
              <w:t>(3)</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2028</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871,611</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Securitization facility:</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AR Facility</w:t>
            </w:r>
          </w:p>
        </w:tc>
        <w:tc>
          <w:tcPr>
            <w:tcW w:w="176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2"/>
              </w:rPr>
              <w:t>S</w:t>
            </w:r>
            <w:r>
              <w:rPr>
                <w:rFonts w:ascii="Arial" w:cs="Arial" w:eastAsia="Arial" w:hAnsi="Arial"/>
                <w:sz w:val="21"/>
                <w:szCs w:val="21"/>
                <w:color w:val="auto"/>
                <w:w w:val="92"/>
                <w:vertAlign w:val="superscript"/>
              </w:rPr>
              <w:t>(1)</w:t>
            </w:r>
            <w:r>
              <w:rPr>
                <w:rFonts w:ascii="Arial" w:cs="Arial" w:eastAsia="Arial" w:hAnsi="Arial"/>
                <w:sz w:val="16"/>
                <w:szCs w:val="16"/>
                <w:color w:val="auto"/>
                <w:w w:val="92"/>
              </w:rPr>
              <w:t xml:space="preserve"> + 4.00%</w:t>
            </w:r>
            <w:r>
              <w:rPr>
                <w:rFonts w:ascii="Arial" w:cs="Arial" w:eastAsia="Arial" w:hAnsi="Arial"/>
                <w:sz w:val="21"/>
                <w:szCs w:val="21"/>
                <w:color w:val="auto"/>
                <w:w w:val="92"/>
                <w:vertAlign w:val="superscript"/>
              </w:rPr>
              <w:t>(4)</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March 2027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82,200</w:t>
            </w: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FILO Facility</w:t>
            </w:r>
          </w:p>
        </w:tc>
        <w:tc>
          <w:tcPr>
            <w:tcW w:w="176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+ 8.00%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March 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9.25% senior secured notes due 2025</w:t>
            </w:r>
          </w:p>
        </w:tc>
        <w:tc>
          <w:tcPr>
            <w:tcW w:w="1640" w:type="dxa"/>
            <w:vAlign w:val="bottom"/>
          </w:tcPr>
          <w:p>
            <w:pPr>
              <w:jc w:val="center"/>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April 2025</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4.00% senior exchangeable notes due 2025</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April 2025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183,220</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7.375% senior secured notes due 2025</w:t>
            </w:r>
          </w:p>
        </w:tc>
        <w:tc>
          <w:tcPr>
            <w:tcW w:w="1640" w:type="dxa"/>
            <w:vAlign w:val="bottom"/>
          </w:tcPr>
          <w:p>
            <w:pPr>
              <w:jc w:val="center"/>
              <w:spacing w:after="0"/>
              <w:rPr>
                <w:sz w:val="20"/>
                <w:szCs w:val="20"/>
                <w:color w:val="auto"/>
              </w:rPr>
            </w:pPr>
            <w:r>
              <w:rPr>
                <w:rFonts w:ascii="Arial" w:cs="Arial" w:eastAsia="Arial" w:hAnsi="Arial"/>
                <w:sz w:val="16"/>
                <w:szCs w:val="16"/>
                <w:color w:val="auto"/>
              </w:rPr>
              <w:t>7.375%</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2025</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23,393</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7.32% senior exchangeable notes due 2026</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August 2026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8.625% senior secured notes due 2027</w:t>
            </w:r>
          </w:p>
        </w:tc>
        <w:tc>
          <w:tcPr>
            <w:tcW w:w="1640" w:type="dxa"/>
            <w:vAlign w:val="bottom"/>
          </w:tcPr>
          <w:p>
            <w:pPr>
              <w:jc w:val="center"/>
              <w:spacing w:after="0"/>
              <w:rPr>
                <w:sz w:val="20"/>
                <w:szCs w:val="20"/>
                <w:color w:val="auto"/>
              </w:rPr>
            </w:pPr>
            <w:r>
              <w:rPr>
                <w:rFonts w:ascii="Arial" w:cs="Arial" w:eastAsia="Arial" w:hAnsi="Arial"/>
                <w:sz w:val="16"/>
                <w:szCs w:val="16"/>
                <w:color w:val="auto"/>
              </w:rPr>
              <w:t>8.625%</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656,783</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11.25% senior secured notes due 2027</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45,814</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10.75% senior secured notes due 2029</w:t>
            </w:r>
          </w:p>
        </w:tc>
        <w:tc>
          <w:tcPr>
            <w:tcW w:w="1640" w:type="dxa"/>
            <w:vAlign w:val="bottom"/>
          </w:tcPr>
          <w:p>
            <w:pPr>
              <w:jc w:val="center"/>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November 2029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445,715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824,714</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2030</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11.125%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July 2030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10.75% senior secured notes due 2030</w:t>
            </w:r>
          </w:p>
        </w:tc>
        <w:tc>
          <w:tcPr>
            <w:tcW w:w="1640" w:type="dxa"/>
            <w:vAlign w:val="bottom"/>
          </w:tcPr>
          <w:p>
            <w:pPr>
              <w:jc w:val="center"/>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March 2030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469,802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2029</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11.125%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2029</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40" w:type="dxa"/>
            <w:vAlign w:val="bottom"/>
          </w:tcPr>
          <w:p>
            <w:pPr>
              <w:ind w:left="220"/>
              <w:spacing w:after="0"/>
              <w:rPr>
                <w:sz w:val="20"/>
                <w:szCs w:val="20"/>
                <w:color w:val="auto"/>
              </w:rPr>
            </w:pPr>
            <w:r>
              <w:rPr>
                <w:rFonts w:ascii="Arial" w:cs="Arial" w:eastAsia="Arial" w:hAnsi="Arial"/>
                <w:sz w:val="16"/>
                <w:szCs w:val="16"/>
                <w:color w:val="auto"/>
              </w:rPr>
              <w:t>Face value of total debt outstanding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4,532,032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5,220,920</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(247,665)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(230,704)</w:t>
            </w:r>
          </w:p>
        </w:tc>
      </w:tr>
      <w:tr>
        <w:trPr>
          <w:trHeight w:val="210"/>
        </w:trPr>
        <w:tc>
          <w:tcPr>
            <w:tcW w:w="4740" w:type="dxa"/>
            <w:vAlign w:val="bottom"/>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4,284,367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4,990,216</w:t>
            </w:r>
          </w:p>
        </w:tc>
      </w:tr>
      <w:tr>
        <w:trPr>
          <w:trHeight w:val="20"/>
        </w:trPr>
        <w:tc>
          <w:tcPr>
            <w:tcW w:w="4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Represents the Secured Overnight Financing Rate ("SOFR").</w:t>
      </w:r>
    </w:p>
    <w:p>
      <w:pPr>
        <w:ind w:left="320" w:hanging="312"/>
        <w:spacing w:after="0" w:line="192" w:lineRule="auto"/>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Represents the Reference Rate as defined below.</w:t>
      </w:r>
    </w:p>
    <w:p>
      <w:pPr>
        <w:ind w:left="320" w:hanging="312"/>
        <w:spacing w:after="0" w:line="182" w:lineRule="auto"/>
        <w:tabs>
          <w:tab w:leader="none" w:pos="32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At our election, if interest is paid in cash the spread was 0.25% per annum, and in the case of interest paid-in-kind the spread was 1.75%.</w:t>
      </w:r>
    </w:p>
    <w:p>
      <w:pPr>
        <w:ind w:left="340" w:right="300" w:hanging="332"/>
        <w:spacing w:after="0" w:line="264" w:lineRule="auto"/>
        <w:tabs>
          <w:tab w:leader="none" w:pos="333" w:val="left"/>
        </w:tabs>
        <w:numPr>
          <w:ilvl w:val="0"/>
          <w:numId w:val="26"/>
        </w:numPr>
        <w:rPr>
          <w:rFonts w:ascii="Arial" w:cs="Arial" w:eastAsia="Arial" w:hAnsi="Arial"/>
          <w:sz w:val="9"/>
          <w:szCs w:val="9"/>
          <w:color w:val="auto"/>
        </w:rPr>
      </w:pPr>
      <w:r>
        <w:rPr>
          <w:rFonts w:ascii="Arial" w:cs="Arial" w:eastAsia="Arial" w:hAnsi="Arial"/>
          <w:sz w:val="14"/>
          <w:szCs w:val="14"/>
          <w:color w:val="auto"/>
        </w:rPr>
        <w:t>In connection with the issuance of the FILO Facility (as defined below), the drawn fee rate varies based on our leverage ratio. The drawn fee rate ranges from 3.00% to 4.00%, with incremental increases of 0.25% between these levels.</w:t>
      </w:r>
    </w:p>
    <w:p>
      <w:pPr>
        <w:spacing w:after="0" w:line="315"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We had outstanding letters of credit totaling $11 million and $13 million as of December 31, 2025 and 2024, respectively. The outstanding letters of credit were secured by a $21 million cash collateral deposit account which is presented in restricted cash on our consolidated balance sheets as of December 31, 2025 and 2024.</w:t>
      </w:r>
    </w:p>
    <w:p>
      <w:pPr>
        <w:spacing w:after="0" w:line="4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weighted average interest rate on our short-term borrowings, which include our 7.32% senior exchangeable notes due 2026, 8.625% senior secured notes due 2027, 11.25% senior secured notes due 2027 and the current portions of the 2025 Term Loan B-1, 2025 Term Loan B-2 and 2024 Term Loan B-2, is 7.88% as of December 31, 2025.</w:t>
      </w:r>
    </w:p>
    <w:p>
      <w:pPr>
        <w:spacing w:after="0" w:line="6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Interest is accrued in other accrued liabilities in our consolidated balance sheets. As of December 31, 2025 and 2024 we had $111 million and $43 million, respectively, of accrued interest within other current liabilities on our consolidated balance sheets.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7" w:name="page78"/>
    <w:bookmarkEnd w:id="77"/>
    <w:p>
      <w:pPr>
        <w:jc w:val="both"/>
        <w:ind w:firstLine="486"/>
        <w:spacing w:after="0" w:line="256" w:lineRule="auto"/>
        <w:rPr>
          <w:sz w:val="20"/>
          <w:szCs w:val="20"/>
          <w:color w:val="auto"/>
        </w:rPr>
      </w:pPr>
      <w:r>
        <w:rPr>
          <w:rFonts w:ascii="Arial" w:cs="Arial" w:eastAsia="Arial" w:hAnsi="Arial"/>
          <w:sz w:val="16"/>
          <w:szCs w:val="16"/>
          <w:color w:val="auto"/>
        </w:rPr>
        <w:t>On November 25, 2024, we entered into a third and fourth amendment (together, the “Term Loan B Amendments”) to the Amended and Restated Credit Agreement dated as of February 19, 2013 (the "Amended and Restated Credit Agreement") pursuant to which Sabre GLBL agreed to exchange $775 million of our then-existing senior secured term loans for the same amount of new senior secured term loans maturing on November 15, 2029 (the “2024 Term Loans”). The Term Loan B Amendments included the application of the proceeds of a new $700 million and $75 million term loan “B” facility (the “2024 Term Loan B-1” and the”2024 Term Loan B-2”, respectively), borrowed by Sabre GLBL under our Amended and Restated Credit Agreement, with the effect of extending the maturity of approximately $775 million of the then-existing Term Loan B credit facility under the Amended and Restated Credit Agreement. Sabre GLBL did not receive any cash proceeds from the exchange and did not incur additional indebtedness as a 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December 31, 2025. We determined that the Term Loan B Amendments represented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then-existing term loans, including guarantees and security interests.</w:t>
      </w:r>
    </w:p>
    <w:p>
      <w:pPr>
        <w:spacing w:after="0" w:line="7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9, 2025, we entered into a tenth and eleventh amendment (together, the “2025 Term Loan B Amendments”) to the Amended and Restated Credit Agreement dated pursuant to which Sabre GLBL agreed to exchange $347 million of the existing senior secured term loans (the “Existing Term Loans”) for $375 million of new senior secured term loans maturing on July 30, 2029 (the “2025 Term Loans”). The 2025 Term Loan B Amendments included the application of the proceeds of a new $288 million and $87 million term loan “B” facility (the “2025 Term Loan B-1” and the”2025 Term Loan B-2”, respectively), borrowed by Sabre GLBL under our Amended and Restated Credit Agreement, with the effect of extending the maturity of approximately $347 million of the existing Term Loan B credit facility under the Amended and Restated Credit Agreement. Sabre GLBL did not receive any cash proceeds from the exchange. We incurred third-party fees of approximately $5 million plus $2 million of accrued and unpaid interest,which were paid in cash, during the year ending December 31, 2025. We determined that the Term Loan B Amendments represent a debt modification and therefore we expensed all $5 million of third-party costs, to other, net in our consolidated statements of operations for the year ended December 31, 2025 and are included in cash flow from operations as paid. The 2025 Term Loan B-1 and 2025 Term Loan B-2 mature on July 30, 2029. They offer us the ability to prepay or repay with a 1.0% call premium on or prior to the six-month anniversary of the amendment effective date, or without a call premium thereafter. The 2025 Term Loans bear interest at term SOFR, plus an applicable margin of 625 basis points, or at base rate, plus an applicable margin of 525 basis points. The term SOFR for the 2025 Term Loans is subject to a floor of 0.50% per annum and the base rate is subject to a floor of 1.50% per annum. Except for the extended maturity and new pricing terms, the 2025 Term Loans have substantially similar terms as the Existing Term Loans, including guarantees and security interests.</w:t>
      </w:r>
    </w:p>
    <w:p>
      <w:pPr>
        <w:spacing w:after="0" w:line="8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 consisting of the write off of unamortized discount of $4 million and unamortized debt issuance costs of $1 million.</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Principal Payments</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required under the terms of the credit facility, we used proceeds of $16 million from the sale of AirCentre assets to pay down the principal on the 2021 Term Loan B-2 in May 2023. We also used proceeds of $6 million from the issuance of the 2028 Term Loan (as defined below) to pay down the principal on the 2021 Term Loan B-1 and the 2021 Term Loan B-2 in June 2023. As required under the terms of the credit facility, we used proceeds of $158 million from the sale of Hospitality Solutions to pay down the principal on the 2021 Term Loan B-2 in July 2025. These payments resulted in the deferral of principal payments of the 2021 Term Loan B-1 and the 2021 Term Loan B-2 until June 2024 and maturity, respectively. In December 2025, we paid off all remaining principal balances associated with the 2021 Term Loan B-1 and the 2021 Term Loan B-2.</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required under the terms of the credit facility, we used proceeds of $32 million from the sale of AirCentre assets to pay down the principal on the 2022 Term Loan B-1 and 2022 Term Loan B-2 in May 2023. In addition, we repurchased $10 million of the 2022 Term Loan B-2 using the proceeds from the issuance of 2028 Term Loan (as defined below) in June 2023. As required under the terms of the credit facility, we used proceeds of $164 million and $178 million from the sale of Hospitality Solutions to pay down the principal on the 2022 Term Loan B-1 and 2022 Term Loan B-2, respectively, in July 2025. These principal payments resulted in the deferral of principal payments of 2022 Term Loan B-1 and 2022 Term Loan B-2 until maturity. In December 2025, we paid off all remaining principal balances associated with the 2022 Term Loan B-1 and the 2022 Term Loan B-2.</w:t>
      </w:r>
    </w:p>
    <w:p>
      <w:pPr>
        <w:spacing w:after="0" w:line="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The 2024 Term Loan B-1 and 2024 Term Loan B-2 mature on November 15, 2029 and require principal payments in equal quarterly installments of 0.25% through the maturity date on which the remaining balance is due. The first principal payments on 2024 Term Loan B-1 and 2024 Term Loan B-2 were due on the last business day of March 2025. As required under the terms of the credit facility, we used proceeds of $299 million from the sale of Hospitality Solutions to pay down the principal on the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Term Loan B-1 in July 2025. These payments resulted in the deferral of principal payments on the 2024 Term Loan B-1 until maturity.</w:t>
      </w:r>
    </w:p>
    <w:p>
      <w:pPr>
        <w:spacing w:after="0" w:line="113" w:lineRule="exact"/>
        <w:rPr>
          <w:sz w:val="20"/>
          <w:szCs w:val="20"/>
          <w:color w:val="auto"/>
        </w:rPr>
      </w:pPr>
    </w:p>
    <w:p>
      <w:pPr>
        <w:jc w:val="both"/>
        <w:ind w:right="180" w:firstLine="486"/>
        <w:spacing w:after="0" w:line="275" w:lineRule="auto"/>
        <w:rPr>
          <w:sz w:val="20"/>
          <w:szCs w:val="20"/>
          <w:color w:val="auto"/>
        </w:rPr>
      </w:pPr>
      <w:r>
        <w:rPr>
          <w:rFonts w:ascii="Arial" w:cs="Arial" w:eastAsia="Arial" w:hAnsi="Arial"/>
          <w:sz w:val="16"/>
          <w:szCs w:val="16"/>
          <w:color w:val="auto"/>
        </w:rPr>
        <w:t>The 2025 Term Loan B-1 and 2025 Term Loan B-2 mature on July 30, 2029 and require principal payments in equal quarterly installments of 0.25% through the maturity date on which the remaining balance is due. The first principal payments on 2025 Term Loan B-1 and 2025 Term Loan B-2 are due on the last business day of March 2026.</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2025, we made $7 million of scheduled principal payments.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the Amended and Restated Credit Agreement. This percentage requirement may decrease or be eliminated if certain leverage ratios are achieved. Based on our results for the year ended December 31, 2024, we were not required to make an excess cash flow payment in 2025, and no excess cash flow payment is expected to be required in 2026 with respect to our results for the year ended December 31, 2025.</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paydown related to the sale of Hospitality Solutions business</w:t>
      </w:r>
    </w:p>
    <w:p>
      <w:pPr>
        <w:spacing w:after="0" w:line="11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Following the closing of the Hospitality Solutions Sale on July 3, 2025, we used the net proceeds primarily to repay a portion of our outstanding indebtedness, as required and described above under Principal Payments. We recognized a loss on extinguishment of debt during the year ended December 31, 2025 of approximately $14 million in discontinued operations within our results of operations, primarily consisting of unamortized debt issuance cost and discount associated with these prepayments. Interest expense associated with the principal indebtedness that was repaid is classified as discontinued operations within our results of operations in all periods presented.</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 sales, if not reinvested into the business within 15 months, as defined in the Amended and Restated Credit Agreement. As of December 31, 2025, we were in compliance with all covenants under the terms of the Amended and Restated Credit Agreement.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Borrowings under the Amended and Restated Credit Agreement for our Senior Secured Credit Facilities bear interest at a rate equal to either, at our option: (i) the term SOFR rate plus an applicable margin for term SOFR borrowings as set forth below, or (ii) a base rate determined by the highest of (1) the prime rate of Bank of America, (2) the federal funds effective rate plus 0.50% or (3) term SOFR plus 1.00%, plus an applicable margin for base rate borrowings as set forth below. The term SOFR rate is based on SOFR for all U.S. dollar borrowings and has a floor. We have elected the one-month SOFR as the floating interest rate on our outstanding term loans that are subject to SOFR. Interest payments are due on the last day of each month as a result of electing one-month SOFR.</w:t>
      </w:r>
    </w:p>
    <w:p>
      <w:pPr>
        <w:spacing w:after="0" w:line="146" w:lineRule="exact"/>
        <w:rPr>
          <w:sz w:val="20"/>
          <w:szCs w:val="20"/>
          <w:color w:val="auto"/>
        </w:rPr>
      </w:pPr>
    </w:p>
    <w:tbl>
      <w:tblPr>
        <w:tblLayout w:type="fixed"/>
        <w:tblInd w:w="178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Term SOFR borrowings</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Base rate borrowings</w:t>
            </w:r>
          </w:p>
        </w:tc>
      </w:tr>
      <w:tr>
        <w:trPr>
          <w:trHeight w:val="218"/>
        </w:trPr>
        <w:tc>
          <w:tcPr>
            <w:tcW w:w="36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Applicable Margin</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Applicable Margin</w:t>
            </w:r>
          </w:p>
        </w:tc>
      </w:tr>
      <w:tr>
        <w:trPr>
          <w:trHeight w:val="229"/>
        </w:trPr>
        <w:tc>
          <w:tcPr>
            <w:tcW w:w="3640" w:type="dxa"/>
            <w:vAlign w:val="bottom"/>
          </w:tcPr>
          <w:p>
            <w:pPr>
              <w:spacing w:after="0"/>
              <w:rPr>
                <w:sz w:val="20"/>
                <w:szCs w:val="20"/>
                <w:color w:val="auto"/>
              </w:rPr>
            </w:pPr>
            <w:r>
              <w:rPr>
                <w:rFonts w:ascii="Arial" w:cs="Arial" w:eastAsia="Arial" w:hAnsi="Arial"/>
                <w:sz w:val="16"/>
                <w:szCs w:val="16"/>
                <w:color w:val="auto"/>
              </w:rPr>
              <w:t>2024 Term Loan B-1</w:t>
            </w:r>
          </w:p>
        </w:tc>
        <w:tc>
          <w:tcPr>
            <w:tcW w:w="2140" w:type="dxa"/>
            <w:vAlign w:val="bottom"/>
            <w:tcBorders>
              <w:top w:val="single" w:sz="8" w:color="auto"/>
            </w:tcBorders>
          </w:tcPr>
          <w:p>
            <w:pPr>
              <w:jc w:val="center"/>
              <w:spacing w:after="0" w:line="230" w:lineRule="exact"/>
              <w:rPr>
                <w:sz w:val="20"/>
                <w:szCs w:val="20"/>
                <w:color w:val="auto"/>
              </w:rPr>
            </w:pPr>
            <w:r>
              <w:rPr>
                <w:rFonts w:ascii="Arial" w:cs="Arial" w:eastAsia="Arial" w:hAnsi="Arial"/>
                <w:sz w:val="16"/>
                <w:szCs w:val="16"/>
                <w:color w:val="auto"/>
                <w:w w:val="92"/>
              </w:rPr>
              <w:t>6.00%</w:t>
            </w:r>
            <w:r>
              <w:rPr>
                <w:rFonts w:ascii="Arial" w:cs="Arial" w:eastAsia="Arial" w:hAnsi="Arial"/>
                <w:sz w:val="21"/>
                <w:szCs w:val="21"/>
                <w:color w:val="auto"/>
                <w:w w:val="92"/>
                <w:vertAlign w:val="superscript"/>
              </w:rPr>
              <w:t>(1)</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center"/>
              <w:spacing w:after="0" w:line="230" w:lineRule="exact"/>
              <w:rPr>
                <w:sz w:val="20"/>
                <w:szCs w:val="20"/>
                <w:color w:val="auto"/>
              </w:rPr>
            </w:pPr>
            <w:r>
              <w:rPr>
                <w:rFonts w:ascii="Arial" w:cs="Arial" w:eastAsia="Arial" w:hAnsi="Arial"/>
                <w:sz w:val="16"/>
                <w:szCs w:val="16"/>
                <w:color w:val="auto"/>
                <w:w w:val="92"/>
              </w:rPr>
              <w:t>5.00%</w:t>
            </w:r>
            <w:r>
              <w:rPr>
                <w:rFonts w:ascii="Arial" w:cs="Arial" w:eastAsia="Arial" w:hAnsi="Arial"/>
                <w:sz w:val="21"/>
                <w:szCs w:val="21"/>
                <w:color w:val="auto"/>
                <w:w w:val="92"/>
                <w:vertAlign w:val="superscript"/>
              </w:rPr>
              <w:t>(1)</w:t>
            </w: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2024 Term Loan B-2</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r>
              <w:rPr>
                <w:rFonts w:ascii="Arial" w:cs="Arial" w:eastAsia="Arial" w:hAnsi="Arial"/>
                <w:sz w:val="21"/>
                <w:szCs w:val="21"/>
                <w:color w:val="auto"/>
                <w:w w:val="92"/>
                <w:vertAlign w:val="superscript"/>
              </w:rPr>
              <w:t>(1)</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w:t>
            </w:r>
            <w:r>
              <w:rPr>
                <w:rFonts w:ascii="Arial" w:cs="Arial" w:eastAsia="Arial" w:hAnsi="Arial"/>
                <w:sz w:val="21"/>
                <w:szCs w:val="21"/>
                <w:color w:val="auto"/>
                <w:w w:val="92"/>
                <w:vertAlign w:val="superscript"/>
              </w:rPr>
              <w:t>(1)</w:t>
            </w:r>
          </w:p>
        </w:tc>
      </w:tr>
      <w:tr>
        <w:trPr>
          <w:trHeight w:val="243"/>
        </w:trPr>
        <w:tc>
          <w:tcPr>
            <w:tcW w:w="3640" w:type="dxa"/>
            <w:vAlign w:val="bottom"/>
          </w:tcPr>
          <w:p>
            <w:pPr>
              <w:spacing w:after="0"/>
              <w:rPr>
                <w:sz w:val="20"/>
                <w:szCs w:val="20"/>
                <w:color w:val="auto"/>
              </w:rPr>
            </w:pPr>
            <w:r>
              <w:rPr>
                <w:rFonts w:ascii="Arial" w:cs="Arial" w:eastAsia="Arial" w:hAnsi="Arial"/>
                <w:sz w:val="16"/>
                <w:szCs w:val="16"/>
                <w:color w:val="auto"/>
              </w:rPr>
              <w:t>2025 Term Loan B-1</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6.25%</w:t>
            </w:r>
            <w:r>
              <w:rPr>
                <w:rFonts w:ascii="Arial" w:cs="Arial" w:eastAsia="Arial" w:hAnsi="Arial"/>
                <w:sz w:val="21"/>
                <w:szCs w:val="21"/>
                <w:color w:val="auto"/>
                <w:w w:val="92"/>
                <w:vertAlign w:val="superscript"/>
              </w:rPr>
              <w:t>(1)</w:t>
            </w:r>
          </w:p>
        </w:tc>
        <w:tc>
          <w:tcPr>
            <w:tcW w:w="2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5.25%</w:t>
            </w:r>
            <w:r>
              <w:rPr>
                <w:rFonts w:ascii="Arial" w:cs="Arial" w:eastAsia="Arial" w:hAnsi="Arial"/>
                <w:sz w:val="21"/>
                <w:szCs w:val="21"/>
                <w:color w:val="auto"/>
                <w:w w:val="92"/>
                <w:vertAlign w:val="superscript"/>
              </w:rPr>
              <w:t>(1)</w:t>
            </w: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2025 Term Loan B-2</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r>
              <w:rPr>
                <w:rFonts w:ascii="Arial" w:cs="Arial" w:eastAsia="Arial" w:hAnsi="Arial"/>
                <w:sz w:val="21"/>
                <w:szCs w:val="21"/>
                <w:color w:val="auto"/>
                <w:w w:val="92"/>
                <w:vertAlign w:val="superscript"/>
              </w:rPr>
              <w:t>(1)</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r>
              <w:rPr>
                <w:rFonts w:ascii="Arial" w:cs="Arial" w:eastAsia="Arial" w:hAnsi="Arial"/>
                <w:sz w:val="21"/>
                <w:szCs w:val="21"/>
                <w:color w:val="auto"/>
                <w:w w:val="92"/>
                <w:vertAlign w:val="superscript"/>
              </w:rPr>
              <w:t>(1)</w:t>
            </w:r>
          </w:p>
        </w:tc>
      </w:tr>
    </w:tbl>
    <w:p>
      <w:pPr>
        <w:spacing w:after="0" w:line="190" w:lineRule="exact"/>
        <w:rPr>
          <w:sz w:val="20"/>
          <w:szCs w:val="20"/>
          <w:color w:val="auto"/>
        </w:rPr>
      </w:pPr>
    </w:p>
    <w:p>
      <w:pPr>
        <w:ind w:left="500"/>
        <w:spacing w:after="0"/>
        <w:rPr>
          <w:sz w:val="20"/>
          <w:szCs w:val="20"/>
          <w:color w:val="auto"/>
        </w:rPr>
      </w:pPr>
      <w:r>
        <w:rPr>
          <w:rFonts w:ascii="Arial" w:cs="Arial" w:eastAsia="Arial" w:hAnsi="Arial"/>
          <w:sz w:val="5"/>
          <w:szCs w:val="5"/>
          <w:color w:val="auto"/>
        </w:rPr>
        <w:t>_____________________________</w:t>
      </w:r>
    </w:p>
    <w:p>
      <w:pPr>
        <w:spacing w:after="0" w:line="56" w:lineRule="exact"/>
        <w:rPr>
          <w:sz w:val="20"/>
          <w:szCs w:val="20"/>
          <w:color w:val="auto"/>
        </w:rPr>
      </w:pPr>
    </w:p>
    <w:p>
      <w:pPr>
        <w:ind w:left="680" w:hanging="348"/>
        <w:spacing w:after="0"/>
        <w:tabs>
          <w:tab w:leader="none" w:pos="68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Subject to a 0.50% floor and a SOFR adjustment factor of 0.10% for the term SOFR rate and 1.50% floor for the base rate.</w:t>
      </w:r>
    </w:p>
    <w:p>
      <w:pPr>
        <w:spacing w:after="0" w:line="88"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Our effective interest rates on borrowings under the Amended and Restated Credit Agreement for the years ended December 31, 2025, 2024 and 2023, are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r>
      <w:tr>
        <w:trPr>
          <w:trHeight w:val="196"/>
        </w:trPr>
        <w:tc>
          <w:tcPr>
            <w:tcW w:w="6980" w:type="dxa"/>
            <w:vAlign w:val="bottom"/>
          </w:tcPr>
          <w:p>
            <w:pPr>
              <w:spacing w:after="0"/>
              <w:rPr>
                <w:sz w:val="17"/>
                <w:szCs w:val="17"/>
                <w:color w:val="auto"/>
              </w:rPr>
            </w:pPr>
          </w:p>
        </w:tc>
        <w:tc>
          <w:tcPr>
            <w:tcW w:w="1320" w:type="dxa"/>
            <w:vAlign w:val="bottom"/>
          </w:tcPr>
          <w:p>
            <w:pPr>
              <w:jc w:val="right"/>
              <w:ind w:right="445"/>
              <w:spacing w:after="0"/>
              <w:rPr>
                <w:sz w:val="20"/>
                <w:szCs w:val="20"/>
                <w:color w:val="auto"/>
              </w:rPr>
            </w:pPr>
            <w:r>
              <w:rPr>
                <w:rFonts w:ascii="Arial" w:cs="Arial" w:eastAsia="Arial" w:hAnsi="Arial"/>
                <w:sz w:val="13"/>
                <w:szCs w:val="13"/>
                <w:b w:val="1"/>
                <w:bCs w:val="1"/>
                <w:color w:val="auto"/>
              </w:rPr>
              <w:t>2025</w:t>
            </w:r>
          </w:p>
        </w:tc>
        <w:tc>
          <w:tcPr>
            <w:tcW w:w="1420" w:type="dxa"/>
            <w:vAlign w:val="bottom"/>
            <w:gridSpan w:val="3"/>
          </w:tcPr>
          <w:p>
            <w:pPr>
              <w:jc w:val="right"/>
              <w:ind w:right="43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65"/>
              <w:spacing w:after="0"/>
              <w:rPr>
                <w:sz w:val="20"/>
                <w:szCs w:val="20"/>
                <w:color w:val="auto"/>
              </w:rPr>
            </w:pPr>
            <w:r>
              <w:rPr>
                <w:rFonts w:ascii="Arial" w:cs="Arial" w:eastAsia="Arial" w:hAnsi="Arial"/>
                <w:sz w:val="13"/>
                <w:szCs w:val="13"/>
                <w:b w:val="1"/>
                <w:bCs w:val="1"/>
                <w:color w:val="auto"/>
              </w:rPr>
              <w:t>2023</w:t>
            </w:r>
          </w:p>
        </w:tc>
      </w:tr>
      <w:tr>
        <w:trPr>
          <w:trHeight w:val="214"/>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Including the impact of interest rate swaps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9.93 %</w:t>
            </w:r>
          </w:p>
        </w:tc>
      </w:tr>
      <w:tr>
        <w:trPr>
          <w:trHeight w:val="215"/>
        </w:trPr>
        <w:tc>
          <w:tcPr>
            <w:tcW w:w="6980" w:type="dxa"/>
            <w:vAlign w:val="bottom"/>
          </w:tcPr>
          <w:p>
            <w:pPr>
              <w:spacing w:after="0"/>
              <w:rPr>
                <w:sz w:val="20"/>
                <w:szCs w:val="20"/>
                <w:color w:val="auto"/>
              </w:rPr>
            </w:pPr>
            <w:r>
              <w:rPr>
                <w:rFonts w:ascii="Arial" w:cs="Arial" w:eastAsia="Arial" w:hAnsi="Arial"/>
                <w:sz w:val="16"/>
                <w:szCs w:val="16"/>
                <w:color w:val="auto"/>
              </w:rPr>
              <w:t>Excluding the impact of interest rate swaps</w:t>
            </w:r>
          </w:p>
        </w:tc>
        <w:tc>
          <w:tcPr>
            <w:tcW w:w="1320" w:type="dxa"/>
            <w:vAlign w:val="bottom"/>
          </w:tcPr>
          <w:p>
            <w:pPr>
              <w:jc w:val="right"/>
              <w:spacing w:after="0"/>
              <w:rPr>
                <w:sz w:val="20"/>
                <w:szCs w:val="20"/>
                <w:color w:val="auto"/>
              </w:rPr>
            </w:pPr>
            <w:r>
              <w:rPr>
                <w:rFonts w:ascii="Arial" w:cs="Arial" w:eastAsia="Arial" w:hAnsi="Arial"/>
                <w:sz w:val="16"/>
                <w:szCs w:val="16"/>
                <w:color w:val="auto"/>
              </w:rPr>
              <w:t>9.95 %</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10.03 %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10.21 %</w:t>
            </w:r>
          </w:p>
        </w:tc>
      </w:tr>
    </w:tbl>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2028 Term Loan</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June 13, 2023, Sabre Financial Borrower, LLC (“Sabre FB”), our indirect, consolidated subsidiary entered into a series of transactions including a term loan credit agreement with certain lenders (the "2023 Term Loan Agreement") and an intercompany secured term loan agreement (the "2023 Pari Passu Loan Agreement"). On June 4, 2025, we repaid all outstanding balances under these agreements in conjunction with the June 2025 Refinancing (as defined below).</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jc w:val="both"/>
        <w:ind w:firstLine="486"/>
        <w:spacing w:after="0" w:line="265" w:lineRule="auto"/>
        <w:rPr>
          <w:sz w:val="20"/>
          <w:szCs w:val="20"/>
          <w:color w:val="auto"/>
        </w:rPr>
      </w:pPr>
      <w:r>
        <w:rPr>
          <w:rFonts w:ascii="Arial" w:cs="Arial" w:eastAsia="Arial" w:hAnsi="Arial"/>
          <w:sz w:val="16"/>
          <w:szCs w:val="16"/>
          <w:color w:val="auto"/>
        </w:rPr>
        <w:t>The 2023 Term Loan Agreement provided for a senior secured term loan (the “2028 Term Loan”) that matures on December 15, 2028 and offered us the ability to prepay subject to prepayment premiums as follows: (i) with respect to any prepayment occurring on or prior to the second anniversary of the 2023 Term Loan Agreement, a customary make-whole amount, and (ii) with respect to any prepayment occurring after the second anniversary of the 2023 Term Loan Agreement and on or prior the third anniversary of the 2023 Term Loan Agreement, 25% of the applicable interest margin assuming all interest was payable-in-kind. After the third anniversary of the 2023 Term Loan Agreement, all prepayments could have been made at par plus accrued interest.</w:t>
      </w:r>
    </w:p>
    <w:p>
      <w:pPr>
        <w:spacing w:after="0" w:line="64"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16"/>
          <w:szCs w:val="16"/>
          <w:color w:val="auto"/>
        </w:rPr>
        <w:t>The interest on the 2028 Term Loan was payable in cash; provided that, at our election, from the date of the agreement, until the last interest payment date occurring on or prior to December 31, 2025, the interest could have been payable-in-kind. The 2028 Term Loan bore interest at a floating rate, with interest periods ending on each successive three month anniversary of the closing date and set in arrears based on the average of the highest yield to maturity of any tranche of Sabre GLBL’s or any of its affiliates’ outstanding secured indebtedness (as defined within the 2023 Term Loan Agreement) on each of the 20 prior trading days (the “Reference Rate”), plus (i) 25 basis points for cash interest or (ii) 175 basis points for payable-in-kind interest. The all-in interest rate floor was 11.50% for cash interest and 13.00% for payable-in-kind interest and the all-in interest rate ceiling was 17.50% for cash interest and 19.00% for payable-in-kind interest. We elected interest to be payable-in-kind. Interest on the 2028 Term Loan was accrued and payable or capitalized to principal if not elected to be paid in cash, commencing on June 13, 2023, and ending on the date three months thereafter and each successive three-month anniversary thereof on September 13, December 13, March 13, and June 13 of each year. We capitalized interest for the 2028 Term Loan totaling $28 million during the six months ended June 30, 2025. We did not capitalize interest during the six months ended December 31, 2025 as we repaid all outstanding borrowings under the 2028 Term Loan on June 4, 2025 in conjunction with the June 2025 Refinancing.</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Notes</w:t>
      </w:r>
    </w:p>
    <w:p>
      <w:pPr>
        <w:spacing w:after="0" w:line="1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On March 7, 2024, Sabre GLBL exchanged approximately $36 million of our then-outstanding 7.375% senior secured notes due 2025 (the “September 2025 Notes”) and approximately $7 million of our then-outstanding 9.250% senior secured notes due 2025 (the “April 2025 Notes”) for approximately $50 million aggregate principal amount of additional 8.625% senior secured notes due 2027 (the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issued in September 2023. We incurred additional fees of approximately $1 million, which were funded with cash on hand. We determined that the March 2024 Senior Secured Exchange Transaction, including the impact of the exchange fees, represented a debt extinguishment and therefore recognized a loss on extinguishment of debt during the year ended </w:t>
      </w:r>
      <w:r>
        <w:rPr>
          <w:rFonts w:ascii="Arial" w:cs="Arial" w:eastAsia="Arial" w:hAnsi="Arial"/>
          <w:sz w:val="16"/>
          <w:szCs w:val="16"/>
          <w:color w:val="212529"/>
        </w:rPr>
        <w:t>December 31, 2024</w:t>
      </w:r>
      <w:r>
        <w:rPr>
          <w:rFonts w:ascii="Arial" w:cs="Arial" w:eastAsia="Arial" w:hAnsi="Arial"/>
          <w:sz w:val="16"/>
          <w:szCs w:val="16"/>
          <w:color w:val="auto"/>
        </w:rPr>
        <w:t xml:space="preserve"> of approximately $7 million, primarily consisting of exchange fees related to the June 2027 Notes.</w:t>
      </w:r>
    </w:p>
    <w:p>
      <w:pPr>
        <w:spacing w:after="0" w:line="6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the then-outstanding April 2025 Notes and approximately $4 million of the then-outstanding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represented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69"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remaining April 2025 Notes of $10 million and the September 2025 Notes of $23 million matured, and were repaid in full in the second and third quarters of 2025,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jc w:val="both"/>
        <w:ind w:firstLine="486"/>
        <w:spacing w:after="0" w:line="257"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the 2023 Pari Passu Loan Agreement with Sabre FB, which applied such amounts toward full prepayment of Sabre FB’s 2028 Term Loan; and (ii) 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third-party fees. We concluded that the June 2025 Refinancing represented a debt extinguishment and therefore recognized a loss on extinguishment of debt during the year ended December 31,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Payments associated with interest previously capitalized are reflected as operating cash flows within our consolidated statement of cash flows.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5, 2025, Sabre Financial Borrower, LLC (“Sabre FB”), our indirect, consolidated subsidiary entered into a series of transactions governing Sabre FB's newly issued 11.125% senior secured notes due 2029 (the “June 2029 Notes”) and an intercompany loan agreement (the "2025 Pari Passu Loan Agreement"). The June 2029 Notes were issued in an aggregate principal amount of $1 billion, subject to Sabre FB using the proceeds from the June 2029 Notes for an intercompany loan to Sabre GLBL. On December 5, 2025, Sabre FB borrowed the full $1 billion amount under the June 2029 Notes and lent the funds to Sabre GLBL under the 2025 Pari Passu Loan Agreement. Sabre FB’s obligations under the June 2029 Notes are required to be guaranteed on a secured basis by Sabre Financing Holdings LLC (“Sabre Financing”) and, up to an amount of $400 million certain of our existing and future foreign subsidiaries (the “Foreign Guarantors”). The June 2029 Notes pay interest semiannually in arrears on June 15 and December 15 of each year, beginning on June 15, 2026,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or will be redeemed in the first quarter of 2026), plus $15 million of accrued interest and $13 million of third party costs related to these transactions (refer to the 2025 Term Loan B Amendments above and December 2025 Senior Secured Exchange Transaction defined below for more details). The remaining proceeds were partially used to pay $19 million in debt issuance costs.</w:t>
      </w:r>
    </w:p>
    <w:p>
      <w:pPr>
        <w:spacing w:after="0" w:line="8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December 8, 2025, Sabre GLBL exchanged approximately $379 million in principal amount of the November 2029 Notes, $240 million in principal amount of the June 2027 Notes and $44 million in principal amount of the December 2027 Notes for approximately $470 million of new 10.750% senior secured notes due March 2030 (the “March 2030 Notes”) and $237 million in cash, inclusive of early exchange consideration, which was recorded as a discount (the "December 2025 Senior Secured Exchange Transaction"). The March 2030 Notes bear interest at a rate of 10.750% per annum, and interest payments are due semi-annually in arrears on March 15 and September 15 of each year, beginning on March 15, 2026. The March 2030 Notes mature on March 15, 2030. We incurred $7 million in fees, along with $11 million in accrued and unpaid interest. We determined that the December 2025 Senior Secured Exchange Transaction, including the impact of the early exchange consideration, represents a debt modification and therefore, expensed $7 million of debt modification costs in other, net in our consolidated statements of operations for the year ended December 31, 2025 and included in cash flow from operations as paid. The March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8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December 23, 2025, we issued a notice of full redemption to redeem all $92 million in aggregate principal amount of the June 2027 Notes on March 1, 2026 for a redemption price equal to 102.156% of the aggregate principal amount of the June 2027 Notes to be redeemed plus accrued, but unpaid interest, to, but not including, the redemption date. On December 23, 2025, we irrevocably deposited or caused to be deposited funds in trust solely for the benefit of holders of the June 2027 Notes of $98 million, which is an amount sufficient to fully pay the redemption price. The $98 million is presented in restricted cash on our consolidated balance sheet as of December 31, 2025 and is made up of the following: $92 million principal amount due, $2 million call premium and $4 million of accrued interest through February 28, 2026. The debt will be repaid by the trustee at the early call price on March 2, 2026 under the terms of the notes.</w:t>
      </w:r>
    </w:p>
    <w:p>
      <w:pPr>
        <w:spacing w:after="0" w:line="68"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Subsequent to December 31, 2025, on January 22, 2026, we repaid the outstanding balance of our December 2027 Notes of $2 million in full, inclusive of redemption premiums and accrued and unpaid interest.</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Securitization Facility</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7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p>
      <w:pPr>
        <w:jc w:val="both"/>
        <w:ind w:right="20"/>
        <w:spacing w:after="0" w:line="286" w:lineRule="auto"/>
        <w:rPr>
          <w:sz w:val="20"/>
          <w:szCs w:val="20"/>
          <w:color w:val="auto"/>
        </w:rPr>
      </w:pPr>
      <w:r>
        <w:rPr>
          <w:rFonts w:ascii="Arial" w:cs="Arial" w:eastAsia="Arial" w:hAnsi="Arial"/>
          <w:sz w:val="16"/>
          <w:szCs w:val="16"/>
          <w:color w:val="212529"/>
        </w:rPr>
        <w:t>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July 3, 2025, we repaid $23 million of the outstanding balance on our Securitization Facility due to the removal of receivables related to the Hospitality Solutions business.</w:t>
      </w:r>
    </w:p>
    <w:p>
      <w:pPr>
        <w:spacing w:after="0" w:line="61"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The amount available for borrowings at any one time under the Securitization Facility is limited to a borrowing base calculated based on the outstanding balance of eligible receivables, subject to certain reserves. As of December 31, 2025, we had $202 million outstanding under the Securitization Facility, consisting of $82 million under the AR Facility and $120 million outstanding under the FILO Facility.</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212529"/>
        </w:rPr>
        <w:t>The FILO Facility bears interest at SOFR plus a drawn fee of 8.00% per annum. Interest and fees payable by Sabre Securitization under the FILO Facility are due monthly.</w:t>
      </w:r>
    </w:p>
    <w:p>
      <w:pPr>
        <w:spacing w:after="0" w:line="6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212529"/>
        </w:rPr>
        <w:t xml:space="preserve">Borrowings under the AR Facility bear interest at a rate equal to SOFR, subject to a 0% floor, plus a drawn fee, initially in the amount of 2.25%, plus a 0.10% SOFR adjustment. In connection with the issuance of the FILO Facility, the initial drawn fee rate was increased from 2.25% to 4.00%. The drawn fee rate, which was </w:t>
      </w:r>
      <w:r>
        <w:rPr>
          <w:rFonts w:ascii="Arial" w:cs="Arial" w:eastAsia="Arial" w:hAnsi="Arial"/>
          <w:sz w:val="16"/>
          <w:szCs w:val="16"/>
          <w:color w:val="000000"/>
        </w:rPr>
        <w:t>4.00%</w:t>
      </w:r>
      <w:r>
        <w:rPr>
          <w:rFonts w:ascii="Arial" w:cs="Arial" w:eastAsia="Arial" w:hAnsi="Arial"/>
          <w:sz w:val="16"/>
          <w:szCs w:val="16"/>
          <w:color w:val="212529"/>
        </w:rPr>
        <w:t xml:space="preserve"> as of December 31, 2025</w:t>
      </w:r>
      <w:r>
        <w:rPr>
          <w:rFonts w:ascii="Arial" w:cs="Arial" w:eastAsia="Arial" w:hAnsi="Arial"/>
          <w:sz w:val="16"/>
          <w:szCs w:val="16"/>
          <w:color w:val="000000"/>
        </w:rPr>
        <w:t>,</w:t>
      </w:r>
      <w:r>
        <w:rPr>
          <w:rFonts w:ascii="Arial" w:cs="Arial" w:eastAsia="Arial" w:hAnsi="Arial"/>
          <w:sz w:val="16"/>
          <w:szCs w:val="16"/>
          <w:color w:val="212529"/>
        </w:rPr>
        <w:t xml:space="preserve"> varies based on our leverage ratio</w:t>
      </w:r>
      <w:r>
        <w:rPr>
          <w:rFonts w:ascii="Arial" w:cs="Arial" w:eastAsia="Arial" w:hAnsi="Arial"/>
          <w:sz w:val="16"/>
          <w:szCs w:val="16"/>
          <w:color w:val="000000"/>
        </w:rPr>
        <w:t>.</w:t>
      </w:r>
      <w:r>
        <w:rPr>
          <w:rFonts w:ascii="Arial" w:cs="Arial" w:eastAsia="Arial" w:hAnsi="Arial"/>
          <w:sz w:val="16"/>
          <w:szCs w:val="16"/>
          <w:color w:val="212529"/>
        </w:rPr>
        <w:t xml:space="preserve"> Sabre Securitization also pays a fee on the undrawn committed amount of the AR Facility. Interest and fees payable by Sabre Securitization under the AR Facility are due monthly. Unamortized net debt issuance costs related to our AR Facility are $1 million for the year ended December 31, 2025 </w:t>
      </w:r>
      <w:r>
        <w:rPr>
          <w:rFonts w:ascii="Arial" w:cs="Arial" w:eastAsia="Arial" w:hAnsi="Arial"/>
          <w:sz w:val="16"/>
          <w:szCs w:val="16"/>
          <w:color w:val="000000"/>
        </w:rPr>
        <w:t>and $1 million for the year ended December 31, 2024, which</w:t>
      </w:r>
      <w:r>
        <w:rPr>
          <w:rFonts w:ascii="Arial" w:cs="Arial" w:eastAsia="Arial" w:hAnsi="Arial"/>
          <w:sz w:val="16"/>
          <w:szCs w:val="16"/>
          <w:color w:val="212529"/>
        </w:rPr>
        <w:t xml:space="preserve"> are recorded in other assets, net in our consolidated balance sheets.</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In connection with the Securitization Facility, certain of our subsidiaries (the “Originators”) have sold and contributed, and will continue to sell or contribute, substantially all of their accounts receivable and certain related assets (collectively, the “Receivables”) to Sabre Securitization to be held as collateral for borrowings under the Securitization Facility. Sabre Securitization’s assets are not available to satisfy the obligations of Sabre Corporation or any of its affiliates. Under the terms of the Securitization Facility, the lenders under the AR Facility and FILO Facility would have a senior priority claim to the assets of Sabre Securitization, which will primarily consist of the Receivables of the Originators participating in the Securitization Facility. As of December 31, 2025, $274 million of Receivables are held as assets by Sabre Securitization, consisting of $266 million of accounts receivable and $8 million of other as</w:t>
      </w:r>
      <w:r>
        <w:rPr>
          <w:rFonts w:ascii="Arial" w:cs="Arial" w:eastAsia="Arial" w:hAnsi="Arial"/>
          <w:sz w:val="16"/>
          <w:szCs w:val="16"/>
          <w:color w:val="000000"/>
        </w:rPr>
        <w:t>sets, net in our conso</w:t>
      </w:r>
      <w:r>
        <w:rPr>
          <w:rFonts w:ascii="Arial" w:cs="Arial" w:eastAsia="Arial" w:hAnsi="Arial"/>
          <w:sz w:val="16"/>
          <w:szCs w:val="16"/>
          <w:color w:val="212529"/>
        </w:rPr>
        <w:t>lidated balance sheets.</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The Securitization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Securitization Facility and (iii) receipts from customers related to the underlying Receivables are reflected as operating cash flows and borrowings and repayments u</w:t>
      </w:r>
      <w:r>
        <w:rPr>
          <w:rFonts w:ascii="Arial" w:cs="Arial" w:eastAsia="Arial" w:hAnsi="Arial"/>
          <w:sz w:val="16"/>
          <w:szCs w:val="16"/>
          <w:color w:val="000000"/>
        </w:rPr>
        <w:t>nder the Securitization Facility are reflected as financing cash flows</w:t>
      </w:r>
      <w:r>
        <w:rPr>
          <w:rFonts w:ascii="Arial" w:cs="Arial" w:eastAsia="Arial" w:hAnsi="Arial"/>
          <w:sz w:val="16"/>
          <w:szCs w:val="16"/>
          <w:color w:val="212529"/>
        </w:rPr>
        <w:t xml:space="preserve"> </w:t>
      </w:r>
      <w:r>
        <w:rPr>
          <w:rFonts w:ascii="Arial" w:cs="Arial" w:eastAsia="Arial" w:hAnsi="Arial"/>
          <w:sz w:val="16"/>
          <w:szCs w:val="16"/>
          <w:color w:val="000000"/>
        </w:rPr>
        <w:t>within our consolidated statements of cash flows. The receivables and other assets of Sabre Securitization are not available to satisfy creditors of any entity other than Sabre Securitization.</w:t>
      </w:r>
    </w:p>
    <w:p>
      <w:pPr>
        <w:spacing w:after="0" w:line="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 xml:space="preserve">The Securitization </w:t>
      </w:r>
      <w:r>
        <w:rPr>
          <w:rFonts w:ascii="Arial" w:cs="Arial" w:eastAsia="Arial" w:hAnsi="Arial"/>
          <w:sz w:val="16"/>
          <w:szCs w:val="16"/>
          <w:color w:val="212529"/>
        </w:rPr>
        <w:t>Facility contains certain customary representations, warranties, affirmative covenants, and negative covenants, subject to certain</w:t>
      </w:r>
      <w:r>
        <w:rPr>
          <w:rFonts w:ascii="Arial" w:cs="Arial" w:eastAsia="Arial" w:hAnsi="Arial"/>
          <w:sz w:val="16"/>
          <w:szCs w:val="16"/>
          <w:color w:val="auto"/>
        </w:rPr>
        <w:t xml:space="preserve"> </w:t>
      </w:r>
      <w:r>
        <w:rPr>
          <w:rFonts w:ascii="Arial" w:cs="Arial" w:eastAsia="Arial" w:hAnsi="Arial"/>
          <w:sz w:val="16"/>
          <w:szCs w:val="16"/>
          <w:color w:val="212529"/>
        </w:rPr>
        <w:t xml:space="preserve">cure periods in some cases, including the eligibility of the Receivables being sold by the Originators and securing the loans made by the lenders, as well as customary reserve requirements, events of default, termination events, and servicer defaults. As of December 31, 2025, we were in compliance with the financial covenants of the </w:t>
      </w:r>
      <w:r>
        <w:rPr>
          <w:rFonts w:ascii="Arial" w:cs="Arial" w:eastAsia="Arial" w:hAnsi="Arial"/>
          <w:sz w:val="16"/>
          <w:szCs w:val="16"/>
          <w:color w:val="000000"/>
        </w:rPr>
        <w:t>Securitization</w:t>
      </w:r>
      <w:r>
        <w:rPr>
          <w:rFonts w:ascii="Arial" w:cs="Arial" w:eastAsia="Arial" w:hAnsi="Arial"/>
          <w:sz w:val="16"/>
          <w:szCs w:val="16"/>
          <w:color w:val="212529"/>
        </w:rPr>
        <w:t> Facility.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9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6"/>
          <w:szCs w:val="16"/>
          <w:color w:val="auto"/>
        </w:rPr>
        <w:t xml:space="preserve">On April 17, 2020, Sabre GLBL entered into a debt agreement (the "2025 Exchangeable Notes Indenture") consisting of $345 million aggregate principal amount of 4.000% senior exchangeable notes due 2025 (the “2025 Exchangeable Notes”). The 2025 Exchangeable Notes were senior, unsecured obligations of Sabre GLBL, and accrued interest payable semi-annually in arrears. The 2025 Exchangeable Notes </w:t>
      </w:r>
      <w:r>
        <w:rPr>
          <w:rFonts w:ascii="Arial" w:cs="Arial" w:eastAsia="Arial" w:hAnsi="Arial"/>
          <w:sz w:val="16"/>
          <w:szCs w:val="16"/>
          <w:color w:val="212529"/>
        </w:rPr>
        <w:t>matured on</w:t>
      </w:r>
      <w:r>
        <w:rPr>
          <w:rFonts w:ascii="Arial" w:cs="Arial" w:eastAsia="Arial" w:hAnsi="Arial"/>
          <w:sz w:val="16"/>
          <w:szCs w:val="16"/>
          <w:color w:val="auto"/>
        </w:rPr>
        <w:t xml:space="preserve"> April 15, 2025</w:t>
      </w:r>
      <w:r>
        <w:rPr>
          <w:rFonts w:ascii="Arial" w:cs="Arial" w:eastAsia="Arial" w:hAnsi="Arial"/>
          <w:sz w:val="16"/>
          <w:szCs w:val="16"/>
          <w:color w:val="212529"/>
        </w:rPr>
        <w:t>, and were</w:t>
      </w:r>
      <w:r>
        <w:rPr>
          <w:rFonts w:ascii="Arial" w:cs="Arial" w:eastAsia="Arial" w:hAnsi="Arial"/>
          <w:sz w:val="16"/>
          <w:szCs w:val="16"/>
          <w:color w:val="auto"/>
        </w:rPr>
        <w:t xml:space="preserve"> </w:t>
      </w:r>
      <w:r>
        <w:rPr>
          <w:rFonts w:ascii="Arial" w:cs="Arial" w:eastAsia="Arial" w:hAnsi="Arial"/>
          <w:sz w:val="16"/>
          <w:szCs w:val="16"/>
          <w:color w:val="212529"/>
        </w:rPr>
        <w:t>settled with cash</w:t>
      </w:r>
      <w:r>
        <w:rPr>
          <w:rFonts w:ascii="Arial" w:cs="Arial" w:eastAsia="Arial" w:hAnsi="Arial"/>
          <w:sz w:val="16"/>
          <w:szCs w:val="16"/>
          <w:color w:val="000000"/>
        </w:rPr>
        <w:t>.</w:t>
      </w:r>
    </w:p>
    <w:p>
      <w:pPr>
        <w:spacing w:after="0" w:line="27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its then-outstanding 2025 Exchangeable Notes for $150 million aggregate principal amount of Sabre GLBL's newly-issued 7.32% senior exchangeable notes due 2026 (the "2026 Exchangeable Notes" and, together with the 2025 Exchangeable Notes, the "Exchangeable Notes") and approximately $ 30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w:t>
      </w:r>
      <w:r>
        <w:rPr>
          <w:rFonts w:ascii="Arial" w:cs="Arial" w:eastAsia="Arial" w:hAnsi="Arial"/>
          <w:sz w:val="16"/>
          <w:szCs w:val="16"/>
          <w:color w:val="212529"/>
        </w:rPr>
        <w:t xml:space="preserve"> </w:t>
      </w:r>
      <w:r>
        <w:rPr>
          <w:rFonts w:ascii="Arial" w:cs="Arial" w:eastAsia="Arial" w:hAnsi="Arial"/>
          <w:sz w:val="16"/>
          <w:szCs w:val="16"/>
          <w:color w:val="000000"/>
        </w:rPr>
        <w:t xml:space="preserve">of the exchange fees, represents a debt extinguishment and therefore recognized a loss on extinguishment of debt of $31 million during the year ended December 31, 2024.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 payable</w:t>
      </w:r>
      <w:r>
        <w:rPr>
          <w:rFonts w:ascii="Arial" w:cs="Arial" w:eastAsia="Arial" w:hAnsi="Arial"/>
          <w:sz w:val="16"/>
          <w:szCs w:val="16"/>
          <w:color w:val="000000"/>
        </w:rPr>
        <w:t xml:space="preserve"> </w:t>
      </w:r>
      <w:r>
        <w:rPr>
          <w:rFonts w:ascii="Arial" w:cs="Arial" w:eastAsia="Arial" w:hAnsi="Arial"/>
          <w:sz w:val="16"/>
          <w:szCs w:val="16"/>
          <w:color w:val="212529"/>
        </w:rPr>
        <w:t xml:space="preserve">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and, together with the 2025 Exchangeable Notes Indenture, the Exchangeable Notes Indentures). As of December 31, 2025, we have </w:t>
      </w:r>
      <w:r>
        <w:rPr>
          <w:rFonts w:ascii="Arial" w:cs="Arial" w:eastAsia="Arial" w:hAnsi="Arial"/>
          <w:sz w:val="16"/>
          <w:szCs w:val="16"/>
          <w:color w:val="000000"/>
        </w:rPr>
        <w:t xml:space="preserve">$150 million </w:t>
      </w:r>
      <w:r>
        <w:rPr>
          <w:rFonts w:ascii="Arial" w:cs="Arial" w:eastAsia="Arial" w:hAnsi="Arial"/>
          <w:sz w:val="16"/>
          <w:szCs w:val="16"/>
          <w:color w:val="212529"/>
        </w:rPr>
        <w:t>aggregate principal amount of 2026 Exchangeable Notes outstanding.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2" w:name="page83"/>
    <w:bookmarkEnd w:id="82"/>
    <w:p>
      <w:pPr>
        <w:ind w:firstLine="486"/>
        <w:spacing w:after="0" w:line="286" w:lineRule="auto"/>
        <w:rPr>
          <w:sz w:val="20"/>
          <w:szCs w:val="20"/>
          <w:color w:val="auto"/>
        </w:rPr>
      </w:pPr>
      <w:r>
        <w:rPr>
          <w:rFonts w:ascii="Arial" w:cs="Arial" w:eastAsia="Arial" w:hAnsi="Arial"/>
          <w:sz w:val="16"/>
          <w:szCs w:val="16"/>
          <w:color w:val="auto"/>
        </w:rPr>
        <w:t xml:space="preserve">Under the terms of the 2026 </w:t>
      </w:r>
      <w:r>
        <w:rPr>
          <w:rFonts w:ascii="Arial" w:cs="Arial" w:eastAsia="Arial" w:hAnsi="Arial"/>
          <w:sz w:val="16"/>
          <w:szCs w:val="16"/>
          <w:color w:val="212529"/>
        </w:rPr>
        <w:t>Exchangeable Notes Indenture</w:t>
      </w:r>
      <w:r>
        <w:rPr>
          <w:rFonts w:ascii="Arial" w:cs="Arial" w:eastAsia="Arial" w:hAnsi="Arial"/>
          <w:sz w:val="16"/>
          <w:szCs w:val="16"/>
          <w:color w:val="auto"/>
        </w:rPr>
        <w:t xml:space="preserve">, </w:t>
      </w:r>
      <w:r>
        <w:rPr>
          <w:rFonts w:ascii="Arial" w:cs="Arial" w:eastAsia="Arial" w:hAnsi="Arial"/>
          <w:sz w:val="16"/>
          <w:szCs w:val="16"/>
          <w:color w:val="212529"/>
        </w:rPr>
        <w:t>the 2026 Exchangeable Notes are exchangeable into common stock of Sabre</w:t>
      </w:r>
      <w:r>
        <w:rPr>
          <w:rFonts w:ascii="Arial" w:cs="Arial" w:eastAsia="Arial" w:hAnsi="Arial"/>
          <w:sz w:val="16"/>
          <w:szCs w:val="16"/>
          <w:color w:val="auto"/>
        </w:rPr>
        <w:t xml:space="preserve"> </w:t>
      </w:r>
      <w:r>
        <w:rPr>
          <w:rFonts w:ascii="Arial" w:cs="Arial" w:eastAsia="Arial" w:hAnsi="Arial"/>
          <w:sz w:val="16"/>
          <w:szCs w:val="16"/>
          <w:color w:val="212529"/>
        </w:rPr>
        <w:t xml:space="preserve">Corporation (referred to as </w:t>
      </w:r>
      <w:r>
        <w:rPr>
          <w:rFonts w:ascii="Arial" w:cs="Arial" w:eastAsia="Arial" w:hAnsi="Arial"/>
          <w:sz w:val="16"/>
          <w:szCs w:val="16"/>
          <w:color w:val="000000"/>
        </w:rPr>
        <w:t>“</w:t>
      </w:r>
      <w:r>
        <w:rPr>
          <w:rFonts w:ascii="Arial" w:cs="Arial" w:eastAsia="Arial" w:hAnsi="Arial"/>
          <w:sz w:val="16"/>
          <w:szCs w:val="16"/>
          <w:color w:val="212529"/>
        </w:rPr>
        <w:t>our common stock” herein) at the following times or circumstances:</w:t>
      </w:r>
    </w:p>
    <w:p>
      <w:pPr>
        <w:spacing w:after="0" w:line="61" w:lineRule="exact"/>
        <w:rPr>
          <w:sz w:val="20"/>
          <w:szCs w:val="20"/>
          <w:color w:val="auto"/>
        </w:rPr>
      </w:pPr>
    </w:p>
    <w:p>
      <w:pPr>
        <w:jc w:val="both"/>
        <w:ind w:left="66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212529"/>
        </w:rPr>
        <w:t>during any calendar quarter commencing after the calendar quarter ended June 30, 2024,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56" w:lineRule="exact"/>
        <w:rPr>
          <w:rFonts w:ascii="Arial" w:cs="Arial" w:eastAsia="Arial" w:hAnsi="Arial"/>
          <w:sz w:val="16"/>
          <w:szCs w:val="16"/>
          <w:color w:val="auto"/>
        </w:rPr>
      </w:pPr>
    </w:p>
    <w:p>
      <w:pPr>
        <w:jc w:val="both"/>
        <w:ind w:left="660" w:hanging="328"/>
        <w:spacing w:after="0" w:line="267" w:lineRule="auto"/>
        <w:tabs>
          <w:tab w:leader="none" w:pos="649" w:val="left"/>
        </w:tabs>
        <w:numPr>
          <w:ilvl w:val="0"/>
          <w:numId w:val="28"/>
        </w:numPr>
        <w:rPr>
          <w:rFonts w:ascii="Arial" w:cs="Arial" w:eastAsia="Arial" w:hAnsi="Arial"/>
          <w:sz w:val="16"/>
          <w:szCs w:val="16"/>
          <w:color w:val="212529"/>
        </w:rPr>
      </w:pPr>
      <w:r>
        <w:rPr>
          <w:rFonts w:ascii="Arial" w:cs="Arial" w:eastAsia="Arial" w:hAnsi="Arial"/>
          <w:sz w:val="16"/>
          <w:szCs w:val="16"/>
          <w:color w:val="212529"/>
        </w:rPr>
        <w:t xml:space="preserve">during the five consecutive business days immediately after any five consecutive trading day period (such five consecutive trading day period, the </w:t>
      </w:r>
      <w:r>
        <w:rPr>
          <w:rFonts w:ascii="Arial" w:cs="Arial" w:eastAsia="Arial" w:hAnsi="Arial"/>
          <w:sz w:val="16"/>
          <w:szCs w:val="16"/>
          <w:color w:val="000000"/>
        </w:rPr>
        <w:t>“</w:t>
      </w:r>
      <w:r>
        <w:rPr>
          <w:rFonts w:ascii="Arial" w:cs="Arial" w:eastAsia="Arial" w:hAnsi="Arial"/>
          <w:sz w:val="16"/>
          <w:szCs w:val="16"/>
          <w:color w:val="212529"/>
        </w:rPr>
        <w:t>Measurement Period”) if the trading price per $1,000 principal amount of the 2026 Exchangeable Notes, as determined following a request by a</w:t>
      </w:r>
      <w:r>
        <w:rPr>
          <w:rFonts w:ascii="Arial" w:cs="Arial" w:eastAsia="Arial" w:hAnsi="Arial"/>
          <w:sz w:val="16"/>
          <w:szCs w:val="16"/>
          <w:color w:val="000000"/>
        </w:rPr>
        <w:t xml:space="preserve"> </w:t>
      </w:r>
      <w:r>
        <w:rPr>
          <w:rFonts w:ascii="Arial" w:cs="Arial" w:eastAsia="Arial" w:hAnsi="Arial"/>
          <w:sz w:val="16"/>
          <w:szCs w:val="16"/>
          <w:color w:val="212529"/>
        </w:rPr>
        <w:t xml:space="preserve">holder in accordance with the procedures in the </w:t>
      </w:r>
      <w:r>
        <w:rPr>
          <w:rFonts w:ascii="Arial" w:cs="Arial" w:eastAsia="Arial" w:hAnsi="Arial"/>
          <w:sz w:val="16"/>
          <w:szCs w:val="16"/>
          <w:color w:val="000000"/>
        </w:rPr>
        <w:t>2026 Exchangeable Notes Indenture</w:t>
      </w:r>
      <w:r>
        <w:rPr>
          <w:rFonts w:ascii="Arial" w:cs="Arial" w:eastAsia="Arial" w:hAnsi="Arial"/>
          <w:sz w:val="16"/>
          <w:szCs w:val="16"/>
          <w:color w:val="212529"/>
        </w:rPr>
        <w:t>, for each trading day of the Measurement Period was less than 98% of the product of the last reported sale price per share of our common stock on such trading day and the exchange rate on such trading day;</w:t>
      </w:r>
    </w:p>
    <w:p>
      <w:pPr>
        <w:spacing w:after="0" w:line="261" w:lineRule="exact"/>
        <w:rPr>
          <w:rFonts w:ascii="Arial" w:cs="Arial" w:eastAsia="Arial" w:hAnsi="Arial"/>
          <w:sz w:val="16"/>
          <w:szCs w:val="16"/>
          <w:color w:val="212529"/>
        </w:rPr>
      </w:pPr>
    </w:p>
    <w:p>
      <w:pPr>
        <w:ind w:left="660" w:hanging="328"/>
        <w:spacing w:after="0" w:line="286" w:lineRule="auto"/>
        <w:tabs>
          <w:tab w:leader="none" w:pos="649" w:val="left"/>
        </w:tabs>
        <w:numPr>
          <w:ilvl w:val="0"/>
          <w:numId w:val="28"/>
        </w:numPr>
        <w:rPr>
          <w:rFonts w:ascii="Arial" w:cs="Arial" w:eastAsia="Arial" w:hAnsi="Arial"/>
          <w:sz w:val="16"/>
          <w:szCs w:val="16"/>
          <w:color w:val="212529"/>
        </w:rPr>
      </w:pPr>
      <w:r>
        <w:rPr>
          <w:rFonts w:ascii="Arial" w:cs="Arial" w:eastAsia="Arial" w:hAnsi="Arial"/>
          <w:sz w:val="16"/>
          <w:szCs w:val="16"/>
          <w:color w:val="212529"/>
        </w:rPr>
        <w:t xml:space="preserve">upon the occurrence of certain corporate events or distributions on our common stock, including but not limited to a “Fundamental Change” (as defined in the </w:t>
      </w:r>
      <w:r>
        <w:rPr>
          <w:rFonts w:ascii="Arial" w:cs="Arial" w:eastAsia="Arial" w:hAnsi="Arial"/>
          <w:sz w:val="16"/>
          <w:szCs w:val="16"/>
          <w:color w:val="000000"/>
        </w:rPr>
        <w:t>2026 Exchangeable Notes Indenture</w:t>
      </w:r>
      <w:r>
        <w:rPr>
          <w:rFonts w:ascii="Arial" w:cs="Arial" w:eastAsia="Arial" w:hAnsi="Arial"/>
          <w:sz w:val="16"/>
          <w:szCs w:val="16"/>
          <w:color w:val="212529"/>
        </w:rPr>
        <w:t>);</w:t>
      </w:r>
    </w:p>
    <w:p>
      <w:pPr>
        <w:spacing w:after="0" w:line="61" w:lineRule="exact"/>
        <w:rPr>
          <w:rFonts w:ascii="Arial" w:cs="Arial" w:eastAsia="Arial" w:hAnsi="Arial"/>
          <w:sz w:val="16"/>
          <w:szCs w:val="16"/>
          <w:color w:val="212529"/>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212529"/>
        </w:rPr>
        <w:t>upon the occurrence of specified corporate events; or</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8"/>
        </w:numPr>
        <w:rPr>
          <w:rFonts w:ascii="Arial" w:cs="Arial" w:eastAsia="Arial" w:hAnsi="Arial"/>
          <w:sz w:val="16"/>
          <w:szCs w:val="16"/>
          <w:color w:val="212529"/>
        </w:rPr>
      </w:pPr>
      <w:r>
        <w:rPr>
          <w:rFonts w:ascii="Arial" w:cs="Arial" w:eastAsia="Arial" w:hAnsi="Arial"/>
          <w:sz w:val="16"/>
          <w:szCs w:val="16"/>
          <w:color w:val="212529"/>
        </w:rPr>
        <w:t>on or after February 1, 2026, until the close of business on the second scheduled trading day immediately preceding the maturity date, August 1, 2026.</w:t>
      </w:r>
    </w:p>
    <w:p>
      <w:pPr>
        <w:spacing w:after="0" w:line="6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With certain exceptions, upon a Change of Control or other Fundamental Change (both as defined in the 2026 Exchangeable Notes Indenture), the holders of the 2026 Exchangeable Notes may require us to repurchase all or part of the principal amount of the 2026 Exchangeable Notes at a repurchase price equal to 100% of the principal amount of the 2026 Exchangeable Notes, plus any accrued and unpaid interest to, but excluding, the repurchase date. As of </w:t>
      </w:r>
      <w:r>
        <w:rPr>
          <w:rFonts w:ascii="Arial" w:cs="Arial" w:eastAsia="Arial" w:hAnsi="Arial"/>
          <w:sz w:val="16"/>
          <w:szCs w:val="16"/>
          <w:color w:val="212529"/>
        </w:rPr>
        <w:t>December 31, 2025</w:t>
      </w:r>
      <w:r>
        <w:rPr>
          <w:rFonts w:ascii="Arial" w:cs="Arial" w:eastAsia="Arial" w:hAnsi="Arial"/>
          <w:sz w:val="16"/>
          <w:szCs w:val="16"/>
          <w:color w:val="auto"/>
        </w:rPr>
        <w:t xml:space="preserve">, none of the conditions allowing holders of 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to exchange have been met.</w:t>
      </w:r>
    </w:p>
    <w:p>
      <w:pPr>
        <w:spacing w:after="0" w:line="6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are exchangeable at their holder’s election into shares of our common stock based on an initial exchange rate of 222.2222 shares of common stock per $1,000 principal amount of 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which is equivalent to an initial exchange price of approximately $4.50 per share. The exchange rate is subject to anti-dilution and other adjustments. Upon exchange,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w:t>
      </w:r>
      <w:r>
        <w:rPr>
          <w:rFonts w:ascii="Arial" w:cs="Arial" w:eastAsia="Arial" w:hAnsi="Arial"/>
          <w:sz w:val="16"/>
          <w:szCs w:val="16"/>
          <w:color w:val="auto"/>
        </w:rPr>
        <w:t xml:space="preserve"> </w:t>
      </w:r>
      <w:r>
        <w:rPr>
          <w:rFonts w:ascii="Arial" w:cs="Arial" w:eastAsia="Arial" w:hAnsi="Arial"/>
          <w:sz w:val="16"/>
          <w:szCs w:val="16"/>
          <w:color w:val="212529"/>
        </w:rPr>
        <w:t>Change” (as defined in the 2026 Exchangeable Notes Indenture) occurred with respect to any 2026 Exchangeable Note and the exchange date for the exchange of such 2026 Exchangeable Note occurred during the related “Make-Whole Fundamental Change Exchange Period” (as defined in the 2026 Exchangeable Notes Indenture), then, subject to the provisions set forth in the 2026 Exchangeable Notes Indenture, the exchange rate applicable to such exchange would have been increased by a number of shares set forth in the table contained in the 2026 Exchangeable Notes Indenture, based on a function of the time since origination and our stock price on the date of the occurrence of such Make-Whole Fundamental Change.</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 xml:space="preserve">Debt issuance costs are amortized over the contractual life of the Exchangeable Notes through interest expense, within our results from continuing operations. The effective interest rate at </w:t>
      </w:r>
      <w:r>
        <w:rPr>
          <w:rFonts w:ascii="Arial" w:cs="Arial" w:eastAsia="Arial" w:hAnsi="Arial"/>
          <w:sz w:val="16"/>
          <w:szCs w:val="16"/>
          <w:color w:val="212529"/>
        </w:rPr>
        <w:t>December 31, 2025</w:t>
      </w:r>
      <w:r>
        <w:rPr>
          <w:rFonts w:ascii="Arial" w:cs="Arial" w:eastAsia="Arial" w:hAnsi="Arial"/>
          <w:sz w:val="16"/>
          <w:szCs w:val="16"/>
          <w:color w:val="auto"/>
        </w:rPr>
        <w:t xml:space="preserve"> was 8.82% for the 2026 Exchangeable Notes. The effective interest rates at December 31, 2024 were 4.78% and 8.82% for the 2025 Exchangeable Notes and the 2026 Exchangeable Notes,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6"/>
          <w:szCs w:val="16"/>
          <w:color w:val="auto"/>
        </w:rPr>
        <w:t>The following table sets forth the carrying value of the Exchangeable Notes as of December 31, 2025 and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5"/>
              </w:rPr>
              <w:t>Year Ended December 31, 2025</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Year Ended December 31, 2024</w:t>
            </w:r>
          </w:p>
        </w:tc>
        <w:tc>
          <w:tcPr>
            <w:tcW w:w="660" w:type="dxa"/>
            <w:vAlign w:val="bottom"/>
            <w:tcBorders>
              <w:bottom w:val="single" w:sz="8" w:color="auto"/>
            </w:tcBorders>
          </w:tcPr>
          <w:p>
            <w:pPr>
              <w:spacing w:after="0"/>
              <w:rPr>
                <w:sz w:val="15"/>
                <w:szCs w:val="15"/>
                <w:color w:val="auto"/>
              </w:rPr>
            </w:pPr>
          </w:p>
        </w:tc>
      </w:tr>
      <w:tr>
        <w:trPr>
          <w:trHeight w:val="173"/>
        </w:trPr>
        <w:tc>
          <w:tcPr>
            <w:tcW w:w="4740" w:type="dxa"/>
            <w:vAlign w:val="bottom"/>
            <w:shd w:val="clear" w:color="auto" w:fill="CCEEFF"/>
          </w:tcPr>
          <w:p>
            <w:pPr>
              <w:spacing w:after="0"/>
              <w:rPr>
                <w:sz w:val="15"/>
                <w:szCs w:val="15"/>
                <w:color w:val="auto"/>
              </w:rPr>
            </w:pPr>
          </w:p>
        </w:tc>
        <w:tc>
          <w:tcPr>
            <w:tcW w:w="320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w w:val="97"/>
              </w:rPr>
              <w:t>2025 Exchangeable Notes 2026 Exchangeable Notes</w:t>
            </w:r>
          </w:p>
        </w:tc>
        <w:tc>
          <w:tcPr>
            <w:tcW w:w="80" w:type="dxa"/>
            <w:vAlign w:val="bottom"/>
            <w:shd w:val="clear" w:color="auto" w:fill="CCEEFF"/>
          </w:tcPr>
          <w:p>
            <w:pPr>
              <w:spacing w:after="0"/>
              <w:rPr>
                <w:sz w:val="15"/>
                <w:szCs w:val="15"/>
                <w:color w:val="auto"/>
              </w:rPr>
            </w:pPr>
          </w:p>
        </w:tc>
        <w:tc>
          <w:tcPr>
            <w:tcW w:w="322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w w:val="97"/>
              </w:rPr>
              <w:t>2025 Exchangeable Notes 2026 Exchangeable Notes</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Principal</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2140" w:type="dxa"/>
            <w:vAlign w:val="bottom"/>
          </w:tcPr>
          <w:p>
            <w:pPr>
              <w:ind w:left="9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183,220</w:t>
            </w:r>
          </w:p>
        </w:tc>
        <w:tc>
          <w:tcPr>
            <w:tcW w:w="98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150,000</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38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Net carrying value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148,726</w:t>
            </w:r>
          </w:p>
        </w:tc>
        <w:tc>
          <w:tcPr>
            <w:tcW w:w="8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182,806</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146,689</w:t>
            </w:r>
          </w:p>
        </w:tc>
      </w:tr>
      <w:tr>
        <w:trPr>
          <w:trHeight w:val="21"/>
        </w:trPr>
        <w:tc>
          <w:tcPr>
            <w:tcW w:w="4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 sets forth interest expense recognized related to the Exchangeable Notes for years ended December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4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3"/>
                <w:szCs w:val="13"/>
                <w:b w:val="1"/>
                <w:bCs w:val="1"/>
                <w:color w:val="auto"/>
              </w:rPr>
              <w:t>Year Ended December 31, 2025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b w:val="1"/>
                <w:bCs w:val="1"/>
                <w:color w:val="auto"/>
              </w:rPr>
              <w:t>Year Ended December 31, 2024</w:t>
            </w:r>
          </w:p>
        </w:tc>
        <w:tc>
          <w:tcPr>
            <w:tcW w:w="640" w:type="dxa"/>
            <w:vAlign w:val="bottom"/>
            <w:tcBorders>
              <w:bottom w:val="single" w:sz="8" w:color="auto"/>
            </w:tcBorders>
          </w:tcPr>
          <w:p>
            <w:pPr>
              <w:spacing w:after="0"/>
              <w:rPr>
                <w:sz w:val="15"/>
                <w:szCs w:val="15"/>
                <w:color w:val="auto"/>
              </w:rPr>
            </w:pPr>
          </w:p>
        </w:tc>
      </w:tr>
      <w:tr>
        <w:trPr>
          <w:trHeight w:val="173"/>
        </w:trPr>
        <w:tc>
          <w:tcPr>
            <w:tcW w:w="17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2025 Exchangeable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2026 Exchangeable Notes</w:t>
            </w:r>
          </w:p>
        </w:tc>
        <w:tc>
          <w:tcPr>
            <w:tcW w:w="100" w:type="dxa"/>
            <w:vAlign w:val="bottom"/>
            <w:shd w:val="clear" w:color="auto" w:fill="CCEEFF"/>
          </w:tcPr>
          <w:p>
            <w:pPr>
              <w:spacing w:after="0"/>
              <w:rPr>
                <w:sz w:val="15"/>
                <w:szCs w:val="15"/>
                <w:color w:val="auto"/>
              </w:rPr>
            </w:pPr>
          </w:p>
        </w:tc>
        <w:tc>
          <w:tcPr>
            <w:tcW w:w="180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2025 Exchangeable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2026 Exchangeable Notes</w:t>
            </w:r>
          </w:p>
        </w:tc>
      </w:tr>
      <w:tr>
        <w:trPr>
          <w:trHeight w:val="209"/>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Contractual interest expense</w:t>
            </w: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28"/>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8,601</w:t>
            </w:r>
          </w:p>
        </w:tc>
      </w:tr>
      <w:tr>
        <w:trPr>
          <w:trHeight w:val="21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748"/>
        </w:trPr>
        <w:tc>
          <w:tcPr>
            <w:tcW w:w="414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Aggregate Maturities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3"/>
        </w:trPr>
        <w:tc>
          <w:tcPr>
            <w:tcW w:w="7740" w:type="dxa"/>
            <w:vAlign w:val="bottom"/>
            <w:gridSpan w:val="8"/>
          </w:tcPr>
          <w:p>
            <w:pPr>
              <w:ind w:left="500"/>
              <w:spacing w:after="0"/>
              <w:rPr>
                <w:sz w:val="20"/>
                <w:szCs w:val="20"/>
                <w:color w:val="auto"/>
              </w:rPr>
            </w:pPr>
            <w:r>
              <w:rPr>
                <w:rFonts w:ascii="Arial" w:cs="Arial" w:eastAsia="Arial" w:hAnsi="Arial"/>
                <w:sz w:val="16"/>
                <w:szCs w:val="16"/>
                <w:color w:val="auto"/>
              </w:rPr>
              <w:t>As of December 31, 2025, aggregate maturities of our long-term debt were as follows (in thousands):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1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ind w:left="220"/>
              <w:spacing w:after="0"/>
              <w:rPr>
                <w:sz w:val="20"/>
                <w:szCs w:val="20"/>
                <w:color w:val="auto"/>
              </w:rPr>
            </w:pPr>
            <w:r>
              <w:rPr>
                <w:rFonts w:ascii="Arial" w:cs="Arial" w:eastAsia="Arial" w:hAnsi="Arial"/>
                <w:sz w:val="13"/>
                <w:szCs w:val="13"/>
                <w:b w:val="1"/>
                <w:bCs w:val="1"/>
                <w:color w:val="auto"/>
              </w:rPr>
              <w:t>Amount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3"/>
        </w:trPr>
        <w:tc>
          <w:tcPr>
            <w:tcW w:w="174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Years Ending December 31,</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174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247,665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1740" w:type="dxa"/>
            <w:vAlign w:val="bottom"/>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206,500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174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1740" w:type="dxa"/>
            <w:vAlign w:val="bottom"/>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2,278,565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1740" w:type="dxa"/>
            <w:vAlign w:val="bottom"/>
          </w:tcPr>
          <w:p>
            <w:pPr>
              <w:spacing w:after="0"/>
              <w:rPr>
                <w:sz w:val="18"/>
                <w:szCs w:val="18"/>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2030</w:t>
            </w:r>
          </w:p>
        </w:tc>
        <w:tc>
          <w:tcPr>
            <w:tcW w:w="4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1,794,802</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5"/>
        </w:trPr>
        <w:tc>
          <w:tcPr>
            <w:tcW w:w="174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4,532,032</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Derivatives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is interest rate risk. Interest rate swaps are entered into to manage interest rate risk associated with our floating-rate borrowings.</w:t>
      </w:r>
    </w:p>
    <w:p>
      <w:pPr>
        <w:spacing w:after="0" w:line="3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accordance with authoritative guidance on accounting for derivatives and hedging, we designate interest rate swaps as cash flow hedges of floating-rate borrowings.</w:t>
      </w:r>
    </w:p>
    <w:p>
      <w:pPr>
        <w:spacing w:after="0" w:line="6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—We enter into interest rate swap agreements to manage interest rate risk exposure. The interest rate swap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are reported as a component of other comprehensive income (loss) (“OCI”) and reclassified into earnings in the same line item associated with the forecasted transaction and in the same period or periods during which the hedged transaction affects earnings. As of December 31, 2025, we did not have any hedge components excluded from the assessment of effectiveness. Cash flow hedges are classified in the same category in the consolidated statements of cash flows as the items being hedged and gains and losses on the derivative financial instruments are reported in cash provided by (used in) operating activities within the consolidated statements of cash flows. Derivatives not designated as hedging instruments are carried at fair value with changes in fair value reflected in other, net in the consolidated statements of operations.</w:t>
      </w:r>
    </w:p>
    <w:p>
      <w:pPr>
        <w:spacing w:after="0" w:line="66"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at December 31, 2025 and matured during the years ended December 31, 2025,</w:t>
      </w:r>
      <w:r>
        <w:rPr>
          <w:rFonts w:ascii="Arial" w:cs="Arial" w:eastAsia="Arial" w:hAnsi="Arial"/>
          <w:sz w:val="16"/>
          <w:szCs w:val="16"/>
          <w:i w:val="1"/>
          <w:iCs w:val="1"/>
          <w:color w:val="auto"/>
        </w:rPr>
        <w:t xml:space="preserve"> </w:t>
      </w:r>
      <w:r>
        <w:rPr>
          <w:rFonts w:ascii="Arial" w:cs="Arial" w:eastAsia="Arial" w:hAnsi="Arial"/>
          <w:sz w:val="16"/>
          <w:szCs w:val="16"/>
          <w:color w:val="auto"/>
        </w:rPr>
        <w:t>2024 and 2023 are as follows: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tbl>
      <w:tblPr>
        <w:tblLayout w:type="fixed"/>
        <w:tblInd w:w="40" w:type="dxa"/>
        <w:tblCellMar>
          <w:top w:w="0" w:type="dxa"/>
          <w:left w:w="0" w:type="dxa"/>
          <w:bottom w:w="0" w:type="dxa"/>
          <w:right w:w="0" w:type="dxa"/>
        </w:tblCellMar>
      </w:tblPr>
      <w:tr>
        <w:trPr>
          <w:trHeight w:val="149"/>
        </w:trPr>
        <w:tc>
          <w:tcPr>
            <w:tcW w:w="2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20" w:type="dxa"/>
            <w:vAlign w:val="bottom"/>
          </w:tcPr>
          <w:p>
            <w:pPr>
              <w:jc w:val="center"/>
              <w:ind w:left="44"/>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18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Interest Rate Paid</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Effective Date</w:t>
            </w:r>
          </w:p>
        </w:tc>
        <w:tc>
          <w:tcPr>
            <w:tcW w:w="2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85"/>
        </w:trPr>
        <w:tc>
          <w:tcPr>
            <w:tcW w:w="2060" w:type="dxa"/>
            <w:vAlign w:val="bottom"/>
            <w:vMerge w:val="continue"/>
          </w:tcPr>
          <w:p>
            <w:pPr>
              <w:spacing w:after="0"/>
              <w:rPr>
                <w:sz w:val="16"/>
                <w:szCs w:val="16"/>
                <w:color w:val="auto"/>
              </w:rPr>
            </w:pPr>
          </w:p>
        </w:tc>
        <w:tc>
          <w:tcPr>
            <w:tcW w:w="2120" w:type="dxa"/>
            <w:vAlign w:val="bottom"/>
          </w:tcPr>
          <w:p>
            <w:pPr>
              <w:jc w:val="center"/>
              <w:ind w:left="44"/>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 million</w:t>
            </w:r>
          </w:p>
        </w:tc>
        <w:tc>
          <w:tcPr>
            <w:tcW w:w="212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3.09%</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2"/>
                <w:szCs w:val="22"/>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April 30, 2022</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6"/>
                <w:szCs w:val="16"/>
                <w:color w:val="auto"/>
              </w:rPr>
              <w:t>$150 million</w:t>
            </w:r>
          </w:p>
        </w:tc>
        <w:tc>
          <w:tcPr>
            <w:tcW w:w="2120" w:type="dxa"/>
            <w:vAlign w:val="bottom"/>
          </w:tcPr>
          <w:p>
            <w:pPr>
              <w:jc w:val="center"/>
              <w:ind w:left="4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tcPr>
          <w:p>
            <w:pPr>
              <w:ind w:left="740"/>
              <w:spacing w:after="0" w:line="216" w:lineRule="exact"/>
              <w:rPr>
                <w:sz w:val="20"/>
                <w:szCs w:val="20"/>
                <w:color w:val="auto"/>
              </w:rPr>
            </w:pPr>
            <w:r>
              <w:rPr>
                <w:rFonts w:ascii="Arial" w:cs="Arial" w:eastAsia="Arial" w:hAnsi="Arial"/>
                <w:sz w:val="16"/>
                <w:szCs w:val="16"/>
                <w:color w:val="auto"/>
              </w:rPr>
              <w:t>3.98%</w:t>
            </w:r>
            <w:r>
              <w:rPr>
                <w:rFonts w:ascii="Arial" w:cs="Arial" w:eastAsia="Arial" w:hAnsi="Arial"/>
                <w:sz w:val="21"/>
                <w:szCs w:val="21"/>
                <w:color w:val="auto"/>
                <w:vertAlign w:val="superscript"/>
              </w:rPr>
              <w:t>(3)</w:t>
            </w:r>
          </w:p>
        </w:tc>
        <w:tc>
          <w:tcPr>
            <w:tcW w:w="10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6"/>
                <w:szCs w:val="16"/>
                <w:color w:val="auto"/>
              </w:rPr>
              <w:t>June 30, 2022</w:t>
            </w:r>
          </w:p>
        </w:tc>
        <w:tc>
          <w:tcPr>
            <w:tcW w:w="2320" w:type="dxa"/>
            <w:vAlign w:val="bottom"/>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2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June 30, 2023</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30, 2026</w:t>
            </w: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6"/>
                <w:szCs w:val="16"/>
                <w:color w:val="auto"/>
              </w:rPr>
              <w:t>$250 million</w:t>
            </w:r>
          </w:p>
        </w:tc>
        <w:tc>
          <w:tcPr>
            <w:tcW w:w="2120" w:type="dxa"/>
            <w:vAlign w:val="bottom"/>
          </w:tcPr>
          <w:p>
            <w:pPr>
              <w:jc w:val="center"/>
              <w:ind w:left="4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tcPr>
          <w:p>
            <w:pPr>
              <w:ind w:left="74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6"/>
                <w:szCs w:val="16"/>
                <w:color w:val="auto"/>
              </w:rPr>
              <w:t>December 31, 2023</w:t>
            </w:r>
          </w:p>
        </w:tc>
        <w:tc>
          <w:tcPr>
            <w:tcW w:w="2320" w:type="dxa"/>
            <w:vAlign w:val="bottom"/>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2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(1)</w:t>
            </w:r>
          </w:p>
        </w:tc>
        <w:tc>
          <w:tcPr>
            <w:tcW w:w="21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January 16, 2024</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07"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9"/>
          <w:szCs w:val="9"/>
          <w:color w:val="auto"/>
        </w:rPr>
      </w:pPr>
      <w:r>
        <w:rPr>
          <w:rFonts w:ascii="Arial" w:cs="Arial" w:eastAsia="Arial" w:hAnsi="Arial"/>
          <w:sz w:val="14"/>
          <w:szCs w:val="14"/>
          <w:color w:val="auto"/>
        </w:rPr>
        <w:t>Subject to a 0.5% floor.</w:t>
      </w:r>
    </w:p>
    <w:p>
      <w:pPr>
        <w:spacing w:after="0" w:line="28" w:lineRule="exact"/>
        <w:rPr>
          <w:rFonts w:ascii="Arial" w:cs="Arial" w:eastAsia="Arial" w:hAnsi="Arial"/>
          <w:sz w:val="9"/>
          <w:szCs w:val="9"/>
          <w:color w:val="auto"/>
        </w:rPr>
      </w:pPr>
    </w:p>
    <w:p>
      <w:pPr>
        <w:ind w:left="220" w:hanging="212"/>
        <w:spacing w:after="0" w:line="192" w:lineRule="auto"/>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Fixed fee of 1.71% effective April 30, 2022, and expiring December 30, 2022, and 3.09% effective December 31, 2022, and expiring December 31, 2023.</w:t>
      </w:r>
    </w:p>
    <w:p>
      <w:pPr>
        <w:ind w:left="220" w:hanging="212"/>
        <w:spacing w:after="0" w:line="193" w:lineRule="auto"/>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April 2022, we entered into an interest rate swap to hedge the first interest payments associated with $200 million of certain of our term loans under our Amended and Restated Credit Agreement for the years 2022 and 2023. In June 2022, we entered into an interest rate swap to hedge the first interest payments associated with $150 million of certain of our term loans under our Amended and Restated Credit Agreement for the years 2022 and 2023. In February 2023, we entered into a forward-starting interest rate swap to hedge the first interest payments associated with $250 million of certain of our term loans under our Amended and Restated Credit Agreement for the year ended 2024. In June 2023, we entered into an interest rate swap to hedge the first interest payments associated with $250 million of certain of our term loans under our Amended and Restated Credit Agreement for the periods through June 2026. In January 2024, we entered into an interest rate swap to hedge the first interest payments associated with $250 million of certain of our term loans under our Amended and Restated Credit Agreement related to the years 2024 and 2025. We designated these swaps as cash flow hedges. For the year ended December 31, 2025, we recognized a cash flow impact of $1 million related to our interest rate swaps, which is reported as cash provided by operating activities within our consolidated statements of cash flows. As of December 31, 2025, we estimate that $1 million in losses will be reclassified from other comprehensive income (loss) to earnings over the next 12 months.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fair values of our derivatives designated as hedging instruments as of December 31, 2025 and 2024 are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3"/>
                <w:szCs w:val="13"/>
                <w:b w:val="1"/>
                <w:bCs w:val="1"/>
                <w:color w:val="auto"/>
              </w:rPr>
              <w:t>Derivative (Liabilities) Assets</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3"/>
        </w:trPr>
        <w:tc>
          <w:tcPr>
            <w:tcW w:w="40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3"/>
                <w:szCs w:val="13"/>
                <w:b w:val="1"/>
                <w:bCs w:val="1"/>
                <w:color w:val="auto"/>
              </w:rPr>
              <w:t>Fair Value as of December 31,</w:t>
            </w:r>
          </w:p>
        </w:tc>
      </w:tr>
      <w:tr>
        <w:trPr>
          <w:trHeight w:val="17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1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4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years ended December 31, 2025, 2024 and 2023 are as follows (in thousands):</w:t>
      </w:r>
    </w:p>
    <w:p>
      <w:pPr>
        <w:spacing w:after="0" w:line="201" w:lineRule="exact"/>
        <w:rPr>
          <w:sz w:val="20"/>
          <w:szCs w:val="20"/>
          <w:color w:val="auto"/>
        </w:rPr>
      </w:pPr>
    </w:p>
    <w:p>
      <w:pPr>
        <w:jc w:val="center"/>
        <w:ind w:left="6840"/>
        <w:spacing w:after="0"/>
        <w:rPr>
          <w:sz w:val="20"/>
          <w:szCs w:val="20"/>
          <w:color w:val="auto"/>
        </w:rPr>
      </w:pPr>
      <w:r>
        <w:rPr>
          <w:rFonts w:ascii="Arial" w:cs="Arial" w:eastAsia="Arial" w:hAnsi="Arial"/>
          <w:sz w:val="13"/>
          <w:szCs w:val="13"/>
          <w:b w:val="1"/>
          <w:bCs w:val="1"/>
          <w:color w:val="auto"/>
        </w:rPr>
        <w:t>Amount of Gains (Losses)</w:t>
      </w:r>
    </w:p>
    <w:p>
      <w:pPr>
        <w:jc w:val="center"/>
        <w:ind w:left="6840"/>
        <w:spacing w:after="0"/>
        <w:rPr>
          <w:sz w:val="20"/>
          <w:szCs w:val="20"/>
          <w:color w:val="auto"/>
        </w:rPr>
      </w:pPr>
      <w:r>
        <w:rPr>
          <w:rFonts w:ascii="Arial" w:cs="Arial" w:eastAsia="Arial" w:hAnsi="Arial"/>
          <w:sz w:val="13"/>
          <w:szCs w:val="13"/>
          <w:b w:val="1"/>
          <w:bCs w:val="1"/>
          <w:color w:val="auto"/>
        </w:rPr>
        <w:t>Recognized in OCI on Derivative, Effective Portion</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Year Ended December 31,</w:t>
            </w:r>
          </w:p>
        </w:tc>
        <w:tc>
          <w:tcPr>
            <w:tcW w:w="1140" w:type="dxa"/>
            <w:vAlign w:val="bottom"/>
            <w:tcBorders>
              <w:top w:val="single" w:sz="8" w:color="auto"/>
              <w:bottom w:val="single" w:sz="8" w:color="auto"/>
            </w:tcBorders>
          </w:tcPr>
          <w:p>
            <w:pPr>
              <w:spacing w:after="0"/>
              <w:rPr>
                <w:sz w:val="15"/>
                <w:szCs w:val="15"/>
                <w:color w:val="auto"/>
              </w:rPr>
            </w:pPr>
          </w:p>
        </w:tc>
      </w:tr>
      <w:tr>
        <w:trPr>
          <w:trHeight w:val="169"/>
        </w:trPr>
        <w:tc>
          <w:tcPr>
            <w:tcW w:w="6820" w:type="dxa"/>
            <w:vAlign w:val="bottom"/>
          </w:tcPr>
          <w:p>
            <w:pPr>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1100" w:type="dxa"/>
            <w:vAlign w:val="bottom"/>
          </w:tcPr>
          <w:p>
            <w:pPr>
              <w:jc w:val="right"/>
              <w:ind w:right="237"/>
              <w:spacing w:after="0"/>
              <w:rPr>
                <w:sz w:val="20"/>
                <w:szCs w:val="20"/>
                <w:color w:val="auto"/>
              </w:rPr>
            </w:pPr>
            <w:r>
              <w:rPr>
                <w:rFonts w:ascii="Arial" w:cs="Arial" w:eastAsia="Arial" w:hAnsi="Arial"/>
                <w:sz w:val="13"/>
                <w:szCs w:val="13"/>
                <w:b w:val="1"/>
                <w:bCs w:val="1"/>
                <w:color w:val="auto"/>
              </w:rPr>
              <w:t>2025</w:t>
            </w:r>
          </w:p>
        </w:tc>
        <w:tc>
          <w:tcPr>
            <w:tcW w:w="2100" w:type="dxa"/>
            <w:vAlign w:val="bottom"/>
          </w:tcPr>
          <w:p>
            <w:pPr>
              <w:jc w:val="right"/>
              <w:ind w:right="877"/>
              <w:spacing w:after="0"/>
              <w:rPr>
                <w:sz w:val="20"/>
                <w:szCs w:val="20"/>
                <w:color w:val="auto"/>
              </w:rPr>
            </w:pPr>
            <w:r>
              <w:rPr>
                <w:rFonts w:ascii="Arial" w:cs="Arial" w:eastAsia="Arial" w:hAnsi="Arial"/>
                <w:sz w:val="13"/>
                <w:szCs w:val="13"/>
                <w:b w:val="1"/>
                <w:bCs w:val="1"/>
                <w:color w:val="auto"/>
              </w:rPr>
              <w:t>2024</w:t>
            </w:r>
          </w:p>
        </w:tc>
        <w:tc>
          <w:tcPr>
            <w:tcW w:w="1140" w:type="dxa"/>
            <w:vAlign w:val="bottom"/>
          </w:tcPr>
          <w:p>
            <w:pPr>
              <w:jc w:val="right"/>
              <w:ind w:right="517"/>
              <w:spacing w:after="0"/>
              <w:rPr>
                <w:sz w:val="20"/>
                <w:szCs w:val="20"/>
                <w:color w:val="auto"/>
              </w:rPr>
            </w:pPr>
            <w:r>
              <w:rPr>
                <w:rFonts w:ascii="Arial" w:cs="Arial" w:eastAsia="Arial" w:hAnsi="Arial"/>
                <w:sz w:val="13"/>
                <w:szCs w:val="13"/>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center"/>
              <w:ind w:left="363"/>
              <w:spacing w:after="0"/>
              <w:rPr>
                <w:sz w:val="20"/>
                <w:szCs w:val="20"/>
                <w:color w:val="auto"/>
              </w:rPr>
            </w:pPr>
            <w:r>
              <w:rPr>
                <w:rFonts w:ascii="Arial" w:cs="Arial" w:eastAsia="Arial" w:hAnsi="Arial"/>
                <w:sz w:val="16"/>
                <w:szCs w:val="16"/>
                <w:color w:val="auto"/>
                <w:w w:val="99"/>
              </w:rPr>
              <w:t>7,170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363"/>
              <w:spacing w:after="0"/>
              <w:rPr>
                <w:sz w:val="20"/>
                <w:szCs w:val="20"/>
                <w:color w:val="auto"/>
              </w:rPr>
            </w:pPr>
            <w:r>
              <w:rPr>
                <w:rFonts w:ascii="Arial" w:cs="Arial" w:eastAsia="Arial" w:hAnsi="Arial"/>
                <w:sz w:val="16"/>
                <w:szCs w:val="16"/>
                <w:color w:val="auto"/>
                <w:w w:val="99"/>
              </w:rPr>
              <w:t>7,170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13"/>
          </w:tcPr>
          <w:p>
            <w:pPr>
              <w:jc w:val="center"/>
              <w:ind w:right="40"/>
              <w:spacing w:after="0"/>
              <w:rPr>
                <w:sz w:val="20"/>
                <w:szCs w:val="20"/>
                <w:color w:val="auto"/>
              </w:rPr>
            </w:pPr>
            <w:r>
              <w:rPr>
                <w:rFonts w:ascii="Arial" w:cs="Arial" w:eastAsia="Arial" w:hAnsi="Arial"/>
                <w:sz w:val="13"/>
                <w:szCs w:val="13"/>
                <w:b w:val="1"/>
                <w:bCs w:val="1"/>
                <w:color w:val="auto"/>
                <w:w w:val="96"/>
              </w:rPr>
              <w:t>Amount of Losses (Gains) Reclassified from Accumulated</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0"/>
          </w:tcPr>
          <w:p>
            <w:pPr>
              <w:jc w:val="center"/>
              <w:ind w:left="23"/>
              <w:spacing w:after="0"/>
              <w:rPr>
                <w:sz w:val="20"/>
                <w:szCs w:val="20"/>
                <w:color w:val="auto"/>
              </w:rPr>
            </w:pPr>
            <w:r>
              <w:rPr>
                <w:rFonts w:ascii="Arial" w:cs="Arial" w:eastAsia="Arial" w:hAnsi="Arial"/>
                <w:sz w:val="13"/>
                <w:szCs w:val="13"/>
                <w:b w:val="1"/>
                <w:bCs w:val="1"/>
                <w:color w:val="auto"/>
                <w:w w:val="97"/>
              </w:rPr>
              <w:t>OCI into Income, Effective Portion</w:t>
            </w: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right="239"/>
              <w:spacing w:after="0"/>
              <w:rPr>
                <w:sz w:val="20"/>
                <w:szCs w:val="20"/>
                <w:color w:val="auto"/>
              </w:rPr>
            </w:pPr>
            <w:r>
              <w:rPr>
                <w:rFonts w:ascii="Arial" w:cs="Arial" w:eastAsia="Arial" w:hAnsi="Arial"/>
                <w:sz w:val="13"/>
                <w:szCs w:val="13"/>
                <w:b w:val="1"/>
                <w:bCs w:val="1"/>
                <w:color w:val="auto"/>
                <w:w w:val="96"/>
              </w:rPr>
              <w:t>Year Ended December 31,</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20" w:type="dxa"/>
            <w:vAlign w:val="bottom"/>
            <w:gridSpan w:val="3"/>
          </w:tcPr>
          <w:p>
            <w:pPr>
              <w:ind w:left="20"/>
              <w:spacing w:after="0" w:line="105" w:lineRule="exact"/>
              <w:rPr>
                <w:sz w:val="20"/>
                <w:szCs w:val="20"/>
                <w:color w:val="auto"/>
              </w:rPr>
            </w:pPr>
            <w:r>
              <w:rPr>
                <w:rFonts w:ascii="Arial" w:cs="Arial" w:eastAsia="Arial" w:hAnsi="Arial"/>
                <w:sz w:val="12"/>
                <w:szCs w:val="12"/>
                <w:b w:val="1"/>
                <w:bCs w:val="1"/>
                <w:color w:val="auto"/>
              </w:rPr>
              <w:t>Derivatives in Cash Flow Hedging</w:t>
            </w:r>
          </w:p>
        </w:tc>
        <w:tc>
          <w:tcPr>
            <w:tcW w:w="4060" w:type="dxa"/>
            <w:vAlign w:val="bottom"/>
            <w:gridSpan w:val="3"/>
            <w:vMerge w:val="restart"/>
          </w:tcPr>
          <w:p>
            <w:pPr>
              <w:ind w:left="1180"/>
              <w:spacing w:after="0"/>
              <w:rPr>
                <w:sz w:val="20"/>
                <w:szCs w:val="20"/>
                <w:color w:val="auto"/>
              </w:rPr>
            </w:pPr>
            <w:r>
              <w:rPr>
                <w:rFonts w:ascii="Arial" w:cs="Arial" w:eastAsia="Arial" w:hAnsi="Arial"/>
                <w:sz w:val="13"/>
                <w:szCs w:val="13"/>
                <w:b w:val="1"/>
                <w:bCs w:val="1"/>
                <w:color w:val="auto"/>
              </w:rPr>
              <w:t>Income Statement Location</w:t>
            </w:r>
          </w:p>
        </w:tc>
        <w:tc>
          <w:tcPr>
            <w:tcW w:w="940" w:type="dxa"/>
            <w:vAlign w:val="bottom"/>
            <w:gridSpan w:val="2"/>
            <w:vMerge w:val="restart"/>
          </w:tcPr>
          <w:p>
            <w:pPr>
              <w:jc w:val="right"/>
              <w:ind w:right="25"/>
              <w:spacing w:after="0"/>
              <w:rPr>
                <w:sz w:val="20"/>
                <w:szCs w:val="20"/>
                <w:color w:val="auto"/>
              </w:rPr>
            </w:pPr>
            <w:r>
              <w:rPr>
                <w:rFonts w:ascii="Arial" w:cs="Arial" w:eastAsia="Arial" w:hAnsi="Arial"/>
                <w:sz w:val="13"/>
                <w:szCs w:val="13"/>
                <w:b w:val="1"/>
                <w:bCs w:val="1"/>
                <w:color w:val="auto"/>
              </w:rPr>
              <w:t>2025</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ind w:right="423"/>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vMerge w:val="restart"/>
          </w:tcPr>
          <w:p>
            <w:pPr>
              <w:jc w:val="right"/>
              <w:ind w:right="483"/>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820" w:type="dxa"/>
            <w:vAlign w:val="bottom"/>
            <w:gridSpan w:val="3"/>
          </w:tcPr>
          <w:p>
            <w:pPr>
              <w:ind w:left="20"/>
              <w:spacing w:after="0"/>
              <w:rPr>
                <w:sz w:val="20"/>
                <w:szCs w:val="20"/>
                <w:color w:val="auto"/>
              </w:rPr>
            </w:pPr>
            <w:r>
              <w:rPr>
                <w:rFonts w:ascii="Arial" w:cs="Arial" w:eastAsia="Arial" w:hAnsi="Arial"/>
                <w:sz w:val="13"/>
                <w:szCs w:val="13"/>
                <w:b w:val="1"/>
                <w:bCs w:val="1"/>
                <w:color w:val="auto"/>
              </w:rPr>
              <w:t>Relationships</w:t>
            </w:r>
          </w:p>
        </w:tc>
        <w:tc>
          <w:tcPr>
            <w:tcW w:w="406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988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gridSpan w:val="2"/>
            <w:shd w:val="clear" w:color="auto" w:fill="CCEEFF"/>
          </w:tcPr>
          <w:p>
            <w:pPr>
              <w:jc w:val="center"/>
              <w:ind w:left="383"/>
              <w:spacing w:after="0"/>
              <w:rPr>
                <w:sz w:val="20"/>
                <w:szCs w:val="20"/>
                <w:color w:val="auto"/>
              </w:rPr>
            </w:pPr>
            <w:r>
              <w:rPr>
                <w:rFonts w:ascii="Arial" w:cs="Arial" w:eastAsia="Arial" w:hAnsi="Arial"/>
                <w:sz w:val="16"/>
                <w:szCs w:val="16"/>
                <w:color w:val="auto"/>
              </w:rPr>
              <w:t>(7,094)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09"/>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988</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6"/>
                <w:szCs w:val="16"/>
                <w:color w:val="auto"/>
              </w:rPr>
              <w:t>(7,094)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12. Fair Value Measurements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is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Pension Plan Assets</w:t>
      </w:r>
      <w:r>
        <w:rPr>
          <w:rFonts w:ascii="Arial" w:cs="Arial" w:eastAsia="Arial" w:hAnsi="Arial"/>
          <w:sz w:val="16"/>
          <w:szCs w:val="16"/>
          <w:color w:val="auto"/>
        </w:rPr>
        <w:t>—See Note 17. Pension and Other Postretirement Benefit Plans, for fair value information on our pension plan assets.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Money market funds</w:t>
      </w:r>
      <w:r>
        <w:rPr>
          <w:rFonts w:ascii="Arial" w:cs="Arial" w:eastAsia="Arial" w:hAnsi="Arial"/>
          <w:sz w:val="16"/>
          <w:szCs w:val="16"/>
          <w:color w:val="auto"/>
        </w:rPr>
        <w:t>—Our valuation technique used to measure the fair values of our money market funds was derived from quoted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active markets for these instruments that exist.</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—Our valuation technique used to measure the fair values of our time deposit instruments was derived from the following: non-binding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consensus prices that were corroborated by observable market data and quoted market prices for similar instruments.</w:t>
      </w:r>
    </w:p>
    <w:p>
      <w:pPr>
        <w:spacing w:after="0" w:line="4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Investment in securities—</w:t>
      </w:r>
      <w:r>
        <w:rPr>
          <w:rFonts w:ascii="Arial" w:cs="Arial" w:eastAsia="Arial" w:hAnsi="Arial"/>
          <w:sz w:val="16"/>
          <w:szCs w:val="16"/>
          <w:color w:val="auto"/>
        </w:rPr>
        <w:t>In May 2022, we acquired 8 million shares of Class A Common Stock, par value of $0.0001 per share, of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Travel Group, Inc. ("GBT") for an aggregate purchase price of $80 million, which was included in prepaid expenses and other current assets in our consolidated balance sheets. The terms of these shares did not contain any restrictions that would impact our ability to sell the shares in the future. The fair value of our investment in GBT was based on its share price, a Level 1 input, as the stock is publicly traded on the New York Stock Exchange under the symbol GBTG. In the third quarter of 2024, we sold all 8 million shares of our investment for $55 million and recognized a net gain of $3 million for the year ended December 31, 2024. Our valuation technique used to measure the fair value of our existing investments in securities is based on the stock's publicly traded share price.</w:t>
      </w:r>
    </w:p>
    <w:p>
      <w:pPr>
        <w:spacing w:after="0" w:line="66"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The following tables present our assets (liabilities) that are required to be measured at fair value on a recurring basis as of December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2025</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410,493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410,493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441,406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411,126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1"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14"/>
          <w:szCs w:val="14"/>
          <w:color w:val="auto"/>
        </w:rPr>
        <w:t>See Note 11. Derivatives for further detail.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2024</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425,407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425,407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504,557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425,962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34"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See Note 11. Derivatives for further detail.</w:t>
      </w:r>
    </w:p>
    <w:p>
      <w:pPr>
        <w:spacing w:after="0" w:line="95" w:lineRule="exact"/>
        <w:rPr>
          <w:sz w:val="20"/>
          <w:szCs w:val="20"/>
          <w:color w:val="auto"/>
        </w:rPr>
      </w:pPr>
    </w:p>
    <w:p>
      <w:pPr>
        <w:ind w:left="500" w:right="1460"/>
        <w:spacing w:after="0" w:line="431" w:lineRule="auto"/>
        <w:rPr>
          <w:sz w:val="20"/>
          <w:szCs w:val="20"/>
          <w:color w:val="auto"/>
        </w:rPr>
      </w:pPr>
      <w:r>
        <w:rPr>
          <w:rFonts w:ascii="Arial" w:cs="Arial" w:eastAsia="Arial" w:hAnsi="Arial"/>
          <w:sz w:val="16"/>
          <w:szCs w:val="16"/>
          <w:color w:val="auto"/>
        </w:rPr>
        <w:t xml:space="preserve">There were no transfers between Levels 1 and 2 within the fair value hierarchy for the years ended December 31, 2025 and 2024. </w:t>
      </w:r>
      <w:r>
        <w:rPr>
          <w:rFonts w:ascii="Arial" w:cs="Arial" w:eastAsia="Arial" w:hAnsi="Arial"/>
          <w:sz w:val="16"/>
          <w:szCs w:val="16"/>
          <w:b w:val="1"/>
          <w:bCs w:val="1"/>
          <w:i w:val="1"/>
          <w:iCs w:val="1"/>
          <w:color w:val="auto"/>
        </w:rPr>
        <w:t>Other Financial Instruments</w:t>
      </w:r>
    </w:p>
    <w:p>
      <w:pPr>
        <w:spacing w:after="0" w:line="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2025 Exchangeable Notes and 2026 Exchangeable Notes, senior secured notes due 2025, 2027, 2029 and 2030 and term loans under our Amended and Restated Credit Agreement are determined based on quoted market prices for a similar liability when traded as an asset in an active market, a Level 2 input. The fair value of the 2028 Term Loan and FILO Facility were determined using a valuation model that includes certain assumptions and Level 3 inputs. The outstanding principal balances of our AR Facility and FILO Facility approximated their fair value as of December 31, 2025 and 2024.</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7" w:name="page88"/>
    <w:bookmarkEnd w:id="87"/>
    <w:p>
      <w:pPr>
        <w:ind w:left="50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 (in thousands):</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6"/>
          </w:tcPr>
          <w:p>
            <w:pPr>
              <w:jc w:val="right"/>
              <w:ind w:right="1099"/>
              <w:spacing w:after="0"/>
              <w:rPr>
                <w:sz w:val="20"/>
                <w:szCs w:val="20"/>
                <w:color w:val="auto"/>
              </w:rPr>
            </w:pPr>
            <w:r>
              <w:rPr>
                <w:rFonts w:ascii="Arial" w:cs="Arial" w:eastAsia="Arial" w:hAnsi="Arial"/>
                <w:sz w:val="13"/>
                <w:szCs w:val="13"/>
                <w:b w:val="1"/>
                <w:bCs w:val="1"/>
                <w:color w:val="auto"/>
              </w:rPr>
              <w:t>As of December 31, 2025</w:t>
            </w:r>
          </w:p>
        </w:tc>
        <w:tc>
          <w:tcPr>
            <w:tcW w:w="28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As of December 31, 2024</w:t>
            </w:r>
          </w:p>
        </w:tc>
      </w:tr>
      <w:tr>
        <w:trPr>
          <w:trHeight w:val="176"/>
        </w:trPr>
        <w:tc>
          <w:tcPr>
            <w:tcW w:w="468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659"/>
              <w:spacing w:after="0"/>
              <w:rPr>
                <w:sz w:val="20"/>
                <w:szCs w:val="20"/>
                <w:color w:val="auto"/>
              </w:rPr>
            </w:pPr>
            <w:r>
              <w:rPr>
                <w:rFonts w:ascii="Arial" w:cs="Arial" w:eastAsia="Arial" w:hAnsi="Arial"/>
                <w:sz w:val="13"/>
                <w:szCs w:val="13"/>
                <w:b w:val="1"/>
                <w:bCs w:val="1"/>
                <w:color w:val="auto"/>
              </w:rPr>
              <w:t>Fair Value</w:t>
            </w:r>
          </w:p>
        </w:tc>
        <w:tc>
          <w:tcPr>
            <w:tcW w:w="1320" w:type="dxa"/>
            <w:vAlign w:val="bottom"/>
            <w:tcBorders>
              <w:top w:val="single" w:sz="8" w:color="auto"/>
            </w:tcBorders>
          </w:tcPr>
          <w:p>
            <w:pPr>
              <w:jc w:val="right"/>
              <w:ind w:right="180"/>
              <w:spacing w:after="0" w:line="175" w:lineRule="exact"/>
              <w:rPr>
                <w:sz w:val="20"/>
                <w:szCs w:val="20"/>
                <w:color w:val="auto"/>
              </w:rPr>
            </w:pPr>
            <w:r>
              <w:rPr>
                <w:rFonts w:ascii="Arial" w:cs="Arial" w:eastAsia="Arial" w:hAnsi="Arial"/>
                <w:sz w:val="13"/>
                <w:szCs w:val="13"/>
                <w:b w:val="1"/>
                <w:bCs w:val="1"/>
                <w:color w:val="auto"/>
                <w:w w:val="99"/>
              </w:rPr>
              <w:t>Carrying Value</w:t>
            </w:r>
            <w:r>
              <w:rPr>
                <w:rFonts w:ascii="Arial" w:cs="Arial" w:eastAsia="Arial" w:hAnsi="Arial"/>
                <w:sz w:val="16"/>
                <w:szCs w:val="16"/>
                <w:b w:val="1"/>
                <w:bCs w:val="1"/>
                <w:color w:val="auto"/>
                <w:w w:val="99"/>
                <w:vertAlign w:val="superscript"/>
              </w:rPr>
              <w:t>(1)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80"/>
              <w:spacing w:after="0" w:line="175" w:lineRule="exact"/>
              <w:rPr>
                <w:sz w:val="20"/>
                <w:szCs w:val="20"/>
                <w:color w:val="auto"/>
              </w:rPr>
            </w:pPr>
            <w:r>
              <w:rPr>
                <w:rFonts w:ascii="Arial" w:cs="Arial" w:eastAsia="Arial" w:hAnsi="Arial"/>
                <w:sz w:val="13"/>
                <w:szCs w:val="13"/>
                <w:b w:val="1"/>
                <w:bCs w:val="1"/>
                <w:color w:val="auto"/>
                <w:w w:val="99"/>
              </w:rPr>
              <w:t>Carrying Value</w:t>
            </w:r>
            <w:r>
              <w:rPr>
                <w:rFonts w:ascii="Arial" w:cs="Arial" w:eastAsia="Arial" w:hAnsi="Arial"/>
                <w:sz w:val="16"/>
                <w:szCs w:val="16"/>
                <w:b w:val="1"/>
                <w:bCs w:val="1"/>
                <w:color w:val="auto"/>
                <w:w w:val="99"/>
                <w:vertAlign w:val="superscript"/>
              </w:rPr>
              <w:t>(1)</w:t>
            </w:r>
          </w:p>
        </w:tc>
      </w:t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 Term Loan B-1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303,643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314,453</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2021 Term Loan B-2</w:t>
            </w:r>
          </w:p>
        </w:tc>
        <w:tc>
          <w:tcPr>
            <w:tcW w:w="300" w:type="dxa"/>
            <w:vAlign w:val="bottom"/>
          </w:tcPr>
          <w:p>
            <w:pPr>
              <w:spacing w:after="0"/>
              <w:rPr>
                <w:sz w:val="18"/>
                <w:szCs w:val="18"/>
                <w:color w:val="auto"/>
              </w:rPr>
            </w:pPr>
          </w:p>
        </w:tc>
        <w:tc>
          <w:tcPr>
            <w:tcW w:w="15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356,665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364,600</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Term Loan B-1</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372,593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379,617</w:t>
            </w:r>
          </w:p>
        </w:tc>
      </w:tr>
      <w:tr>
        <w:trPr>
          <w:trHeight w:val="25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2022 Term Loan B-2</w:t>
            </w:r>
          </w:p>
        </w:tc>
        <w:tc>
          <w:tcPr>
            <w:tcW w:w="300" w:type="dxa"/>
            <w:vAlign w:val="bottom"/>
          </w:tcPr>
          <w:p>
            <w:pPr>
              <w:spacing w:after="0"/>
              <w:rPr>
                <w:sz w:val="22"/>
                <w:szCs w:val="22"/>
                <w:color w:val="auto"/>
              </w:rPr>
            </w:pPr>
          </w:p>
        </w:tc>
        <w:tc>
          <w:tcPr>
            <w:tcW w:w="15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407,228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400,748</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Term Loan B-1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355,652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689,655</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2024 Term Loan B-2</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66,500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76,313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74,902</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Term Loan B-1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2025 Term Loan B-2</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88,712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2028 Term Loan</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906,020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853,788</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9.25% senior secured notes due 2025</w:t>
            </w:r>
          </w:p>
        </w:tc>
        <w:tc>
          <w:tcPr>
            <w:tcW w:w="300" w:type="dxa"/>
            <w:vAlign w:val="bottom"/>
          </w:tcPr>
          <w:p>
            <w:pPr>
              <w:spacing w:after="0"/>
              <w:rPr>
                <w:sz w:val="18"/>
                <w:szCs w:val="18"/>
                <w:color w:val="auto"/>
              </w:rPr>
            </w:pPr>
          </w:p>
        </w:tc>
        <w:tc>
          <w:tcPr>
            <w:tcW w:w="15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4.00% senior exchangeable notes due 2025</w:t>
            </w:r>
          </w:p>
        </w:tc>
        <w:tc>
          <w:tcPr>
            <w:tcW w:w="300" w:type="dxa"/>
            <w:vAlign w:val="bottom"/>
          </w:tcPr>
          <w:p>
            <w:pPr>
              <w:spacing w:after="0"/>
              <w:rPr>
                <w:sz w:val="18"/>
                <w:szCs w:val="18"/>
                <w:color w:val="auto"/>
              </w:rPr>
            </w:pPr>
          </w:p>
        </w:tc>
        <w:tc>
          <w:tcPr>
            <w:tcW w:w="15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181,322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183,220</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7.32% senior exchangeable notes due 2026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8.625% senior secured notes due 2027</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93,342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91,607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649,105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656,783</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11.25% senior secured notes due 2027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45,253</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11.125% senior secured notes due 2029</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1,015,660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2029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853,220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774,332</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10.75% senior secured notes due 2030</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386,274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406,318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2030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1,114,418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w:t>
      </w:r>
    </w:p>
    <w:p>
      <w:pPr>
        <w:spacing w:after="0" w:line="9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Excludes net unamortized debt issuance costs.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As described in Note 1. Summary of Business and Significant Accounting Policies, 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Although we have not identified any triggering events or changes in circumstances that would require us to perform a goodwill impairment test, periodically, we will perform a quantitative assessment in the absence of identifying triggering events, as part of the qualitative assessment. In 2023, we elected to perform a quantitative assessment. We have not identified any triggering events or changes in circumstances since the performance of our goodwill impairment test in 2023 that would require us to perform another quantitative goodwill impairment test. We did not record any goodwill impairment charges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13. Leases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lease certain facilities under long-term operating leases. Operating lease assets are included in operating lease right-of-use (“ROU”) assets within other assets, net and operating lease liabilities are included in other accrued liabilities and other noncurrent liabilities in our consolidated balance sheets.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components of lease expense for the years ended December 31, 2025 and 2024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r>
      <w:tr>
        <w:trPr>
          <w:trHeight w:val="171"/>
        </w:trPr>
        <w:tc>
          <w:tcPr>
            <w:tcW w:w="70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8"/>
              <w:spacing w:after="0"/>
              <w:rPr>
                <w:sz w:val="20"/>
                <w:szCs w:val="20"/>
                <w:color w:val="auto"/>
              </w:rPr>
            </w:pPr>
            <w:r>
              <w:rPr>
                <w:rFonts w:ascii="Arial" w:cs="Arial" w:eastAsia="Arial" w:hAnsi="Arial"/>
                <w:sz w:val="13"/>
                <w:szCs w:val="13"/>
                <w:b w:val="1"/>
                <w:bCs w:val="1"/>
                <w:color w:val="auto"/>
              </w:rPr>
              <w:t>2024</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4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16,045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supplemental cash flow information related to leases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w w:val="96"/>
              </w:rPr>
              <w:t>Year Ended December 31,</w:t>
            </w:r>
          </w:p>
        </w:tc>
        <w:tc>
          <w:tcPr>
            <w:tcW w:w="1280" w:type="dxa"/>
            <w:vAlign w:val="bottom"/>
            <w:tcBorders>
              <w:bottom w:val="single" w:sz="8" w:color="auto"/>
            </w:tcBorders>
          </w:tcPr>
          <w:p>
            <w:pPr>
              <w:spacing w:after="0"/>
              <w:rPr>
                <w:sz w:val="15"/>
                <w:szCs w:val="15"/>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4"/>
              <w:spacing w:after="0"/>
              <w:rPr>
                <w:sz w:val="20"/>
                <w:szCs w:val="20"/>
                <w:color w:val="auto"/>
              </w:rPr>
            </w:pPr>
            <w:r>
              <w:rPr>
                <w:rFonts w:ascii="Arial" w:cs="Arial" w:eastAsia="Arial" w:hAnsi="Arial"/>
                <w:sz w:val="13"/>
                <w:szCs w:val="13"/>
                <w:b w:val="1"/>
                <w:bCs w:val="1"/>
                <w:color w:val="auto"/>
              </w:rPr>
              <w:t>2024</w:t>
            </w:r>
          </w:p>
        </w:tc>
      </w:tr>
      <w:tr>
        <w:trPr>
          <w:trHeight w:val="198"/>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used in operating leases</w:t>
            </w:r>
          </w:p>
        </w:tc>
        <w:tc>
          <w:tcPr>
            <w:tcW w:w="1540" w:type="dxa"/>
            <w:vAlign w:val="bottom"/>
            <w:gridSpan w:val="2"/>
            <w:shd w:val="clear" w:color="auto" w:fill="CCEEFF"/>
          </w:tcPr>
          <w:p>
            <w:pPr>
              <w:jc w:val="right"/>
              <w:ind w:right="1037"/>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16,928</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16,705</w:t>
            </w: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40" w:type="dxa"/>
            <w:vAlign w:val="bottom"/>
            <w:gridSpan w:val="2"/>
            <w:shd w:val="clear" w:color="auto" w:fill="CCEEFF"/>
          </w:tcPr>
          <w:p>
            <w:pPr>
              <w:jc w:val="right"/>
              <w:ind w:right="1037"/>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4,220</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9,530</w:t>
            </w:r>
          </w:p>
        </w:tc>
      </w:tr>
      <w:tr>
        <w:trPr>
          <w:trHeight w:val="632"/>
        </w:trPr>
        <w:tc>
          <w:tcPr>
            <w:tcW w:w="8300" w:type="dxa"/>
            <w:vAlign w:val="bottom"/>
            <w:gridSpan w:val="3"/>
          </w:tcPr>
          <w:p>
            <w:pPr>
              <w:ind w:left="500"/>
              <w:spacing w:after="0"/>
              <w:rPr>
                <w:sz w:val="20"/>
                <w:szCs w:val="20"/>
                <w:color w:val="auto"/>
              </w:rPr>
            </w:pPr>
            <w:r>
              <w:rPr>
                <w:rFonts w:ascii="Arial" w:cs="Arial" w:eastAsia="Arial" w:hAnsi="Arial"/>
                <w:sz w:val="16"/>
                <w:szCs w:val="16"/>
                <w:color w:val="auto"/>
              </w:rPr>
              <w:t>The following table presents supplemental balance sheet information related to leases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9"/>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280"/>
              <w:spacing w:after="0"/>
              <w:rPr>
                <w:sz w:val="20"/>
                <w:szCs w:val="20"/>
                <w:color w:val="auto"/>
              </w:rPr>
            </w:pPr>
            <w:r>
              <w:rPr>
                <w:rFonts w:ascii="Arial" w:cs="Arial" w:eastAsia="Arial" w:hAnsi="Arial"/>
                <w:sz w:val="13"/>
                <w:szCs w:val="13"/>
                <w:b w:val="1"/>
                <w:bCs w:val="1"/>
                <w:color w:val="auto"/>
              </w:rPr>
              <w:t>December 31,</w:t>
            </w:r>
          </w:p>
        </w:tc>
        <w:tc>
          <w:tcPr>
            <w:tcW w:w="1280" w:type="dxa"/>
            <w:vAlign w:val="bottom"/>
            <w:tcBorders>
              <w:bottom w:val="single" w:sz="8" w:color="auto"/>
            </w:tcBorders>
          </w:tcPr>
          <w:p>
            <w:pPr>
              <w:spacing w:after="0"/>
              <w:rPr>
                <w:sz w:val="24"/>
                <w:szCs w:val="24"/>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2024</w:t>
            </w:r>
          </w:p>
        </w:tc>
      </w:tr>
      <w:tr>
        <w:trPr>
          <w:trHeight w:val="198"/>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57,520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66,835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liabilities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15,248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15,285</w:t>
            </w:r>
          </w:p>
        </w:tc>
      </w:tr>
      <w:tr>
        <w:trPr>
          <w:trHeight w:val="215"/>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45,393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52,516</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60,641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67,801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other supplemental information related to leases:</w:t>
      </w:r>
    </w:p>
    <w:p>
      <w:pPr>
        <w:spacing w:after="0" w:line="163"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Borders>
              <w:bottom w:val="single" w:sz="8" w:color="CCEEFF"/>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2025</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6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3"/>
                <w:szCs w:val="13"/>
                <w:b w:val="1"/>
                <w:bCs w:val="1"/>
                <w:color w:val="auto"/>
              </w:rPr>
              <w:t>2024</w:t>
            </w:r>
          </w:p>
        </w:tc>
      </w:tr>
      <w:tr>
        <w:trPr>
          <w:trHeight w:val="198"/>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(in years)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15"/>
        </w:trPr>
        <w:tc>
          <w:tcPr>
            <w:tcW w:w="818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5"/>
        </w:trPr>
        <w:tc>
          <w:tcPr>
            <w:tcW w:w="818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lease certain facilities under long term operating leases. Collectively, we lease approximately 725 thousand square feet of office space in 49 locations in 37 countries. Certain of our lease agreements contain renewal options, early termination options and/or payment escalations based on fixed annual increases, local consumer price index changes or market rental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reviews. We recognize rent expense with fixed rate increases and/or fixed rent reductions on a straight line basis over the term of the lease.</w:t>
      </w:r>
    </w:p>
    <w:p>
      <w:pPr>
        <w:spacing w:after="0" w:line="113"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Our leases have remaining minimum terms that range between one and seven years. Some of our leases include options to extend for up to ten additional years; others include options to terminate the agreement within two months. Future minimum lease payments under non-cancellable operating leases as of December 31, 2025 are as follows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Operating Leases</w:t>
            </w:r>
          </w:p>
        </w:tc>
      </w:tr>
      <w:tr>
        <w:trPr>
          <w:trHeight w:val="214"/>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r>
      <w:tr>
        <w:trPr>
          <w:trHeight w:val="215"/>
        </w:trPr>
        <w:tc>
          <w:tcPr>
            <w:tcW w:w="9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217"/>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11,354</w:t>
            </w:r>
          </w:p>
        </w:tc>
      </w:tr>
      <w:tr>
        <w:trPr>
          <w:trHeight w:val="215"/>
        </w:trPr>
        <w:tc>
          <w:tcPr>
            <w:tcW w:w="9420" w:type="dxa"/>
            <w:vAlign w:val="bottom"/>
          </w:tcPr>
          <w:p>
            <w:pPr>
              <w:ind w:left="20"/>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11,557</w:t>
            </w:r>
          </w:p>
        </w:tc>
      </w:tr>
      <w:tr>
        <w:trPr>
          <w:trHeight w:val="217"/>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r>
      <w:tr>
        <w:trPr>
          <w:trHeight w:val="21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12,446</w:t>
            </w:r>
          </w:p>
        </w:tc>
      </w:tr>
      <w:tr>
        <w:trPr>
          <w:trHeight w:val="210"/>
        </w:trPr>
        <w:tc>
          <w:tcPr>
            <w:tcW w:w="9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72,138</w:t>
            </w:r>
          </w:p>
        </w:tc>
      </w:tr>
      <w:tr>
        <w:trPr>
          <w:trHeight w:val="21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Imputed Interest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(11,497)</w:t>
            </w:r>
          </w:p>
        </w:tc>
      </w:tr>
      <w:tr>
        <w:trPr>
          <w:trHeight w:val="235"/>
        </w:trPr>
        <w:tc>
          <w:tcPr>
            <w:tcW w:w="9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60,641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 and Stockholders’ Equity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9" w:lineRule="exact"/>
        <w:rPr>
          <w:sz w:val="20"/>
          <w:szCs w:val="20"/>
          <w:color w:val="auto"/>
        </w:rPr>
      </w:pPr>
    </w:p>
    <w:p>
      <w:pPr>
        <w:jc w:val="both"/>
        <w:ind w:right="20" w:firstLine="486"/>
        <w:spacing w:after="0" w:line="260" w:lineRule="auto"/>
        <w:rPr>
          <w:sz w:val="20"/>
          <w:szCs w:val="20"/>
          <w:color w:val="auto"/>
        </w:rPr>
      </w:pPr>
      <w:r>
        <w:rPr>
          <w:rFonts w:ascii="Arial" w:cs="Arial" w:eastAsia="Arial" w:hAnsi="Arial"/>
          <w:sz w:val="16"/>
          <w:szCs w:val="16"/>
          <w:color w:val="auto"/>
        </w:rPr>
        <w:t>On August 24, 2020, we completed an offering of 3,340,000 shares of our 6.50% Series A Mandatory Convertible Preferred Stock (the "Preferred Stock"), which generated net proceeds of approximately $323 million for use as general corporate purposes. During the year ended December 31, 2021, a certain holder elected to convert 50,000 shares of preferred stock to 595,240 shares of common stock, leaving 3,290,000 shares outstanding. On September 1, 2023, the mandatory conversion date, each outstanding share of Preferred Stock was automatically converted into shares of our common stock at a rate of 14.2857 of common stock per share of Preferred Stock. The number of shares issued at conversion was approximately 47 million shares.</w:t>
      </w:r>
    </w:p>
    <w:p>
      <w:pPr>
        <w:spacing w:after="0" w:line="6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Preferred Stock accumulated cumulative dividends at a rate per annum equal to 6.50% of the liquidation preference of $100 per share (equivalent to $6.50 annually per share) payable in cash or, subject to certain limitations, by delivery of shares of our common stock or any combination of cash and shares of our common stock, at our election; provided, however, that any undeclared and unpaid dividends would have continued to accumulate.</w:t>
      </w:r>
    </w:p>
    <w:p>
      <w:pPr>
        <w:spacing w:after="0" w:line="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accrued $14 million of preferred stock dividends in our consolidated results of operations for the year ended December 31, 2023. During the year ended December 31, 2023, we paid cash dividends on our preferred stock of $16 million.</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certain cash management measures we undertook as a result of the market conditions caused by COVID-19. During the years ended December 31, 2025, 2024 and 2023 we did not repurchase any shares pursuant to the Share Repurchase Program. As of December 31, 2025, the Share Repurchase Program remains suspended and approximately $287 million remains authorized for repurchases.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On April 17, 2020, we issued $345 million aggregate principal amount of 2025 Exchangeable Notes. </w:t>
      </w:r>
      <w:r>
        <w:rPr>
          <w:rFonts w:ascii="Arial" w:cs="Arial" w:eastAsia="Arial" w:hAnsi="Arial"/>
          <w:sz w:val="16"/>
          <w:szCs w:val="16"/>
          <w:color w:val="212529"/>
        </w:rPr>
        <w:t>On March 19, 2024, Sabre GLBL exchanged</w:t>
      </w:r>
      <w:r>
        <w:rPr>
          <w:rFonts w:ascii="Arial" w:cs="Arial" w:eastAsia="Arial" w:hAnsi="Arial"/>
          <w:sz w:val="16"/>
          <w:szCs w:val="16"/>
          <w:color w:val="auto"/>
        </w:rPr>
        <w:t xml:space="preserve"> </w:t>
      </w:r>
      <w:r>
        <w:rPr>
          <w:rFonts w:ascii="Arial" w:cs="Arial" w:eastAsia="Arial" w:hAnsi="Arial"/>
          <w:sz w:val="16"/>
          <w:szCs w:val="16"/>
          <w:color w:val="212529"/>
        </w:rPr>
        <w:t xml:space="preserve">$150 million aggregate principal amount of our then-outstanding 2025 Exchangeable Notes for $150 million aggregate principal amount of the 2026 Exchangeable Notes and approximately $30 million of cash. Under the terms of the Exchangeable Notes Indentures, the Exchangeable Notes are exchangeable into our common stock under specified circumstances, at our election. As of </w:t>
      </w:r>
      <w:r>
        <w:rPr>
          <w:rFonts w:ascii="Arial" w:cs="Arial" w:eastAsia="Arial" w:hAnsi="Arial"/>
          <w:sz w:val="16"/>
          <w:szCs w:val="16"/>
          <w:color w:val="000000"/>
        </w:rPr>
        <w:t>December 31, 2025, we had</w:t>
      </w:r>
      <w:r>
        <w:rPr>
          <w:rFonts w:ascii="Arial" w:cs="Arial" w:eastAsia="Arial" w:hAnsi="Arial"/>
          <w:sz w:val="16"/>
          <w:szCs w:val="16"/>
          <w:color w:val="212529"/>
        </w:rPr>
        <w:t xml:space="preserve"> $150 million </w:t>
      </w:r>
      <w:r>
        <w:rPr>
          <w:rFonts w:ascii="Arial" w:cs="Arial" w:eastAsia="Arial" w:hAnsi="Arial"/>
          <w:sz w:val="16"/>
          <w:szCs w:val="16"/>
          <w:color w:val="000000"/>
        </w:rPr>
        <w:t>aggregate principal</w:t>
      </w:r>
      <w:r>
        <w:rPr>
          <w:rFonts w:ascii="Arial" w:cs="Arial" w:eastAsia="Arial" w:hAnsi="Arial"/>
          <w:sz w:val="16"/>
          <w:szCs w:val="16"/>
          <w:color w:val="212529"/>
        </w:rPr>
        <w:t xml:space="preserve"> </w:t>
      </w:r>
      <w:r>
        <w:rPr>
          <w:rFonts w:ascii="Arial" w:cs="Arial" w:eastAsia="Arial" w:hAnsi="Arial"/>
          <w:sz w:val="16"/>
          <w:szCs w:val="16"/>
          <w:color w:val="000000"/>
        </w:rPr>
        <w:t xml:space="preserve">amount of 2026 Exchangeable Notes outstanding. </w:t>
      </w:r>
      <w:r>
        <w:rPr>
          <w:rFonts w:ascii="Arial" w:cs="Arial" w:eastAsia="Arial" w:hAnsi="Arial"/>
          <w:sz w:val="16"/>
          <w:szCs w:val="16"/>
          <w:color w:val="212529"/>
        </w:rPr>
        <w:t>The 2025 Exchangeable Notes matured on April 15, 2025, and were settled with cash</w:t>
      </w:r>
      <w:r>
        <w:rPr>
          <w:rFonts w:ascii="Arial" w:cs="Arial" w:eastAsia="Arial" w:hAnsi="Arial"/>
          <w:sz w:val="16"/>
          <w:szCs w:val="16"/>
          <w:color w:val="000000"/>
        </w:rPr>
        <w:t>. See Note 10. Debt for further details. Until the 2026 Exchangeable Notes mature, we expect to settle the principal amount of the outstanding 2026 Exchangeable Notes in shares of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Equity-Based Awards</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As of December 31, 2025, our outstanding equity-based compensation plans and agreements include the Sabre Corporation 2014 Omnibus Incentive Compensation Plan (the “2014 Omnibus Plan”), the Sabre Corporation 2016 Omnibus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0" w:name="page91"/>
    <w:bookmarkEnd w:id="90"/>
    <w:p>
      <w:pPr>
        <w:jc w:val="both"/>
        <w:spacing w:after="0" w:line="258" w:lineRule="auto"/>
        <w:rPr>
          <w:sz w:val="20"/>
          <w:szCs w:val="20"/>
          <w:color w:val="auto"/>
        </w:rPr>
      </w:pPr>
      <w:r>
        <w:rPr>
          <w:rFonts w:ascii="Arial" w:cs="Arial" w:eastAsia="Arial" w:hAnsi="Arial"/>
          <w:sz w:val="16"/>
          <w:szCs w:val="16"/>
          <w:color w:val="auto"/>
        </w:rPr>
        <w:t>Incentive Compensation Plan (the “2016 Omnibus Plan”), the Sabre Corporation 2019 Omnibus Incentive Compensation Plan (the "2019 Omnibus Plan"), the 2019 Director Equity Compensation Plan (the "2019 Director Plan"), the Sabre Corporation 2021 Omnibus Incentive Compensation Plan (the "2021 Omnibus Plan"), the 2022 Director Equity Compensation Plan (the "2022 Director Plan"), the Sabre Corporation 2023 Omnibus Incentive Compensation Plan (the "2023 Omnibus Plan"), the Sabre Corporation 2024 Omnibus Incentive Compensation Plan (the "2024 Omnibus Plan"), the 2024 Director Equity Compensation Plan (the "2024 Director Plan") and the Sabre Corporation 2025 Omnibus Incentive Compensation Plan (the "2025 Omnibus Plan"). Our 2025 Omnibus Plan serves as a successor to the 2024 Omnibus Plan, 2023 Omnibus Plan, the 2021 Omnibus Plan, the 2019 Omnibus Plan, the 2016 Omnibus Plan, and the 2014 Omnibus Plan, and provides for the issuance of stock options, restricted shares, restricted stock units (“RSUs”), performance-based RSU awards (“PSUs”), cash incentive compensation and other stock-based awards. Our 2024 Director Plan serves as a successor to the 2022 Director Plan and the 2019 Director Plan, and provides for the issuance of RSUs, Deferred Stock Units ("DSUs"), and stock options to non-employee Directors. Outstanding awards under all plans continue to be subject to the terms and conditions of their respective plan.</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initially reserved 20,000,000 shares of our common stock for issuance under our 2025 Omnibus Plan. We added 19,295,404 shares that were reserved but not issued under the 2014 Omnibus, 2016 Omnibus Plan, 2019 Omnibus Plan, 2021 Omnibus Plan, 2023 Omnibus Plan, and 2024 Omnibus Plan to the 2025 Omnibus Plan reserves, for a total of 39,295,404 authorized shares of common stock for issuance under the 2025 Omnibus Plan. Time-based options generally vest over a three-year period, vesting in equal annual installments, and are exercisable for up to 10 years. RSUs generally vest over a three year period, vesting in equal annual installments, and PSUs generally cliff vest at the end of three years. Vesting of PSUs is dependent upon the achievement of certain company-based performance measures. Stock-based compensation expense for all awards totaled $46 million, $49 million and $47 million for the years ended December 31, 2025, 2024 and 2023, respectively.</w:t>
      </w:r>
    </w:p>
    <w:p>
      <w:pPr>
        <w:spacing w:after="0" w:line="8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fair value of the stock options granted was estimated at the date of grant using the Black-Scholes option pricing model. For further details on these assumptions, see Note 1. Summary of Business and Significant Accounting Policies. No stock options were granted during the year ended December 31, 2025, 2024 and 2023.</w:t>
      </w:r>
    </w:p>
    <w:p>
      <w:pPr>
        <w:spacing w:after="0" w:line="77" w:lineRule="exact"/>
        <w:rPr>
          <w:sz w:val="20"/>
          <w:szCs w:val="20"/>
          <w:color w:val="auto"/>
        </w:rPr>
      </w:pPr>
    </w:p>
    <w:p>
      <w:pPr>
        <w:ind w:right="340" w:firstLine="486"/>
        <w:spacing w:after="0" w:line="286" w:lineRule="auto"/>
        <w:rPr>
          <w:sz w:val="20"/>
          <w:szCs w:val="20"/>
          <w:color w:val="auto"/>
        </w:rPr>
      </w:pPr>
      <w:r>
        <w:rPr>
          <w:rFonts w:ascii="Arial" w:cs="Arial" w:eastAsia="Arial" w:hAnsi="Arial"/>
          <w:sz w:val="16"/>
          <w:szCs w:val="16"/>
          <w:color w:val="auto"/>
        </w:rPr>
        <w:t>The following table summarizes the stock option award activities under our outstanding equity-based compensation plans and agreements for the year ended December 31, 2025: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Weighted-Average</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Exercise Price</w:t>
            </w:r>
          </w:p>
        </w:tc>
        <w:tc>
          <w:tcPr>
            <w:tcW w:w="100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4"/>
              </w:rPr>
              <w:t>Contractual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2" w:lineRule="exact"/>
              <w:rPr>
                <w:sz w:val="20"/>
                <w:szCs w:val="20"/>
                <w:color w:val="auto"/>
              </w:rPr>
            </w:pPr>
            <w:r>
              <w:rPr>
                <w:rFonts w:ascii="Arial" w:cs="Arial" w:eastAsia="Arial" w:hAnsi="Arial"/>
                <w:sz w:val="13"/>
                <w:szCs w:val="13"/>
                <w:b w:val="1"/>
                <w:bCs w:val="1"/>
                <w:color w:val="auto"/>
                <w:w w:val="96"/>
              </w:rPr>
              <w:t>Intrinsic Value</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Term (years)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8"/>
              <w:spacing w:after="0"/>
              <w:rPr>
                <w:sz w:val="20"/>
                <w:szCs w:val="20"/>
                <w:color w:val="auto"/>
              </w:rPr>
            </w:pPr>
            <w:r>
              <w:rPr>
                <w:rFonts w:ascii="Arial" w:cs="Arial" w:eastAsia="Arial" w:hAnsi="Arial"/>
                <w:sz w:val="13"/>
                <w:szCs w:val="13"/>
                <w:b w:val="1"/>
                <w:bCs w:val="1"/>
                <w:color w:val="auto"/>
                <w:w w:val="94"/>
              </w:rPr>
              <w:t xml:space="preserve">(in thousands) </w:t>
            </w:r>
            <w:r>
              <w:rPr>
                <w:rFonts w:ascii="Arial" w:cs="Arial" w:eastAsia="Arial" w:hAnsi="Arial"/>
                <w:sz w:val="16"/>
                <w:szCs w:val="16"/>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2024</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1,634,777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20" w:type="dxa"/>
            <w:vAlign w:val="bottom"/>
          </w:tcPr>
          <w:p>
            <w:pPr>
              <w:ind w:left="140"/>
              <w:spacing w:after="0"/>
              <w:rPr>
                <w:sz w:val="20"/>
                <w:szCs w:val="20"/>
                <w:color w:val="auto"/>
              </w:rPr>
            </w:pPr>
            <w:r>
              <w:rPr>
                <w:rFonts w:ascii="Arial" w:cs="Arial" w:eastAsia="Arial" w:hAnsi="Arial"/>
                <w:sz w:val="16"/>
                <w:szCs w:val="16"/>
                <w:color w:val="auto"/>
              </w:rPr>
              <w:t>Cancelled</w:t>
            </w:r>
          </w:p>
        </w:tc>
        <w:tc>
          <w:tcPr>
            <w:tcW w:w="1400" w:type="dxa"/>
            <w:vAlign w:val="bottom"/>
          </w:tcPr>
          <w:p>
            <w:pPr>
              <w:jc w:val="right"/>
              <w:spacing w:after="0"/>
              <w:rPr>
                <w:sz w:val="20"/>
                <w:szCs w:val="20"/>
                <w:color w:val="auto"/>
              </w:rPr>
            </w:pPr>
            <w:r>
              <w:rPr>
                <w:rFonts w:ascii="Arial" w:cs="Arial" w:eastAsia="Arial" w:hAnsi="Arial"/>
                <w:sz w:val="16"/>
                <w:szCs w:val="16"/>
                <w:color w:val="auto"/>
              </w:rPr>
              <w:t>(36,775)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(702,249)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6"/>
                <w:szCs w:val="16"/>
                <w:color w:val="auto"/>
              </w:rPr>
              <w:t>Outstanding at December 31, 2025</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895,753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at December 31, 2025</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895,753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1" w:lineRule="exact"/>
        <w:rPr>
          <w:sz w:val="20"/>
          <w:szCs w:val="20"/>
          <w:color w:val="auto"/>
        </w:rPr>
      </w:pPr>
    </w:p>
    <w:p>
      <w:pPr>
        <w:ind w:left="340" w:right="280" w:hanging="332"/>
        <w:spacing w:after="0" w:line="218" w:lineRule="auto"/>
        <w:tabs>
          <w:tab w:leader="none" w:pos="333" w:val="left"/>
        </w:tabs>
        <w:numPr>
          <w:ilvl w:val="0"/>
          <w:numId w:val="33"/>
        </w:numPr>
        <w:rPr>
          <w:rFonts w:ascii="Arial" w:cs="Arial" w:eastAsia="Arial" w:hAnsi="Arial"/>
          <w:sz w:val="21"/>
          <w:szCs w:val="21"/>
          <w:color w:val="auto"/>
          <w:vertAlign w:val="superscript"/>
        </w:rPr>
      </w:pPr>
      <w:r>
        <w:rPr>
          <w:rFonts w:ascii="Arial" w:cs="Arial" w:eastAsia="Arial" w:hAnsi="Arial"/>
          <w:sz w:val="14"/>
          <w:szCs w:val="14"/>
          <w:color w:val="auto"/>
        </w:rPr>
        <w:t>Aggregate intrinsic value is calculated as the difference between the exercise price of the underlying stock options awards and the closing price of our common stock of $1.36 and $3.65 on December 31, 2025 and 2024, respectively. If the aggregate intrinsic value is negative, it is assigned a nil value.</w:t>
      </w:r>
    </w:p>
    <w:p>
      <w:pPr>
        <w:spacing w:after="0" w:line="18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There were no options exercised during the years ended December 31, 2025, 2024, and 2023. As of December 31, 2025, there was no unrecognized compensation expense associated with stock options.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RSUs for the year ended December 31, 2025:</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2"/>
        </w:trPr>
        <w:tc>
          <w:tcPr>
            <w:tcW w:w="782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6"/>
              <w:spacing w:after="0" w:line="12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4"/>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2024</w:t>
            </w:r>
          </w:p>
        </w:tc>
        <w:tc>
          <w:tcPr>
            <w:tcW w:w="1540" w:type="dxa"/>
            <w:vAlign w:val="bottom"/>
            <w:tcBorders>
              <w:top w:val="single" w:sz="8" w:color="auto"/>
            </w:tcBorders>
            <w:shd w:val="clear" w:color="auto" w:fill="CCEEFF"/>
          </w:tcPr>
          <w:p>
            <w:pPr>
              <w:jc w:val="center"/>
              <w:ind w:left="482"/>
              <w:spacing w:after="0"/>
              <w:rPr>
                <w:sz w:val="20"/>
                <w:szCs w:val="20"/>
                <w:color w:val="auto"/>
              </w:rPr>
            </w:pPr>
            <w:r>
              <w:rPr>
                <w:rFonts w:ascii="Arial" w:cs="Arial" w:eastAsia="Arial" w:hAnsi="Arial"/>
                <w:sz w:val="16"/>
                <w:szCs w:val="16"/>
                <w:color w:val="auto"/>
              </w:rPr>
              <w:t>27,002,281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center"/>
              <w:ind w:left="482"/>
              <w:spacing w:after="0"/>
              <w:rPr>
                <w:sz w:val="20"/>
                <w:szCs w:val="20"/>
                <w:color w:val="auto"/>
              </w:rPr>
            </w:pPr>
            <w:r>
              <w:rPr>
                <w:rFonts w:ascii="Arial" w:cs="Arial" w:eastAsia="Arial" w:hAnsi="Arial"/>
                <w:sz w:val="16"/>
                <w:szCs w:val="16"/>
                <w:color w:val="auto"/>
              </w:rPr>
              <w:t>16,589,006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9"/>
              </w:rPr>
              <w:t>(11,369,033)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(5,401,756)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2025</w:t>
            </w:r>
          </w:p>
        </w:tc>
        <w:tc>
          <w:tcPr>
            <w:tcW w:w="1540" w:type="dxa"/>
            <w:vAlign w:val="bottom"/>
            <w:tcBorders>
              <w:bottom w:val="single" w:sz="8" w:color="auto"/>
            </w:tcBorders>
            <w:shd w:val="clear" w:color="auto" w:fill="CCEEFF"/>
          </w:tcPr>
          <w:p>
            <w:pPr>
              <w:jc w:val="center"/>
              <w:ind w:left="482"/>
              <w:spacing w:after="0"/>
              <w:rPr>
                <w:sz w:val="20"/>
                <w:szCs w:val="20"/>
                <w:color w:val="auto"/>
              </w:rPr>
            </w:pPr>
            <w:r>
              <w:rPr>
                <w:rFonts w:ascii="Arial" w:cs="Arial" w:eastAsia="Arial" w:hAnsi="Arial"/>
                <w:sz w:val="16"/>
                <w:szCs w:val="16"/>
                <w:color w:val="auto"/>
              </w:rPr>
              <w:t>26,820,498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total fair value of RSUs vested, as of their respective vesting dates, was $47 million, $48 million, and $51 million during the years ended December 31, 2025, 2024 and 2023, respectively. As of December 31, 2025, approximately $57 million in unrecognized compensation expense associated with RSUs will be recognized over a weighted average period of 1.8 years.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ind w:left="500"/>
        <w:spacing w:after="0"/>
        <w:rPr>
          <w:sz w:val="20"/>
          <w:szCs w:val="20"/>
          <w:color w:val="auto"/>
        </w:rPr>
      </w:pPr>
      <w:r>
        <w:rPr>
          <w:rFonts w:ascii="Arial" w:cs="Arial" w:eastAsia="Arial" w:hAnsi="Arial"/>
          <w:sz w:val="16"/>
          <w:szCs w:val="16"/>
          <w:color w:val="auto"/>
        </w:rPr>
        <w:t>The following table summarizes the activities for our PSUs for the year ended December 31, 2025:</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6"/>
        </w:trPr>
        <w:tc>
          <w:tcPr>
            <w:tcW w:w="782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6"/>
              <w:spacing w:after="0" w:line="126"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1"/>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2024</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9,198,596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5"/>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6,105,713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(2,474,441)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2025</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11,585,936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total fair value of PSUs vested, as of their respective vesting dates, was $10 million during the year ended December 31, 2025, $11 million during the year ended December 31, 2024, and $19 million during the year ended December 31, 2023. The recognition of compensation expense associated with PSUs is contingent upon the achievement of annual company-based performance measures and a total shareholder return modifier. During the years ended December 31, 2025, 2024 and 2023, we assessed the probability of achieving the performance measures associated with PSU awards each reporting period and, if there was an adjustment, we recorded the cumulative effect of the adjustment in that respective reporting period. As of December 31, 2025, unrecognized compensation expense associated with PSUs expected to vest totaled $7 million and $5 million for the annual measurement periods ending December 31, 2026 and 2027,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Earnings Per Share</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(255,490)</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(271,548)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(491,538)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income (loss) attributable to non-controlling interests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6"/>
                <w:szCs w:val="16"/>
                <w:color w:val="auto"/>
              </w:rPr>
              <w:t>Less: Preferred stock dividends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14,257</w:t>
            </w:r>
          </w:p>
        </w:tc>
        <w:tc>
          <w:tcPr>
            <w:tcW w:w="0" w:type="dxa"/>
            <w:vAlign w:val="bottom"/>
          </w:tcPr>
          <w:p>
            <w:pPr>
              <w:spacing w:after="0"/>
              <w:rPr>
                <w:sz w:val="1"/>
                <w:szCs w:val="1"/>
                <w:color w:val="auto"/>
              </w:rPr>
            </w:pPr>
          </w:p>
        </w:tc>
      </w:tr>
      <w:tr>
        <w:trPr>
          <w:trHeight w:val="235"/>
        </w:trPr>
        <w:tc>
          <w:tcPr>
            <w:tcW w:w="69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loss from continuing operations available to common stockholders, basic and diluted</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(254,835)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(505,463)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weighted-average common shares outstanding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346,567</w:t>
            </w: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383,733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346,567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from continuing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(0.65)</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Basic earnings per share is computed by dividing net loss from continuing operations available to common stockholders by the weighted-average number of common shares outstanding during each period. Diluted earnings per share is computed by dividing net loss from continuing operations available to common stockholders by the weighted-average number of common shares outstanding plus the effect of all dilutive common stock equivalents during each period. The diluted weighted-average common shares outstanding calculation excludes 2 million, 4 million and 3 million of dilutive stock options and restricted stock awards for the years ended December 31, 2025, 2024 and 2023, respectively, as their effect would be anti-dilutive given the net loss incurred in those periods. The calculation of diluted weighted-average shares excludes the impact of 2 million, 2 million, and 6 million for the years ended December 31, 2025, 2024 and 2023, respectively, of anti-dilutive common stock equivalents.</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We have used the if-converted method for calculating any potential dilutive effect of the Exchangeable Notes on our diluted net income per share. Under the if-converted method, the 2025 Exchangeable Notes are assumed to be converted at the beginning of each period and the 2026 Exchangeable Notes are assumed to be converted at the beginning of the 2025 period and at the issuance date of </w:t>
      </w:r>
      <w:r>
        <w:rPr>
          <w:rFonts w:ascii="Arial" w:cs="Arial" w:eastAsia="Arial" w:hAnsi="Arial"/>
          <w:sz w:val="16"/>
          <w:szCs w:val="16"/>
          <w:color w:val="212529"/>
        </w:rPr>
        <w:t>March 19, 2024</w:t>
      </w:r>
      <w:r>
        <w:rPr>
          <w:rFonts w:ascii="Arial" w:cs="Arial" w:eastAsia="Arial" w:hAnsi="Arial"/>
          <w:sz w:val="16"/>
          <w:szCs w:val="16"/>
          <w:color w:val="auto"/>
        </w:rPr>
        <w:t xml:space="preserve"> for the 2024 period. 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40 million resulting common shares related to the Exchangeable Notes for the year ended December 31, 2025, 57 million resulting common shares related to the Exchangeable Notes for the year ended December 31, 2024, and 42 million resulting common shares related to the 2025 Exchangeable Notes for the year ended December 31, 2023 are not included in the dilutive weighted-average common shares outstanding calculation as their effect would be anti-dilutive given the net loss incurred in those periods.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17. Pension and Other Postretirement Benefit Plans</w:t>
      </w:r>
    </w:p>
    <w:p>
      <w:pPr>
        <w:spacing w:after="0" w:line="113"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6"/>
          <w:szCs w:val="16"/>
          <w:color w:val="auto"/>
        </w:rPr>
        <w:t>We sponsor the Sabre GLBL Inc. 401(k) Savings Plan (“401(k) Plan”), which is a tax qualified defined contribution plan that allows tax-deferred savings by eligible employees to provide funds for their retirement. We make a matching contribution equal to 100% of each pre-tax dollar contributed by the participant on the first 6% of eligible compensation. We recognized expenses related to the 401(k) Plan of approximately $14 million, $14 million and $17 million for the years ended December 31, 2025, 2024 and 2023, respectively.</w:t>
      </w:r>
    </w:p>
    <w:p>
      <w:pPr>
        <w:spacing w:after="0" w:line="6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sponsor the Sabre GLBL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other jurisdictions.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the changes in the LPP’s benefit obligations and fair value of assets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 and the unfunded status as of December 31, 2025 and 2024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Year Ended 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2024</w:t>
            </w:r>
          </w:p>
        </w:tc>
      </w:tr>
      <w:tr>
        <w:trPr>
          <w:trHeight w:val="200"/>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00" w:type="dxa"/>
            <w:vAlign w:val="bottom"/>
          </w:tcPr>
          <w:p>
            <w:pPr>
              <w:ind w:left="160"/>
              <w:spacing w:after="0"/>
              <w:rPr>
                <w:sz w:val="20"/>
                <w:szCs w:val="20"/>
                <w:color w:val="auto"/>
              </w:rPr>
            </w:pPr>
            <w:r>
              <w:rPr>
                <w:rFonts w:ascii="Arial" w:cs="Arial" w:eastAsia="Arial" w:hAnsi="Arial"/>
                <w:sz w:val="16"/>
                <w:szCs w:val="16"/>
                <w:color w:val="auto"/>
              </w:rPr>
              <w:t>Benefit obligation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(275,336)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(292,212)</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(14,934)</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Actuarial (loss) gain,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6,046</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25,764</w:t>
            </w:r>
          </w:p>
        </w:tc>
      </w:tr>
      <w:tr>
        <w:trPr>
          <w:trHeight w:val="20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Benefit obligation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(275,336)</w:t>
            </w: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 in plan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00" w:type="dxa"/>
            <w:vAlign w:val="bottom"/>
          </w:tcPr>
          <w:p>
            <w:pPr>
              <w:ind w:left="160"/>
              <w:spacing w:after="0"/>
              <w:rPr>
                <w:sz w:val="20"/>
                <w:szCs w:val="20"/>
                <w:color w:val="auto"/>
              </w:rPr>
            </w:pPr>
            <w:r>
              <w:rPr>
                <w:rFonts w:ascii="Arial" w:cs="Arial" w:eastAsia="Arial" w:hAnsi="Arial"/>
                <w:sz w:val="16"/>
                <w:szCs w:val="16"/>
                <w:color w:val="auto"/>
              </w:rPr>
              <w:t>Fair value of assets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212,217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218,861</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Actual return on plan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6,550</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Employer contributions</w:t>
            </w:r>
          </w:p>
        </w:tc>
        <w:tc>
          <w:tcPr>
            <w:tcW w:w="3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16,430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12,570</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(25,764)</w:t>
            </w:r>
          </w:p>
        </w:tc>
      </w:tr>
      <w:tr>
        <w:trPr>
          <w:trHeight w:val="20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Fair value of assets at December 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228,515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212,217</w:t>
            </w:r>
          </w:p>
        </w:tc>
      </w:tr>
      <w:tr>
        <w:trPr>
          <w:trHeight w:val="235"/>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Unfunded status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(63,119)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actuarial loss of $4 million and gain of $6 million for the years ended December 31, 2025 and 2024, respectively, are attributable to decreases and increases, respectively, in the discount rate for each respective year. There were no settlement losses during the years ended December 31, 2025, 2024 and 2023.</w:t>
      </w:r>
    </w:p>
    <w:p>
      <w:pPr>
        <w:spacing w:after="0" w:line="5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net benefit obligation of $38 million and $63 million as of December 31, 2025 and 2024, respectively, is included in other noncurrent liabilities in our consolidated balance sheets.</w:t>
      </w:r>
    </w:p>
    <w:p>
      <w:pPr>
        <w:spacing w:after="0" w:line="6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amounts recognized in accumulated other comprehensive loss associated with the LPP, net of deferred taxes of $38 million as of December 31, 2025 and 2024, are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7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3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(73,671)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Prior service credit</w:t>
            </w:r>
          </w:p>
        </w:tc>
        <w:tc>
          <w:tcPr>
            <w:tcW w:w="38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3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(71,733)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248"/>
              <w:spacing w:after="0"/>
              <w:rPr>
                <w:sz w:val="20"/>
                <w:szCs w:val="20"/>
                <w:color w:val="auto"/>
              </w:rPr>
            </w:pPr>
            <w:r>
              <w:rPr>
                <w:rFonts w:ascii="Arial" w:cs="Arial" w:eastAsia="Arial" w:hAnsi="Arial"/>
                <w:sz w:val="16"/>
                <w:szCs w:val="16"/>
                <w:color w:val="auto"/>
              </w:rPr>
              <w:t>91</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3" w:name="page94"/>
    <w:bookmarkEnd w:id="93"/>
    <w:p>
      <w:pPr>
        <w:ind w:firstLine="486"/>
        <w:spacing w:after="0" w:line="286" w:lineRule="auto"/>
        <w:rPr>
          <w:sz w:val="20"/>
          <w:szCs w:val="20"/>
          <w:color w:val="auto"/>
        </w:rPr>
      </w:pPr>
      <w:r>
        <w:rPr>
          <w:rFonts w:ascii="Arial" w:cs="Arial" w:eastAsia="Arial" w:hAnsi="Arial"/>
          <w:sz w:val="16"/>
          <w:szCs w:val="16"/>
          <w:color w:val="auto"/>
        </w:rPr>
        <w:t>The following table provides the components of net periodic benefit costs associated with the LPP and the principal assumptions used in the measurement of the LPP benefit obligations and net benefit costs for the three years ended December 31, 2025, 2024 and 2023 (in thousands):</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r>
      <w:tr>
        <w:trPr>
          <w:trHeight w:val="214"/>
        </w:trPr>
        <w:tc>
          <w:tcPr>
            <w:tcW w:w="67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Interest cost</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14,708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14,934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16,151</w:t>
            </w:r>
          </w:p>
        </w:tc>
      </w:tr>
      <w:tr>
        <w:trPr>
          <w:trHeight w:val="216"/>
        </w:trPr>
        <w:tc>
          <w:tcPr>
            <w:tcW w:w="6740" w:type="dxa"/>
            <w:vAlign w:val="bottom"/>
          </w:tcPr>
          <w:p>
            <w:pPr>
              <w:ind w:left="20"/>
              <w:spacing w:after="0" w:line="216" w:lineRule="exact"/>
              <w:rPr>
                <w:sz w:val="20"/>
                <w:szCs w:val="20"/>
                <w:color w:val="auto"/>
              </w:rPr>
            </w:pPr>
            <w:r>
              <w:rPr>
                <w:rFonts w:ascii="Arial" w:cs="Arial" w:eastAsia="Arial" w:hAnsi="Arial"/>
                <w:sz w:val="16"/>
                <w:szCs w:val="16"/>
                <w:color w:val="auto"/>
              </w:rPr>
              <w:t>Expected return on plan assets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(15,103)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(16,098)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(17,429)</w:t>
            </w: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prior service credit</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(1,432)</w:t>
            </w:r>
          </w:p>
        </w:tc>
      </w:tr>
      <w:tr>
        <w:trPr>
          <w:trHeight w:val="216"/>
        </w:trPr>
        <w:tc>
          <w:tcPr>
            <w:tcW w:w="6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Amortization of actuarial loss</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2,921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2,812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2,302</w:t>
            </w:r>
          </w:p>
        </w:tc>
      </w:tr>
      <w:tr>
        <w:trPr>
          <w:trHeight w:val="20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cost (benefit)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(408)</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Weighted-average discount rate used to measure benefit obligations</w:t>
            </w:r>
          </w:p>
        </w:tc>
        <w:tc>
          <w:tcPr>
            <w:tcW w:w="2380" w:type="dxa"/>
            <w:vAlign w:val="bottom"/>
          </w:tcPr>
          <w:p>
            <w:pPr>
              <w:jc w:val="right"/>
              <w:ind w:right="379"/>
              <w:spacing w:after="0"/>
              <w:rPr>
                <w:sz w:val="20"/>
                <w:szCs w:val="20"/>
                <w:color w:val="auto"/>
              </w:rPr>
            </w:pPr>
            <w:r>
              <w:rPr>
                <w:rFonts w:ascii="Arial" w:cs="Arial" w:eastAsia="Arial" w:hAnsi="Arial"/>
                <w:sz w:val="16"/>
                <w:szCs w:val="16"/>
                <w:color w:val="auto"/>
              </w:rPr>
              <w:t>5.46%</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5.72%</w:t>
            </w:r>
          </w:p>
        </w:tc>
        <w:tc>
          <w:tcPr>
            <w:tcW w:w="96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assumptions used to determine net benefit cost:</w:t>
            </w:r>
          </w:p>
        </w:tc>
        <w:tc>
          <w:tcPr>
            <w:tcW w:w="2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line="216" w:lineRule="exact"/>
              <w:rPr>
                <w:sz w:val="20"/>
                <w:szCs w:val="20"/>
                <w:color w:val="auto"/>
              </w:rPr>
            </w:pPr>
            <w:r>
              <w:rPr>
                <w:rFonts w:ascii="Arial" w:cs="Arial" w:eastAsia="Arial" w:hAnsi="Arial"/>
                <w:sz w:val="16"/>
                <w:szCs w:val="16"/>
                <w:color w:val="auto"/>
              </w:rPr>
              <w:t>Discount rate</w:t>
            </w:r>
            <w:r>
              <w:rPr>
                <w:rFonts w:ascii="Arial" w:cs="Arial" w:eastAsia="Arial" w:hAnsi="Arial"/>
                <w:sz w:val="21"/>
                <w:szCs w:val="21"/>
                <w:color w:val="auto"/>
                <w:vertAlign w:val="superscript"/>
              </w:rPr>
              <w:t>(2)</w:t>
            </w:r>
          </w:p>
        </w:tc>
        <w:tc>
          <w:tcPr>
            <w:tcW w:w="2380" w:type="dxa"/>
            <w:vAlign w:val="bottom"/>
          </w:tcPr>
          <w:p>
            <w:pPr>
              <w:jc w:val="right"/>
              <w:ind w:right="379"/>
              <w:spacing w:after="0"/>
              <w:rPr>
                <w:sz w:val="20"/>
                <w:szCs w:val="20"/>
                <w:color w:val="auto"/>
              </w:rPr>
            </w:pPr>
            <w:r>
              <w:rPr>
                <w:rFonts w:ascii="Arial" w:cs="Arial" w:eastAsia="Arial" w:hAnsi="Arial"/>
                <w:sz w:val="16"/>
                <w:szCs w:val="16"/>
                <w:color w:val="auto"/>
              </w:rPr>
              <w:t>5.72%</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5.38%</w:t>
            </w:r>
          </w:p>
        </w:tc>
        <w:tc>
          <w:tcPr>
            <w:tcW w:w="96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3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6.10%</w:t>
            </w:r>
          </w:p>
        </w:tc>
        <w:tc>
          <w:tcPr>
            <w:tcW w:w="13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6.40%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50"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net on our consolidated statement of operations.</w:t>
      </w:r>
    </w:p>
    <w:p>
      <w:pPr>
        <w:spacing w:after="0" w:line="5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Discount rates are as of January 1 of the respective years.</w:t>
      </w:r>
    </w:p>
    <w:p>
      <w:pPr>
        <w:spacing w:after="0" w:line="19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 provides the pre-tax amounts recognized in other comprehensive income (loss), including the amortization of the actuarial loss and prior service credit, associated with the LPP for the years ended December 31, 2025, 2024 and 2023 (in thousands):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40" w:type="dxa"/>
            <w:vAlign w:val="bottom"/>
          </w:tcPr>
          <w:p>
            <w:pPr>
              <w:ind w:left="20"/>
              <w:spacing w:after="0"/>
              <w:rPr>
                <w:sz w:val="20"/>
                <w:szCs w:val="20"/>
                <w:color w:val="auto"/>
              </w:rPr>
            </w:pPr>
            <w:r>
              <w:rPr>
                <w:rFonts w:ascii="Arial" w:cs="Arial" w:eastAsia="Arial" w:hAnsi="Arial"/>
                <w:sz w:val="13"/>
                <w:szCs w:val="13"/>
                <w:b w:val="1"/>
                <w:bCs w:val="1"/>
                <w:color w:val="auto"/>
              </w:rPr>
              <w:t>Obligations Recognized in</w:t>
            </w: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3"/>
                <w:szCs w:val="13"/>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74"/>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2023</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(gain)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224"/>
              <w:spacing w:after="0"/>
              <w:rPr>
                <w:sz w:val="20"/>
                <w:szCs w:val="20"/>
                <w:color w:val="auto"/>
              </w:rPr>
            </w:pPr>
            <w:r>
              <w:rPr>
                <w:rFonts w:ascii="Arial" w:cs="Arial" w:eastAsia="Arial" w:hAnsi="Arial"/>
                <w:sz w:val="16"/>
                <w:szCs w:val="16"/>
                <w:color w:val="auto"/>
              </w:rPr>
              <w:t>(4,635)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9"/>
              </w:rPr>
              <w:t>5,187</w:t>
            </w:r>
          </w:p>
        </w:tc>
      </w:tr>
      <w:tr>
        <w:trPr>
          <w:trHeight w:val="215"/>
        </w:trPr>
        <w:tc>
          <w:tcPr>
            <w:tcW w:w="7340" w:type="dxa"/>
            <w:vAlign w:val="bottom"/>
          </w:tcPr>
          <w:p>
            <w:pPr>
              <w:ind w:left="20"/>
              <w:spacing w:after="0"/>
              <w:rPr>
                <w:sz w:val="20"/>
                <w:szCs w:val="20"/>
                <w:color w:val="auto"/>
              </w:rPr>
            </w:pPr>
            <w:r>
              <w:rPr>
                <w:rFonts w:ascii="Arial" w:cs="Arial" w:eastAsia="Arial" w:hAnsi="Arial"/>
                <w:sz w:val="16"/>
                <w:szCs w:val="16"/>
                <w:color w:val="auto"/>
              </w:rPr>
              <w:t>Amortization of actuarial loss</w:t>
            </w:r>
          </w:p>
        </w:tc>
        <w:tc>
          <w:tcPr>
            <w:tcW w:w="280" w:type="dxa"/>
            <w:vAlign w:val="bottom"/>
          </w:tcPr>
          <w:p>
            <w:pPr>
              <w:spacing w:after="0"/>
              <w:rPr>
                <w:sz w:val="18"/>
                <w:szCs w:val="18"/>
                <w:color w:val="auto"/>
              </w:rPr>
            </w:pPr>
          </w:p>
        </w:tc>
        <w:tc>
          <w:tcPr>
            <w:tcW w:w="860" w:type="dxa"/>
            <w:vAlign w:val="bottom"/>
          </w:tcPr>
          <w:p>
            <w:pPr>
              <w:jc w:val="center"/>
              <w:ind w:left="224"/>
              <w:spacing w:after="0"/>
              <w:rPr>
                <w:sz w:val="20"/>
                <w:szCs w:val="20"/>
                <w:color w:val="auto"/>
              </w:rPr>
            </w:pPr>
            <w:r>
              <w:rPr>
                <w:rFonts w:ascii="Arial" w:cs="Arial" w:eastAsia="Arial" w:hAnsi="Arial"/>
                <w:sz w:val="16"/>
                <w:szCs w:val="16"/>
                <w:color w:val="auto"/>
              </w:rPr>
              <w:t>(2,921)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242"/>
              <w:spacing w:after="0"/>
              <w:rPr>
                <w:sz w:val="20"/>
                <w:szCs w:val="20"/>
                <w:color w:val="auto"/>
              </w:rPr>
            </w:pPr>
            <w:r>
              <w:rPr>
                <w:rFonts w:ascii="Arial" w:cs="Arial" w:eastAsia="Arial" w:hAnsi="Arial"/>
                <w:sz w:val="16"/>
                <w:szCs w:val="16"/>
                <w:color w:val="auto"/>
              </w:rPr>
              <w:t>(2,302)</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264"/>
              <w:spacing w:after="0"/>
              <w:rPr>
                <w:sz w:val="20"/>
                <w:szCs w:val="20"/>
                <w:color w:val="auto"/>
              </w:rPr>
            </w:pPr>
            <w:r>
              <w:rPr>
                <w:rFonts w:ascii="Arial" w:cs="Arial" w:eastAsia="Arial" w:hAnsi="Arial"/>
                <w:sz w:val="16"/>
                <w:szCs w:val="16"/>
                <w:color w:val="auto"/>
                <w:w w:val="99"/>
              </w:rPr>
              <w:t>1,432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6"/>
                <w:szCs w:val="16"/>
                <w:color w:val="auto"/>
                <w:w w:val="99"/>
              </w:rPr>
              <w:t>1,432</w:t>
            </w: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Total (income) loss recognized in other comprehensive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224"/>
              <w:spacing w:after="0"/>
              <w:rPr>
                <w:sz w:val="20"/>
                <w:szCs w:val="20"/>
                <w:color w:val="auto"/>
              </w:rPr>
            </w:pPr>
            <w:r>
              <w:rPr>
                <w:rFonts w:ascii="Arial" w:cs="Arial" w:eastAsia="Arial" w:hAnsi="Arial"/>
                <w:sz w:val="16"/>
                <w:szCs w:val="16"/>
                <w:color w:val="auto"/>
              </w:rPr>
              <w:t>(6,124)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color w:val="auto"/>
                <w:w w:val="99"/>
              </w:rPr>
              <w:t>4,317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recognized in net periodic benefit cost and other comprehensive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224"/>
              <w:spacing w:after="0"/>
              <w:rPr>
                <w:sz w:val="20"/>
                <w:szCs w:val="20"/>
                <w:color w:val="auto"/>
              </w:rPr>
            </w:pPr>
            <w:r>
              <w:rPr>
                <w:rFonts w:ascii="Arial" w:cs="Arial" w:eastAsia="Arial" w:hAnsi="Arial"/>
                <w:sz w:val="16"/>
                <w:szCs w:val="16"/>
                <w:color w:val="auto"/>
              </w:rPr>
              <w:t>(5,030)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9"/>
              </w:rPr>
              <w:t>3,909</w:t>
            </w: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and real assets, in proportions expected to provide opportunities for reasonable long term returns with acceptable levels of investment risk. Fair values of the applicable assets are determined as follows: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Mutual Fund</w:t>
      </w:r>
      <w:r>
        <w:rPr>
          <w:rFonts w:ascii="Arial" w:cs="Arial" w:eastAsia="Arial" w:hAnsi="Arial"/>
          <w:sz w:val="16"/>
          <w:szCs w:val="16"/>
          <w:color w:val="auto"/>
        </w:rPr>
        <w:t>—The fair value of our mutual funds are estimated by using market quotes as of the last day of the period.</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i w:val="1"/>
          <w:iCs w:val="1"/>
          <w:color w:val="auto"/>
        </w:rPr>
        <w:t>Common Collective Trusts</w:t>
      </w:r>
      <w:r>
        <w:rPr>
          <w:rFonts w:ascii="Arial" w:cs="Arial" w:eastAsia="Arial" w:hAnsi="Arial"/>
          <w:sz w:val="16"/>
          <w:szCs w:val="16"/>
          <w:color w:val="auto"/>
        </w:rPr>
        <w:t>—The fair value of our common collective trusts are estimated by using market quotes as of the last day of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for similar securities and quoted prices in non-active markets.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—For 2024, the fair value of our real estate funds are derived from the fair value of the underlying real estate assets held by the funds.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These assets are initially valued at cost and are reviewed periodically utilizing available market data to determine if the assets held should be adjusted.</w:t>
      </w:r>
    </w:p>
    <w:p>
      <w:pPr>
        <w:spacing w:after="0" w:line="101"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40% global equities, 15% real estate assets, 15% diversified credit, 28% liability hedging assets, and 2% cash. 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t>is recognized that the investment management of the LPP assets has a direct effect on the achievement of its goal. As defined in Note 12. Fair Value Measurements, the following tables present the value of the LPP assets as of December 31, 2025 and 2024:</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3"/>
                <w:szCs w:val="13"/>
                <w:b w:val="1"/>
                <w:bCs w:val="1"/>
                <w:color w:val="auto"/>
                <w:w w:val="97"/>
              </w:rPr>
              <w:t>Assets at Fair Value as of December 31, 2025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260" w:type="dxa"/>
            <w:vAlign w:val="bottom"/>
          </w:tcPr>
          <w:p>
            <w:pPr>
              <w:spacing w:after="0"/>
              <w:rPr>
                <w:sz w:val="10"/>
                <w:szCs w:val="10"/>
                <w:color w:val="auto"/>
              </w:rPr>
            </w:pPr>
          </w:p>
        </w:tc>
        <w:tc>
          <w:tcPr>
            <w:tcW w:w="13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2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5"/>
              </w:rPr>
              <w:t>Active Markets for</w:t>
            </w:r>
          </w:p>
        </w:tc>
        <w:tc>
          <w:tcPr>
            <w:tcW w:w="260" w:type="dxa"/>
            <w:vAlign w:val="bottom"/>
          </w:tcPr>
          <w:p>
            <w:pPr>
              <w:spacing w:after="0"/>
              <w:rPr>
                <w:sz w:val="10"/>
                <w:szCs w:val="10"/>
                <w:color w:val="auto"/>
              </w:rPr>
            </w:pPr>
          </w:p>
        </w:tc>
        <w:tc>
          <w:tcPr>
            <w:tcW w:w="1360" w:type="dxa"/>
            <w:vAlign w:val="bottom"/>
            <w:gridSpan w:val="2"/>
          </w:tcPr>
          <w:p>
            <w:pPr>
              <w:jc w:val="center"/>
              <w:ind w:right="400"/>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2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6"/>
              </w:rPr>
              <w:t>Identical Assets</w:t>
            </w: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1"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2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(Level 1)</w:t>
            </w: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collective trust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54,562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Money market mutual fund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9"/>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 at fair value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2,127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54,562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Assets held at net asset value practical expedient: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Commingled funds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Real estate</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held at net asset value practical expedient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6"/>
            <w:vMerge w:val="restart"/>
          </w:tcPr>
          <w:p>
            <w:pPr>
              <w:jc w:val="right"/>
              <w:ind w:right="320"/>
              <w:spacing w:after="0"/>
              <w:rPr>
                <w:sz w:val="20"/>
                <w:szCs w:val="20"/>
                <w:color w:val="auto"/>
              </w:rPr>
            </w:pPr>
            <w:r>
              <w:rPr>
                <w:rFonts w:ascii="Arial" w:cs="Arial" w:eastAsia="Arial" w:hAnsi="Arial"/>
                <w:sz w:val="13"/>
                <w:szCs w:val="13"/>
                <w:b w:val="1"/>
                <w:bCs w:val="1"/>
                <w:color w:val="auto"/>
                <w:w w:val="97"/>
              </w:rPr>
              <w:t>Assets at Fair Value as of December 31, 2024</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96"/>
              </w:rPr>
              <w:t>Quoted Prices in</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1"/>
                <w:szCs w:val="11"/>
                <w:color w:val="auto"/>
              </w:rPr>
            </w:pPr>
          </w:p>
        </w:tc>
        <w:tc>
          <w:tcPr>
            <w:tcW w:w="122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w w:val="97"/>
              </w:rPr>
              <w:t>Active Markets for</w:t>
            </w:r>
          </w:p>
        </w:tc>
        <w:tc>
          <w:tcPr>
            <w:tcW w:w="260" w:type="dxa"/>
            <w:vAlign w:val="bottom"/>
          </w:tcPr>
          <w:p>
            <w:pPr>
              <w:spacing w:after="0"/>
              <w:rPr>
                <w:sz w:val="10"/>
                <w:szCs w:val="10"/>
                <w:color w:val="auto"/>
              </w:rPr>
            </w:pPr>
          </w:p>
        </w:tc>
        <w:tc>
          <w:tcPr>
            <w:tcW w:w="1360" w:type="dxa"/>
            <w:vAlign w:val="bottom"/>
            <w:gridSpan w:val="2"/>
          </w:tcPr>
          <w:p>
            <w:pPr>
              <w:jc w:val="center"/>
              <w:ind w:right="380"/>
              <w:spacing w:after="0" w:line="126"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0"/>
                <w:szCs w:val="10"/>
                <w:color w:val="auto"/>
              </w:rPr>
            </w:pP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5"/>
              </w:rPr>
              <w:t>Unobservable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260" w:type="dxa"/>
            <w:vAlign w:val="bottom"/>
          </w:tcPr>
          <w:p>
            <w:pPr>
              <w:spacing w:after="0"/>
              <w:rPr>
                <w:sz w:val="10"/>
                <w:szCs w:val="10"/>
                <w:color w:val="auto"/>
              </w:rPr>
            </w:pPr>
          </w:p>
        </w:tc>
        <w:tc>
          <w:tcPr>
            <w:tcW w:w="136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2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42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w:t>
            </w:r>
          </w:p>
        </w:tc>
        <w:tc>
          <w:tcPr>
            <w:tcW w:w="2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172,546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172,546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Real estate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32,142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market mutual fund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172,546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32,142</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212,217</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9640" w:type="dxa"/>
            <w:vAlign w:val="bottom"/>
            <w:gridSpan w:val="11"/>
          </w:tcPr>
          <w:p>
            <w:pPr>
              <w:jc w:val="center"/>
              <w:ind w:left="39"/>
              <w:spacing w:after="0"/>
              <w:rPr>
                <w:sz w:val="20"/>
                <w:szCs w:val="20"/>
                <w:color w:val="auto"/>
              </w:rPr>
            </w:pPr>
            <w:r>
              <w:rPr>
                <w:rFonts w:ascii="Arial" w:cs="Arial" w:eastAsia="Arial" w:hAnsi="Arial"/>
                <w:sz w:val="16"/>
                <w:szCs w:val="16"/>
                <w:color w:val="auto"/>
              </w:rPr>
              <w:t>The following table provides a rollforward of plan assets valued using significant unobservable inputs (level 3),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Real Estate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 at December 31, 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Net distributions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Advisory fee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investment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Unrealized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realized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6"/>
                <w:szCs w:val="16"/>
                <w:color w:val="auto"/>
              </w:rPr>
              <w:t>Ending balance at December 31,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distributions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Redemptions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Advisory fee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Net investment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Net realized gain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Sale of assets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6"/>
                <w:szCs w:val="16"/>
                <w:color w:val="auto"/>
              </w:rPr>
              <w:t>Ending balance at December 31, 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62" w:lineRule="exact"/>
        <w:rPr>
          <w:sz w:val="20"/>
          <w:szCs w:val="20"/>
          <w:color w:val="auto"/>
        </w:rPr>
      </w:pPr>
    </w:p>
    <w:p>
      <w:pPr>
        <w:ind w:left="180" w:hanging="10"/>
        <w:spacing w:after="0" w:line="246" w:lineRule="auto"/>
        <w:tabs>
          <w:tab w:leader="none" w:pos="334"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 xml:space="preserve">In 2025, we repurchased the assets in a limited partnership structure. Accordingly, at </w:t>
      </w:r>
      <w:r>
        <w:rPr>
          <w:rFonts w:ascii="Arial" w:cs="Arial" w:eastAsia="Arial" w:hAnsi="Arial"/>
          <w:sz w:val="16"/>
          <w:szCs w:val="16"/>
          <w:color w:val="auto"/>
        </w:rPr>
        <w:t>December 31, 2025</w:t>
      </w:r>
      <w:r>
        <w:rPr>
          <w:rFonts w:ascii="Arial" w:cs="Arial" w:eastAsia="Arial" w:hAnsi="Arial"/>
          <w:sz w:val="14"/>
          <w:szCs w:val="14"/>
          <w:color w:val="auto"/>
        </w:rPr>
        <w:t>, the assets are no longer in Level 3 and are being reported at the net asset value practical expedient in the Real Estate Funds category.</w:t>
      </w:r>
    </w:p>
    <w:p>
      <w:pPr>
        <w:spacing w:after="0" w:line="200" w:lineRule="exact"/>
        <w:rPr>
          <w:sz w:val="20"/>
          <w:szCs w:val="20"/>
          <w:color w:val="auto"/>
        </w:rPr>
      </w:pPr>
    </w:p>
    <w:p>
      <w:pPr>
        <w:spacing w:after="0" w:line="23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contributed $16 million and $13 million to fund our defined benefit pension plans during each of the years ended December 31, 2025 and 2024, respectively. Annual contributions to our defined benefit pension plans in the United States, Canada, and other jurisdictions are based on several factors that may vary from year to year. Our funding practice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a contribution of up to $11 million to our defined benefit pension plans in 2026.</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95" w:name="page96"/>
    <w:bookmarkEnd w:id="95"/>
    <w:p>
      <w:pPr>
        <w:jc w:val="both"/>
        <w:ind w:firstLine="486"/>
        <w:spacing w:after="0" w:line="275" w:lineRule="auto"/>
        <w:rPr>
          <w:sz w:val="20"/>
          <w:szCs w:val="20"/>
          <w:color w:val="auto"/>
        </w:rPr>
      </w:pPr>
      <w:r>
        <w:rPr>
          <w:rFonts w:ascii="Arial" w:cs="Arial" w:eastAsia="Arial" w:hAnsi="Arial"/>
          <w:sz w:val="16"/>
          <w:szCs w:val="16"/>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2026.</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expect the LPP to make the following estimated future benefit payments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Amount</w:t>
            </w:r>
          </w:p>
        </w:tc>
      </w:tr>
      <w:tr>
        <w:trPr>
          <w:trHeight w:val="21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27,562</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28,652</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30,378</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2029</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27,629</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25,087</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2031-2035</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105,003</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380"/>
        <w:spacing w:after="0"/>
        <w:rPr>
          <w:sz w:val="20"/>
          <w:szCs w:val="20"/>
          <w:color w:val="auto"/>
        </w:rPr>
      </w:pPr>
      <w:r>
        <w:rPr>
          <w:rFonts w:ascii="Arial" w:cs="Arial" w:eastAsia="Arial" w:hAnsi="Arial"/>
          <w:sz w:val="16"/>
          <w:szCs w:val="16"/>
          <w:b w:val="1"/>
          <w:bCs w:val="1"/>
          <w:color w:val="auto"/>
        </w:rPr>
        <w:t>18. Commitments and Contingencies</w:t>
      </w:r>
    </w:p>
    <w:p>
      <w:pPr>
        <w:spacing w:after="0" w:line="127"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Purchase Commitments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the ordinary course of business, we make various commitments in connection with the purchase of goods and services from specific suppliers. We have outstanding commitments of approximately $2.3 billion. These purchase commitments extend through 2038.</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Sabre Asia Pacific Pte Ltd (“SAPPL”) is currently a defendant in income tax litigation brought by the Indian Director of Income Tax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Income Tax Appellate Tribunal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2006 through March 2016 and March 2018 through March 2021 and appeals for assessment years ending March 2006 through March 2016 and March 2018 through March 2021 are pending before the ITAT or the High Court depending on the year.</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If the DIT were to fully prevail on outstanding claims against us, that have not been dismissed, including SAPPL, and other group companies, we could be subject to taxes, interest and penalties of approximately $21 million as of December 31, 2025.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6" w:name="page97"/>
    <w:bookmarkEnd w:id="96"/>
    <w:p>
      <w:pPr>
        <w:jc w:val="both"/>
        <w:spacing w:after="0" w:line="269" w:lineRule="auto"/>
        <w:rPr>
          <w:sz w:val="20"/>
          <w:szCs w:val="20"/>
          <w:color w:val="auto"/>
        </w:rPr>
      </w:pPr>
      <w:r>
        <w:rPr>
          <w:rFonts w:ascii="Arial" w:cs="Arial" w:eastAsia="Arial" w:hAnsi="Arial"/>
          <w:sz w:val="16"/>
          <w:szCs w:val="16"/>
          <w:color w:val="auto"/>
        </w:rPr>
        <w:t>VAT receivables are established in jurisdictions where VAT paid exceeds VAT collected and are recoverable through the filing of refund claims. We intend to vigorously defend our positions against any claims that are not insignificant, including through litigation when necessary. As of December 31, 2025, we do not believe that an adverse outcome is probable and therefore have not made any provisions or recorded any liability for the potential resolution of any of these claims. We may incur expenses in future periods related to such matters, including litigation costs and possible pre-payment of a portion of any assessed tax amount to defend our position, and if our positions are ultimately rejected, it could have a material impact to our results from continuing operations.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 Information</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As a result of the Hospitality Solutions Sale, we now manage and report our business in one reportable segment. Operating segments are defined as components of an enterprise for which separate financial information is evaluated regularly by the chief operating decision maker (“CODM”), who is our Chief Executive Officer and President, in deciding how to allocate resources and assess performance. Our CODM reviews financial information presented on a consolidated basis to monitor budget versus actual results for purposes of allocating resources and evaluating financial performance. Our measure of segment profit and loss is net income (loss), as reported on our consolidated statements of operations. Our significant segment expenses, which are the expenses included in operating income, and other segment items, which includes other income (expense) and benefit from (provision for) income taxes, are included in our consolidated statements of operations. Total assets as presented on our consolidated balance sheets represent total assets considered by our CODM for any relevant operating evaluations.</w:t>
      </w:r>
    </w:p>
    <w:p>
      <w:pPr>
        <w:spacing w:after="0" w:line="12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We generate revenue from our distribution activities through transaction fees for bookings on our GDS, and from our IT solutions through recurring usage-based fees for the use of our SaaS and hosted systems, as well as upfront fees and professional services fees. Transaction-based revenue accounted for approximately 85% of our revenue for each of the years ended December 31, 2025, 2024 and 2023.</w:t>
      </w:r>
    </w:p>
    <w:p>
      <w:pPr>
        <w:spacing w:after="0" w:line="11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revenues and long-lived assets, excluding goodwill and intangible assets, by geographic region are summarized below. Distribution revenue is attributed to countries based on the location of the travel supplier and IT Solutions revenue is based on the location of the customer. The majority of our revenues and long-lived assets are derived from the United States, Europe, and Asia-Pacific ("APAC") as follows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1,084,530</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1,012,591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964,071</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517,158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539,844</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511,864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487,316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445,784</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711,524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727,780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692,378</w:t>
            </w:r>
          </w:p>
        </w:tc>
      </w:tr>
      <w:tr>
        <w:trPr>
          <w:trHeight w:val="209"/>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2,770,983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2,744,845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2,642,077</w:t>
            </w: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340"/>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As of December 31,</w:t>
            </w: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2024</w:t>
            </w:r>
          </w:p>
        </w:tc>
      </w:tr>
      <w:tr>
        <w:trPr>
          <w:trHeight w:val="213"/>
        </w:trPr>
        <w:tc>
          <w:tcPr>
            <w:tcW w:w="6960" w:type="dxa"/>
            <w:vAlign w:val="bottom"/>
            <w:shd w:val="clear" w:color="auto" w:fill="CCEEFF"/>
          </w:tcPr>
          <w:p>
            <w:pPr>
              <w:jc w:val="center"/>
              <w:ind w:right="5619"/>
              <w:spacing w:after="0"/>
              <w:rPr>
                <w:sz w:val="20"/>
                <w:szCs w:val="20"/>
                <w:color w:val="auto"/>
              </w:rPr>
            </w:pPr>
            <w:r>
              <w:rPr>
                <w:rFonts w:ascii="Arial" w:cs="Arial" w:eastAsia="Arial" w:hAnsi="Arial"/>
                <w:sz w:val="16"/>
                <w:szCs w:val="16"/>
                <w:color w:val="auto"/>
              </w:rPr>
              <w:t>Long-lived assets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281,593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263,349</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21,907</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6,439</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8,258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9,151</w:t>
            </w:r>
          </w:p>
        </w:tc>
      </w:tr>
      <w:tr>
        <w:trPr>
          <w:trHeight w:val="209"/>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312,843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300,846</w:t>
            </w:r>
          </w:p>
        </w:tc>
      </w:tr>
      <w:tr>
        <w:trPr>
          <w:trHeight w:val="21"/>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97" w:name="page98"/>
    <w:bookmarkEnd w:id="97"/>
    <w:p>
      <w:pPr>
        <w:ind w:left="50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2025.</w:t>
      </w:r>
    </w:p>
    <w:p>
      <w:pPr>
        <w:spacing w:after="0" w:line="64"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 xml:space="preserve">Our independent registered public accounting firm, Ernst &amp; Young LLP, has issued an attestation report on the effectiveness of our internal control over financial reporting as of December 31, 2025, which is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3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There have been no changes in our internal control over financial reporting (as this term is defined in Exchange Act Rule 13a-15(f)) during the most recent fiscal quarter that have materially affected, or are reasonably likely to materially affect, our internal control over financial reporting.</w:t>
      </w:r>
    </w:p>
    <w:p>
      <w:pPr>
        <w:spacing w:after="0" w:line="26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three months ended December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5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February 18, 2026, the Company announced certain executive leadership changes. Effective February 19, 2026, Garry Wiseman will be promoted from Executive Vice President and Chief Product and Technology Officer to President, Product and Engineering. Mr. Wiseman’s duties will be expanded to include leadership of innovation and agentic AI for the Company. Also effective February 19, 2026, Shawn Williams will be promoted from Executive Vice President and Chief Administrative Officer to Executive Vice President and Chief Operating Officer, leading the Company’s revenue and commercial operations functions. On February 16, 2026, Roshan Mendis, Executive Vice President and Chief Commercial Officer, informed the Company that he intends to leave the Company to accept an external position. Mr. Mendis is expected to continue to serve as Senior Advisor to the Company through his anticipated departure in the second quarter of 2026. Effective February 19, 2026, Andy Finkelstein will be promoted to Executive Vice President and Chief Commercial Officer, Travel Marketplace. Mr. Finkelstein has served with the Company in areas of increasing responsibility since 2014, most recently serving as Senior Vice President, Global Agency Sales and Delivery.</w:t>
      </w:r>
    </w:p>
    <w:p>
      <w:pPr>
        <w:spacing w:after="0" w:line="29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PART III</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2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We have adopted our Insider Trading Policy governing the purchase, sale, and/or other dispositions of our securities by our directors, officers, and employees, and by Sabre that we believe is reasonably designed to promote compliance with insider trading laws, rules, and regulations, and the exchange listing standards applicable to us. A copy of our Insider Trading Policy, including any amendments, is filed as Exhibit 19.1 to this Annual Report on Form 10-K.</w:t>
      </w:r>
    </w:p>
    <w:p>
      <w:pPr>
        <w:spacing w:after="0" w:line="26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information set forth under the following headings of our definitive Proxy Statement for our 2026 annual meeting of stockholders (the “2026 Proxy Statement”) is incorporated in this Item 10 by reference:</w:t>
      </w:r>
    </w:p>
    <w:p>
      <w:pPr>
        <w:spacing w:after="0" w:line="33" w:lineRule="exact"/>
        <w:rPr>
          <w:sz w:val="20"/>
          <w:szCs w:val="20"/>
          <w:color w:val="auto"/>
        </w:rPr>
      </w:pPr>
    </w:p>
    <w:p>
      <w:pPr>
        <w:ind w:left="820" w:hanging="326"/>
        <w:spacing w:after="0" w:line="304"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Information Regarding Nominees for Director” under “Proposal 1. Election of Directors,” which identifies our directors and nominees for our Board of Directors.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information—Delinquent Section 16(a) Reports.”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Governance—Other Corporate Governance Practices and Matters—Code of Conduct,” which describes our Code of Conduct.</w:t>
      </w:r>
    </w:p>
    <w:p>
      <w:pPr>
        <w:spacing w:after="0" w:line="126" w:lineRule="exact"/>
        <w:rPr>
          <w:rFonts w:ascii="Arial" w:cs="Arial" w:eastAsia="Arial" w:hAnsi="Arial"/>
          <w:sz w:val="16"/>
          <w:szCs w:val="16"/>
          <w:color w:val="auto"/>
        </w:rPr>
      </w:pPr>
    </w:p>
    <w:p>
      <w:pPr>
        <w:jc w:val="both"/>
        <w:ind w:left="820" w:hanging="326"/>
        <w:spacing w:after="0" w:line="266"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Governance—Stockholder Nominations for Directors” and "Other Information—Proxy Access Nominations and Annual Meeting Advance Notice Requirements" which describe the procedures by which stockholders may nominate candidates for election to our Board of Directors.</w:t>
      </w:r>
    </w:p>
    <w:p>
      <w:pPr>
        <w:spacing w:after="0" w:line="76"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“Corporate Governance—Board Committees—Audit Committee," which identifies members of the Audit Committee of our Board of Directors and audit committee financial experts.</w:t>
      </w:r>
    </w:p>
    <w:p>
      <w:pPr>
        <w:spacing w:after="0" w:line="16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Information regarding our executive officers is reported under the caption “Information About Our Executive Officers” in </w:t>
      </w:r>
      <w:r>
        <w:rPr>
          <w:rFonts w:ascii="Arial" w:cs="Arial" w:eastAsia="Arial" w:hAnsi="Arial"/>
          <w:sz w:val="16"/>
          <w:szCs w:val="16"/>
          <w:u w:val="single" w:color="auto"/>
          <w:color w:val="0000FF"/>
        </w:rPr>
        <w:t>Part I</w:t>
      </w:r>
      <w:r>
        <w:rPr>
          <w:rFonts w:ascii="Arial" w:cs="Arial" w:eastAsia="Arial" w:hAnsi="Arial"/>
          <w:sz w:val="16"/>
          <w:szCs w:val="16"/>
          <w:color w:val="auto"/>
        </w:rPr>
        <w:t xml:space="preserve"> of this Annual Report on Form 10-K.</w:t>
      </w: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information set forth under the headings “Compensation Discussion and Analysis,” “Executive Compensation” (excluding the information under the subheading "Pay-Versus-Performance Table"), “Proposal 1. Election of Directors—Director Compensation Program” and “Corporate Governance— Compensation Committee Interlocks and Insider Participation” of the 2026 Proxy Statement is incorporated in this Item 11 by reference.</w:t>
      </w:r>
    </w:p>
    <w:p>
      <w:pPr>
        <w:spacing w:after="0" w:line="27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information set forth under the heading “Security Ownership of Certain Beneficial Owners and Management” of the 2026 Proxy Statement is incorporated in this Item 12 by reference.</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Compensation Plan Information</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2025.</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Number of securities to be</w:t>
            </w:r>
          </w:p>
        </w:tc>
        <w:tc>
          <w:tcPr>
            <w:tcW w:w="100" w:type="dxa"/>
            <w:vAlign w:val="bottom"/>
          </w:tcPr>
          <w:p>
            <w:pPr>
              <w:spacing w:after="0"/>
              <w:rPr>
                <w:sz w:val="12"/>
                <w:szCs w:val="12"/>
                <w:color w:val="auto"/>
              </w:rPr>
            </w:pP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Weighted average exercise</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w:t>
            </w: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8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remaining available for future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9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issued upon exercise of</w:t>
            </w:r>
          </w:p>
        </w:tc>
        <w:tc>
          <w:tcPr>
            <w:tcW w:w="19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price of outstanding options</w:t>
            </w:r>
          </w:p>
        </w:tc>
        <w:tc>
          <w:tcPr>
            <w:tcW w:w="1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issuance under equity</w:t>
            </w: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 options (a)</w:t>
            </w:r>
          </w:p>
        </w:tc>
        <w:tc>
          <w:tcPr>
            <w:tcW w:w="100" w:type="dxa"/>
            <w:vAlign w:val="bottom"/>
          </w:tcPr>
          <w:p>
            <w:pPr>
              <w:spacing w:after="0"/>
              <w:rPr>
                <w:sz w:val="15"/>
                <w:szCs w:val="15"/>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(b)</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 plans (c)</w:t>
            </w:r>
          </w:p>
        </w:tc>
        <w:tc>
          <w:tcPr>
            <w:tcW w:w="0" w:type="dxa"/>
            <w:vAlign w:val="bottom"/>
          </w:tcPr>
          <w:p>
            <w:pPr>
              <w:spacing w:after="0"/>
              <w:rPr>
                <w:sz w:val="1"/>
                <w:szCs w:val="1"/>
                <w:color w:val="auto"/>
              </w:rPr>
            </w:pPr>
          </w:p>
        </w:tc>
      </w:tr>
      <w:tr>
        <w:trPr>
          <w:trHeight w:val="211"/>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39,302,187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13.94</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21,921,410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1" w:lineRule="exact"/>
        <w:rPr>
          <w:sz w:val="20"/>
          <w:szCs w:val="20"/>
          <w:color w:val="auto"/>
        </w:rPr>
      </w:pPr>
    </w:p>
    <w:p>
      <w:pPr>
        <w:jc w:val="both"/>
        <w:ind w:left="340" w:hanging="332"/>
        <w:spacing w:after="0" w:line="267"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shares of common stock to be issued upon the exercise of outstanding options under our 2025 Omnibus Plan, 2024 Omnibus Plan, 2024 Director Plan, 2023 Omnibus Plan, 2022 Director Plan, 2021 Omnibus Plan, 2019 Omnibus Plan, 2019 Director Plan, 2016 Omnibus Plan, and 2014 Omnibus Plan. Also includes 38,406,434 restricted share units under our 2025 Omnibus Plan, 2024 Omnibus Plan, 2023 Omnibus Plan, 2021 Omnibus Plan, 2019 Omnibus Plan, 2016 Omnibus Plan, and 2014 Omnibus Plan (including shares that may be issued pursuant to outstanding performance-based restricted share units, assuming the target award is met; actual shares may vary, depending on actual performance).</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restricted share units which do not have an exercise price.</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securities reflected in column (a).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9" w:name="page100"/>
    <w:bookmarkEnd w:id="99"/>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13"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The information set forth under the headings “Certain Relationships and Related Party Transactions” and “Corporate Governance—Board Composition and Director Independence” of the 2026 Proxy Statement is incorporated in this Item 13 by reference.</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ACCOUNTANT FEES AND SERVICES</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information set forth under the headings “Principal Accounting Firm Fees” and “Audit Committee Approval of Audit and Non-Audit Services” of the 2026 Proxy Statement is incorporated in this Item 14 by reference.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PART IV</w:t>
      </w:r>
    </w:p>
    <w:p>
      <w:pPr>
        <w:spacing w:after="0" w:line="329" w:lineRule="exact"/>
        <w:rPr>
          <w:sz w:val="20"/>
          <w:szCs w:val="20"/>
          <w:color w:val="auto"/>
        </w:rPr>
      </w:pPr>
    </w:p>
    <w:p>
      <w:pPr>
        <w:jc w:val="center"/>
        <w:ind w:right="6280"/>
        <w:spacing w:after="0"/>
        <w:tabs>
          <w:tab w:leader="none" w:pos="16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27" w:lineRule="exact"/>
        <w:rPr>
          <w:sz w:val="20"/>
          <w:szCs w:val="20"/>
          <w:color w:val="auto"/>
        </w:rPr>
      </w:pPr>
    </w:p>
    <w:p>
      <w:pPr>
        <w:jc w:val="center"/>
        <w:ind w:right="630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113"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are set forth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Item 8</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Annual Report on Form 10-K.</w:t>
      </w:r>
    </w:p>
    <w:p>
      <w:pPr>
        <w:spacing w:after="0" w:line="126" w:lineRule="exact"/>
        <w:rPr>
          <w:rFonts w:ascii="Arial" w:cs="Arial" w:eastAsia="Arial" w:hAnsi="Arial"/>
          <w:sz w:val="16"/>
          <w:szCs w:val="16"/>
          <w:color w:val="auto"/>
        </w:rPr>
      </w:pPr>
    </w:p>
    <w:p>
      <w:pPr>
        <w:ind w:left="820" w:hanging="326"/>
        <w:spacing w:after="0" w:line="286"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u w:val="single" w:color="auto"/>
          <w:color w:val="0000FF"/>
        </w:rPr>
        <w:t>Schedule II Valuation and Qualifying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is filed as part of this Annual Report on Form 10-K and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in conjunction with the financial statements and notes thereto contained in </w:t>
      </w:r>
      <w:r>
        <w:rPr>
          <w:rFonts w:ascii="Arial" w:cs="Arial" w:eastAsia="Arial" w:hAnsi="Arial"/>
          <w:sz w:val="16"/>
          <w:szCs w:val="16"/>
          <w:u w:val="single" w:color="auto"/>
          <w:color w:val="0000FF"/>
        </w:rPr>
        <w:t>Item 8</w:t>
      </w:r>
      <w:r>
        <w:rPr>
          <w:rFonts w:ascii="Arial" w:cs="Arial" w:eastAsia="Arial" w:hAnsi="Arial"/>
          <w:sz w:val="16"/>
          <w:szCs w:val="16"/>
          <w:color w:val="auto"/>
        </w:rPr>
        <w:t>.</w:t>
      </w:r>
    </w:p>
    <w:p>
      <w:pPr>
        <w:spacing w:after="0" w:line="156"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43"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000" w:type="dxa"/>
            <w:vAlign w:val="bottom"/>
            <w:gridSpan w:val="33"/>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8"/>
                <w:szCs w:val="18"/>
                <w:color w:val="auto"/>
              </w:rPr>
            </w:pPr>
          </w:p>
        </w:tc>
        <w:tc>
          <w:tcPr>
            <w:tcW w:w="10000" w:type="dxa"/>
            <w:vAlign w:val="bottom"/>
            <w:gridSpan w:val="3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Borders>
              <w:top w:val="single" w:sz="8" w:color="auto"/>
            </w:tcBorders>
          </w:tcPr>
          <w:p>
            <w:pPr>
              <w:jc w:val="right"/>
              <w:ind w:right="919"/>
              <w:spacing w:after="0" w:line="169" w:lineRule="exact"/>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32"/>
          </w:tcPr>
          <w:p>
            <w:pPr>
              <w:spacing w:after="0" w:line="169" w:lineRule="exact"/>
              <w:rPr>
                <w:rFonts w:ascii="Arial" w:cs="Arial" w:eastAsia="Arial" w:hAnsi="Arial"/>
                <w:sz w:val="16"/>
                <w:szCs w:val="16"/>
                <w:color w:val="0000FF"/>
              </w:rPr>
            </w:pPr>
            <w:hyperlink r:id="rId122">
              <w:r>
                <w:rPr>
                  <w:rFonts w:ascii="Arial" w:cs="Arial" w:eastAsia="Arial" w:hAnsi="Arial"/>
                  <w:sz w:val="16"/>
                  <w:szCs w:val="16"/>
                  <w:color w:val="0000FF"/>
                </w:rPr>
                <w:t>Asset Purchase Agreement, dated as of January 23, 2015 by and among Expedia Inc., Sabre GLBL Inc., Travelocity.com LP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certain affiliates of Sabre GLBL Inc. and Travelocity.com LP (incorporated by reference to Exhibit 2.1 of Sabre Corporation’s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9"/>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Report on Form 8-K filed with the Securities and Exchange Commission on January 26,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3">
              <w:r>
                <w:rPr>
                  <w:rFonts w:ascii="Arial" w:cs="Arial" w:eastAsia="Arial" w:hAnsi="Arial"/>
                  <w:sz w:val="16"/>
                  <w:szCs w:val="16"/>
                  <w:color w:val="0000FF"/>
                </w:rPr>
                <w:t>Share Purchase Agreement, dated as of May 14, 2015 by and between Abacus International Holdings Ltd and Sabre Technology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Enterprises II Ltd. (incorporated by reference to Exhibit 2.1 of Sabre Corporation’s Current Report on Form 8-K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and Exchange Commission on May 14, 2015).</w:t>
              </w:r>
            </w:hyperlink>
          </w:p>
        </w:tc>
        <w:tc>
          <w:tcPr>
            <w:tcW w:w="6460" w:type="dxa"/>
            <w:vAlign w:val="bottom"/>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4">
              <w:r>
                <w:rPr>
                  <w:rFonts w:ascii="Arial" w:cs="Arial" w:eastAsia="Arial" w:hAnsi="Arial"/>
                  <w:sz w:val="16"/>
                  <w:szCs w:val="16"/>
                  <w:color w:val="0000FF"/>
                </w:rPr>
                <w:t>Fourth Amended and Restated Certificate of Incorporation of Sabre Corporation (incorporated by reference to Exhibit 3.1 of Sabre</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124">
              <w:r>
                <w:rPr>
                  <w:rFonts w:ascii="Arial" w:cs="Arial" w:eastAsia="Arial" w:hAnsi="Arial"/>
                  <w:sz w:val="16"/>
                  <w:szCs w:val="16"/>
                  <w:color w:val="0000FF"/>
                </w:rPr>
                <w:t>Corporation’s Current Report on Form 8-K filed with the Securities and Exchange Commission on April 26,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3"/>
          </w:tcPr>
          <w:p>
            <w:pPr>
              <w:spacing w:after="0"/>
              <w:rPr>
                <w:rFonts w:ascii="Arial" w:cs="Arial" w:eastAsia="Arial" w:hAnsi="Arial"/>
                <w:sz w:val="16"/>
                <w:szCs w:val="16"/>
                <w:color w:val="0000FF"/>
              </w:rPr>
            </w:pPr>
            <w:hyperlink r:id="rId125">
              <w:r>
                <w:rPr>
                  <w:rFonts w:ascii="Arial" w:cs="Arial" w:eastAsia="Arial" w:hAnsi="Arial"/>
                  <w:sz w:val="16"/>
                  <w:szCs w:val="16"/>
                  <w:color w:val="0000FF"/>
                </w:rPr>
                <w:t>Eighth Amended and Restated Bylaws of Sabre Corporation (incorporated by reference to Exhibit 3.2 of Sabre Corporation's Quarterly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7"/>
          </w:tcPr>
          <w:p>
            <w:pPr>
              <w:spacing w:after="0" w:line="155" w:lineRule="exact"/>
              <w:rPr>
                <w:rFonts w:ascii="Arial" w:cs="Arial" w:eastAsia="Arial" w:hAnsi="Arial"/>
                <w:sz w:val="16"/>
                <w:szCs w:val="16"/>
                <w:color w:val="0000FF"/>
              </w:rPr>
            </w:pPr>
            <w:hyperlink r:id="rId125">
              <w:r>
                <w:rPr>
                  <w:rFonts w:ascii="Arial" w:cs="Arial" w:eastAsia="Arial" w:hAnsi="Arial"/>
                  <w:sz w:val="16"/>
                  <w:szCs w:val="16"/>
                  <w:color w:val="0000FF"/>
                </w:rPr>
                <w:t>Report on Form 10-Q filed with the Securities and Exchange Commission on October 31, 2024).</w:t>
              </w:r>
            </w:hyperlink>
          </w:p>
        </w:tc>
        <w:tc>
          <w:tcPr>
            <w:tcW w:w="29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33"/>
          </w:tcPr>
          <w:p>
            <w:pPr>
              <w:spacing w:after="0"/>
              <w:rPr>
                <w:rFonts w:ascii="Arial" w:cs="Arial" w:eastAsia="Arial" w:hAnsi="Arial"/>
                <w:sz w:val="16"/>
                <w:szCs w:val="16"/>
                <w:color w:val="0000FF"/>
              </w:rPr>
            </w:pPr>
            <w:hyperlink r:id="rId126">
              <w:r>
                <w:rPr>
                  <w:rFonts w:ascii="Arial" w:cs="Arial" w:eastAsia="Arial" w:hAnsi="Arial"/>
                  <w:sz w:val="16"/>
                  <w:szCs w:val="16"/>
                  <w:color w:val="0000FF"/>
                </w:rPr>
                <w:t>Indenture, dated as of September 7, 2023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Company, National Association, as trustee and collateral agent incorporated by reference to Exhibit 4.1 of Sabre Corporation’s Current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Report on Form 8-K filed with the Securities and Exchange Commission on September 7, 2023).</w:t>
              </w:r>
            </w:hyperlink>
          </w:p>
        </w:tc>
        <w:tc>
          <w:tcPr>
            <w:tcW w:w="28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Form of 8.625% Senior Secured Notes due 2027 incorporated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Form 8-K filed with the Securities and Exchange Commission on September 7, 2023).</w:t>
              </w:r>
            </w:hyperlink>
          </w:p>
        </w:tc>
        <w:tc>
          <w:tcPr>
            <w:tcW w:w="366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8">
              <w:r>
                <w:rPr>
                  <w:rFonts w:ascii="Arial" w:cs="Arial" w:eastAsia="Arial" w:hAnsi="Arial"/>
                  <w:sz w:val="16"/>
                  <w:szCs w:val="16"/>
                  <w:color w:val="0000FF"/>
                </w:rPr>
                <w:t>First Supplemental Indenture, dated as of March 7, 2024, among Sabre GLBL Inc., each of the guarantors party thereto and</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Computershare Trust Company, National Association, as trustee and collateral agent (incorporated by reference to Exhibit 4.2 of</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2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Sabre Corporation’s Current Report on Form 8-K filed with the Securities and Exchange Commission on March 8, 2024).</w:t>
              </w:r>
            </w:hyperlink>
          </w:p>
        </w:tc>
        <w:tc>
          <w:tcPr>
            <w:tcW w:w="114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9">
              <w:r>
                <w:rPr>
                  <w:rFonts w:ascii="Arial" w:cs="Arial" w:eastAsia="Arial" w:hAnsi="Arial"/>
                  <w:sz w:val="16"/>
                  <w:szCs w:val="16"/>
                  <w:color w:val="0000FF"/>
                </w:rPr>
                <w:t>Indenture, dated as of March 19, 2024, by and among Sabre GLBL Inc., the guarantors party thereto, and U.S. Bank Trust Company,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National Association as trustee (incorporated by reference to Exhibit 4.1 of Sabre Corporation’s Current Report on Form 8-K filed with</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the Securities and Exchange Commission on March 19, 2024).</w:t>
              </w:r>
            </w:hyperlink>
          </w:p>
        </w:tc>
        <w:tc>
          <w:tcPr>
            <w:tcW w:w="5180" w:type="dxa"/>
            <w:vAlign w:val="bottom"/>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29">
              <w:r>
                <w:rPr>
                  <w:rFonts w:ascii="Arial" w:cs="Arial" w:eastAsia="Arial" w:hAnsi="Arial"/>
                  <w:sz w:val="16"/>
                  <w:szCs w:val="16"/>
                  <w:color w:val="0000FF"/>
                </w:rPr>
                <w:t>Form of 7.32% Exchangeable Senior Notes due 2026 (incorporated by reference to Exhibit 4.2 and included in Exhibit 4.1 of Sabre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Corporation’s Current Report on Form 8-K filed with the Securities and Exchange Commission on March 19, 2024).</w:t>
              </w:r>
            </w:hyperlink>
          </w:p>
        </w:tc>
        <w:tc>
          <w:tcPr>
            <w:tcW w:w="166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30">
              <w:r>
                <w:rPr>
                  <w:rFonts w:ascii="Arial" w:cs="Arial" w:eastAsia="Arial" w:hAnsi="Arial"/>
                  <w:sz w:val="16"/>
                  <w:szCs w:val="16"/>
                  <w:color w:val="0000FF"/>
                </w:rPr>
                <w:t>Description of Sabre Corporation’s Securities Registered Pursuant to Section 12 of the Securities Exchange Act of 1934 (incorporated</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9"/>
          </w:tcPr>
          <w:p>
            <w:pPr>
              <w:spacing w:after="0" w:line="155" w:lineRule="exact"/>
              <w:rPr>
                <w:rFonts w:ascii="Arial" w:cs="Arial" w:eastAsia="Arial" w:hAnsi="Arial"/>
                <w:sz w:val="16"/>
                <w:szCs w:val="16"/>
                <w:color w:val="0000FF"/>
              </w:rPr>
            </w:pPr>
            <w:hyperlink r:id="rId130">
              <w:r>
                <w:rPr>
                  <w:rFonts w:ascii="Arial" w:cs="Arial" w:eastAsia="Arial" w:hAnsi="Arial"/>
                  <w:sz w:val="16"/>
                  <w:szCs w:val="16"/>
                  <w:color w:val="0000FF"/>
                </w:rPr>
                <w:t>by reference to Exhibit 4.6 of Sabre Corporation’s Annual Report on Form 10-K filed with the Securities and Exchange Commission on</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February 20, 2025)</w:t>
              </w:r>
              <w:r>
                <w:rPr>
                  <w:rFonts w:ascii="Arial" w:cs="Arial" w:eastAsia="Arial" w:hAnsi="Arial"/>
                  <w:sz w:val="16"/>
                  <w:szCs w:val="16"/>
                  <w:color w:val="000000"/>
                </w:rPr>
                <w:t>.</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3"/>
          </w:tcPr>
          <w:p>
            <w:pPr>
              <w:spacing w:after="0"/>
              <w:rPr>
                <w:rFonts w:ascii="Arial" w:cs="Arial" w:eastAsia="Arial" w:hAnsi="Arial"/>
                <w:sz w:val="16"/>
                <w:szCs w:val="16"/>
                <w:color w:val="0000FF"/>
              </w:rPr>
            </w:pPr>
            <w:hyperlink r:id="rId131">
              <w:r>
                <w:rPr>
                  <w:rFonts w:ascii="Arial" w:cs="Arial" w:eastAsia="Arial" w:hAnsi="Arial"/>
                  <w:sz w:val="16"/>
                  <w:szCs w:val="16"/>
                  <w:color w:val="0000FF"/>
                </w:rPr>
                <w:t>Indenture, dated as of June 4, 2025,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Company, National Association, as trustee and collateral agent (incorporated by reference to Exhibit 4.1 of Sabre Corporation’s</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40" w:type="dxa"/>
            <w:vAlign w:val="bottom"/>
            <w:tcBorders>
              <w:bottom w:val="single" w:sz="8" w:color="0000FF"/>
            </w:tcBorders>
            <w:gridSpan w:val="9"/>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Current Report on Form 8-K filed with the Securities and Exchange Commission on June 5, 2025).</w:t>
              </w:r>
            </w:hyperlink>
          </w:p>
        </w:tc>
        <w:tc>
          <w:tcPr>
            <w:tcW w:w="2900" w:type="dxa"/>
            <w:vAlign w:val="bottom"/>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31">
              <w:r>
                <w:rPr>
                  <w:rFonts w:ascii="Arial" w:cs="Arial" w:eastAsia="Arial" w:hAnsi="Arial"/>
                  <w:sz w:val="16"/>
                  <w:szCs w:val="16"/>
                  <w:color w:val="0000FF"/>
                </w:rPr>
                <w:t>Form of 11.125% Senior Secured Notes due 2030 (incorporated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Form 8-K filed with the Securities and Exchange Commission on June 5, 2025).</w:t>
              </w:r>
            </w:hyperlink>
          </w:p>
        </w:tc>
        <w:tc>
          <w:tcPr>
            <w:tcW w:w="4040" w:type="dxa"/>
            <w:vAlign w:val="bottom"/>
            <w:tcBorders>
              <w:top w:val="single" w:sz="8" w:color="0000FF"/>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right"/>
              <w:ind w:right="9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3"/>
          </w:tcPr>
          <w:p>
            <w:pPr>
              <w:spacing w:after="0"/>
              <w:rPr>
                <w:rFonts w:ascii="Arial" w:cs="Arial" w:eastAsia="Arial" w:hAnsi="Arial"/>
                <w:sz w:val="16"/>
                <w:szCs w:val="16"/>
                <w:color w:val="0000FF"/>
              </w:rPr>
            </w:pPr>
            <w:hyperlink r:id="rId132">
              <w:r>
                <w:rPr>
                  <w:rFonts w:ascii="Arial" w:cs="Arial" w:eastAsia="Arial" w:hAnsi="Arial"/>
                  <w:sz w:val="16"/>
                  <w:szCs w:val="16"/>
                  <w:color w:val="0000FF"/>
                </w:rPr>
                <w:t>Indenture, dated as of November 25, 2024,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Company, National Association, as trustee and collateral agent (incorporated by reference to Exhibit 4.1 of Sabre Corporation’s</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Current Report on Form 8-K filed with the Securities and Exchange Commission on December 2, 2024).</w:t>
              </w:r>
            </w:hyperlink>
          </w:p>
        </w:tc>
        <w:tc>
          <w:tcPr>
            <w:tcW w:w="2500" w:type="dxa"/>
            <w:vAlign w:val="bottom"/>
            <w:tcBorders>
              <w:top w:val="single" w:sz="8" w:color="0000FF"/>
            </w:tcBorders>
            <w:gridSpan w:val="2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88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4"/>
          </w:tcPr>
          <w:p>
            <w:pPr>
              <w:jc w:val="right"/>
              <w:ind w:right="260"/>
              <w:spacing w:after="0"/>
              <w:rPr>
                <w:sz w:val="20"/>
                <w:szCs w:val="20"/>
                <w:color w:val="auto"/>
              </w:rPr>
            </w:pPr>
            <w:r>
              <w:rPr>
                <w:rFonts w:ascii="Arial" w:cs="Arial" w:eastAsia="Arial" w:hAnsi="Arial"/>
                <w:sz w:val="16"/>
                <w:szCs w:val="16"/>
                <w:color w:val="auto"/>
              </w:rPr>
              <w:t>99</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320" w:type="dxa"/>
            <w:vAlign w:val="bottom"/>
          </w:tcPr>
          <w:p>
            <w:pPr>
              <w:ind w:left="3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120" w:type="dxa"/>
            <w:vAlign w:val="bottom"/>
            <w:gridSpan w:val="39"/>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Number</w:t>
            </w: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tcBorders>
            <w:gridSpan w:val="3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line="169" w:lineRule="exact"/>
              <w:rPr>
                <w:sz w:val="20"/>
                <w:szCs w:val="20"/>
                <w:color w:val="auto"/>
              </w:rPr>
            </w:pPr>
            <w:r>
              <w:rPr>
                <w:rFonts w:ascii="Arial" w:cs="Arial" w:eastAsia="Arial" w:hAnsi="Arial"/>
                <w:sz w:val="16"/>
                <w:szCs w:val="16"/>
                <w:color w:val="auto"/>
              </w:rPr>
              <w:t>4.10</w:t>
            </w:r>
          </w:p>
        </w:tc>
        <w:tc>
          <w:tcPr>
            <w:tcW w:w="20" w:type="dxa"/>
            <w:vAlign w:val="bottom"/>
          </w:tcPr>
          <w:p>
            <w:pPr>
              <w:spacing w:after="0"/>
              <w:rPr>
                <w:sz w:val="14"/>
                <w:szCs w:val="14"/>
                <w:color w:val="auto"/>
              </w:rPr>
            </w:pPr>
          </w:p>
        </w:tc>
        <w:tc>
          <w:tcPr>
            <w:tcW w:w="10120" w:type="dxa"/>
            <w:vAlign w:val="bottom"/>
            <w:gridSpan w:val="39"/>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Form of 10.750% Senior Secured Notes due 2029 (included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Form 8-K filed with the Securities and Exchange Commission on December 2, 2024).</w:t>
              </w:r>
            </w:hyperlink>
          </w:p>
        </w:tc>
        <w:tc>
          <w:tcPr>
            <w:tcW w:w="35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4.11</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First Supplemental Indenture, dated as of November 27, 2024, among Sabre GLBL Inc., each of the guarantors party thereto and</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Computershare Trust Company, National Association, as trustee and collateral agent (incorporated by reference to Exhibit 4.3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Sabre Corporation’s Current Report on Form 8-K filed with the Securities and Exchange Commission on December 2, 2024).</w:t>
              </w:r>
            </w:hyperlink>
          </w:p>
        </w:tc>
        <w:tc>
          <w:tcPr>
            <w:tcW w:w="8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4.12</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6">
              <w:r>
                <w:rPr>
                  <w:rFonts w:ascii="Arial" w:cs="Arial" w:eastAsia="Arial" w:hAnsi="Arial"/>
                  <w:sz w:val="16"/>
                  <w:szCs w:val="16"/>
                  <w:color w:val="0000FF"/>
                </w:rPr>
                <w:t>Indenture, dated as of December 5, 2025 among Sabre Financial Borrower, LLC, each of the guarantors party thereto and Wilmington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Trust, National Association, as trustee and collateral agent (incorporated by reference to Exhibit 4.1 of Sabre Corporation’s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Report on Form 8-K filed with the Securities and Exchange Commission on December 11, 2025).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Form of 11.125% Senior Secured Notes due 2029 (incorporated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Form 8-K filed with the Securities and Exchange Commission on December 11, 2025).</w:t>
              </w:r>
            </w:hyperlink>
          </w:p>
        </w:tc>
        <w:tc>
          <w:tcPr>
            <w:tcW w:w="35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4.14</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7">
              <w:r>
                <w:rPr>
                  <w:rFonts w:ascii="Arial" w:cs="Arial" w:eastAsia="Arial" w:hAnsi="Arial"/>
                  <w:sz w:val="16"/>
                  <w:szCs w:val="16"/>
                  <w:color w:val="0000FF"/>
                </w:rPr>
                <w:t>Indenture, dated as of December 8, 2025,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Company, National Association, as trustee and collateral agent (incorporated by reference to Exhibit 4.3 of Sabre Corporation’s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Current Report on Form 8-K filed with the Securities and Exchange Commission on December 11, 2025).</w:t>
              </w:r>
            </w:hyperlink>
          </w:p>
        </w:tc>
        <w:tc>
          <w:tcPr>
            <w:tcW w:w="252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4.15</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7">
              <w:r>
                <w:rPr>
                  <w:rFonts w:ascii="Arial" w:cs="Arial" w:eastAsia="Arial" w:hAnsi="Arial"/>
                  <w:sz w:val="16"/>
                  <w:szCs w:val="16"/>
                  <w:color w:val="0000FF"/>
                </w:rPr>
                <w:t>Form of 10.750% Senior Secured Notes due 2030 (incorporated by reference to Exhibit 4.4 of Sabre Corporation’s Current Report on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Form 8-K filed with the Securities and Exchange Commission on December 11, 2025).</w:t>
              </w:r>
            </w:hyperlink>
          </w:p>
        </w:tc>
        <w:tc>
          <w:tcPr>
            <w:tcW w:w="34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8">
              <w:r>
                <w:rPr>
                  <w:rFonts w:ascii="Arial" w:cs="Arial" w:eastAsia="Arial" w:hAnsi="Arial"/>
                  <w:sz w:val="16"/>
                  <w:szCs w:val="16"/>
                  <w:color w:val="0000FF"/>
                </w:rPr>
                <w:t>Amended and Restated Guaranty, dated as of February 19, 2013, among Sabre Holdings Corporation, certain subsidiaries of Sabre</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34"/>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 from time to time party thereto and Bank of America, N.A., as administrative agent (incorporated by reference to Exhibit 10.3 of</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Sabre Corporation’s Registration Statement on Form S-1 filed with the Securities and Exchange Commission on January 21, 2014).</w:t>
              </w:r>
            </w:hyperlink>
          </w:p>
        </w:tc>
        <w:tc>
          <w:tcPr>
            <w:tcW w:w="680" w:type="dxa"/>
            <w:vAlign w:val="bottom"/>
            <w:gridSpan w:val="2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39">
              <w:r>
                <w:rPr>
                  <w:rFonts w:ascii="Arial" w:cs="Arial" w:eastAsia="Arial" w:hAnsi="Arial"/>
                  <w:sz w:val="16"/>
                  <w:szCs w:val="16"/>
                  <w:color w:val="0000FF"/>
                </w:rPr>
                <w:t>Amended and Restated Pledge and Security Agreement, dated as of February 19, 2013, among Sabre Holdings Corporation, Sabre</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 certain subsidiaries of Sabre Inc. from time to time party thereto and Bank of America, N.A., as administrative agent for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secured parties (incorporated by reference to Exhibit 10.4 of Sabre Corporation’s Registration Statement on Form S-1 filed with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32"/>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Securities and Exchange Commission on January 21, 2014).</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First Lien Intercreditor Agreement, dated as of May 9, 2012, among Sabre Inc., Sabre Holdings Corporation, the other grantors party</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thereto, Deutsche Bank AG New York Branch, as administrative agent and authorized representative for the Credit Agreement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secured parties, Wells Fargo Bank, National Association, as the Initial First Lien Collateral Agent and initial additional authorized</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26"/>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representative, each Additional First Lien Collateral Agent and each additional Authorized Representative (incorporated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to Exhibit 10.5 of Sabre Corporation’s Registration Statement on Form S-1 filed with the Securities and Exchange Commission on</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gridSpan w:val="25"/>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January 21, 2014).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Non Qualified Stock Option Grant Agreement under Sovereign Holdings, Inc. Management Equity Incentive Plan adopted</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June 11, 2007, as amended April 22, 2010 (incorporated by reference to Exhibit 10.9 of Sabre Corporation’s Registration Statement</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bottom w:val="single" w:sz="8" w:color="0000FF"/>
            </w:tcBorders>
            <w:gridSpan w:val="9"/>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on Form S-1 filed with the Securities and Exchange Commission on January 21, 2014).</w:t>
              </w:r>
            </w:hyperlink>
          </w:p>
        </w:tc>
        <w:tc>
          <w:tcPr>
            <w:tcW w:w="3840" w:type="dxa"/>
            <w:vAlign w:val="bottom"/>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2">
              <w:r>
                <w:rPr>
                  <w:rFonts w:ascii="Arial" w:cs="Arial" w:eastAsia="Arial" w:hAnsi="Arial"/>
                  <w:sz w:val="16"/>
                  <w:szCs w:val="16"/>
                  <w:color w:val="0000FF"/>
                </w:rPr>
                <w:t>Sovereign Holdings, Inc. 2012 Management Equity Incentive Plan adopted September 14, 2012 (incorporated by reference to Exhibit</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10.</w:t>
              </w:r>
              <w:r>
                <w:rPr>
                  <w:rFonts w:ascii="Arial" w:cs="Arial" w:eastAsia="Arial" w:hAnsi="Arial"/>
                  <w:sz w:val="16"/>
                  <w:szCs w:val="16"/>
                  <w:u w:val="single" w:color="auto"/>
                  <w:color w:val="0000FF"/>
                </w:rPr>
                <w:t>16</w:t>
              </w:r>
              <w:r>
                <w:rPr>
                  <w:rFonts w:ascii="Arial" w:cs="Arial" w:eastAsia="Arial" w:hAnsi="Arial"/>
                  <w:sz w:val="16"/>
                  <w:szCs w:val="16"/>
                  <w:color w:val="0000FF"/>
                </w:rPr>
                <w:t xml:space="preserve"> of Sabre Corporation’s Registration Statement on Form S-1 filed with the Securities and Exchange Commission on January 21,</w:t>
              </w:r>
            </w:hyperlink>
          </w:p>
        </w:tc>
        <w:tc>
          <w:tcPr>
            <w:tcW w:w="100" w:type="dxa"/>
            <w:vAlign w:val="bottom"/>
            <w:tcBorders>
              <w:bottom w:val="single" w:sz="8" w:color="0000FF"/>
            </w:tcBorders>
            <w:gridSpan w:val="5"/>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142">
              <w:r>
                <w:rPr>
                  <w:rFonts w:ascii="Arial" w:cs="Arial" w:eastAsia="Arial" w:hAnsi="Arial"/>
                  <w:sz w:val="16"/>
                  <w:szCs w:val="16"/>
                  <w:color w:val="0000FF"/>
                  <w:w w:val="96"/>
                </w:rPr>
                <w:t>2014).</w:t>
              </w:r>
            </w:hyperlink>
          </w:p>
        </w:tc>
        <w:tc>
          <w:tcPr>
            <w:tcW w:w="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3">
              <w:r>
                <w:rPr>
                  <w:rFonts w:ascii="Arial" w:cs="Arial" w:eastAsia="Arial" w:hAnsi="Arial"/>
                  <w:sz w:val="16"/>
                  <w:szCs w:val="16"/>
                  <w:color w:val="0000FF"/>
                </w:rPr>
                <w:t>Form of Non Qualified Stock Option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(incorporated by reference to Exhibit 10.17 of Sabre Corporation’s Registration Statement on Form S-1 filed with the Securities and</w:t>
              </w:r>
            </w:hyperlink>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Exchange Commission on January 21, 2014).</w:t>
              </w:r>
            </w:hyperlink>
          </w:p>
        </w:tc>
        <w:tc>
          <w:tcPr>
            <w:tcW w:w="658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Form of Restricted Stock Unit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(incorporated by reference to Exhibit 10.18 of Sabre Corporation’s Registration Statement on Form S-1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Exchange Commission on January 21, 2014).</w:t>
              </w:r>
            </w:hyperlink>
          </w:p>
        </w:tc>
        <w:tc>
          <w:tcPr>
            <w:tcW w:w="658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Form of Restricted Stock Unit Grant Agreement for Non Employee Directors under the Sovereign Holdings, Inc. 2012 Management</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Equity Incentive Plan (incorporated by reference to Exhibit 10.20 of Sabre Corporation’s Registration Statement on Form S-1 filed with</w:t>
              </w:r>
            </w:hyperlink>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the Securities and Exchange Commission on January 21, 2014).</w:t>
              </w:r>
            </w:hyperlink>
          </w:p>
        </w:tc>
        <w:tc>
          <w:tcPr>
            <w:tcW w:w="52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c>
          <w:tcPr>
            <w:tcW w:w="10120" w:type="dxa"/>
            <w:vAlign w:val="bottom"/>
            <w:gridSpan w:val="39"/>
          </w:tcPr>
          <w:p>
            <w:pPr>
              <w:spacing w:after="0"/>
              <w:rPr>
                <w:rFonts w:ascii="Arial" w:cs="Arial" w:eastAsia="Arial" w:hAnsi="Arial"/>
                <w:sz w:val="16"/>
                <w:szCs w:val="16"/>
                <w:color w:val="0000FF"/>
              </w:rPr>
            </w:pPr>
            <w:hyperlink r:id="rId146">
              <w:r>
                <w:rPr>
                  <w:rFonts w:ascii="Arial" w:cs="Arial" w:eastAsia="Arial" w:hAnsi="Arial"/>
                  <w:sz w:val="16"/>
                  <w:szCs w:val="16"/>
                  <w:color w:val="0000FF"/>
                </w:rPr>
                <w:t>Form of Non Qualified Stock Option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Management Equity Incentive Plan (incorporated by reference to Exhibit 10.21 of Sabre Corporation’s Registration Statement on Form</w:t>
              </w:r>
            </w:hyperlink>
          </w:p>
        </w:tc>
        <w:tc>
          <w:tcPr>
            <w:tcW w:w="100" w:type="dxa"/>
            <w:vAlign w:val="bottom"/>
            <w:tcBorders>
              <w:bottom w:val="single" w:sz="8" w:color="0000FF"/>
            </w:tcBorders>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33"/>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S-1 filed with the Securities and Exchange Commission on January 21, 2014).</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130" w:right="4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ind w:left="3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040" w:type="dxa"/>
            <w:vAlign w:val="bottom"/>
            <w:gridSpan w:val="32"/>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040" w:type="dxa"/>
            <w:vAlign w:val="bottom"/>
            <w:gridSpan w:val="3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10.10</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40" w:type="dxa"/>
            <w:vAlign w:val="bottom"/>
            <w:tcBorders>
              <w:top w:val="single" w:sz="8" w:color="auto"/>
            </w:tcBorders>
            <w:gridSpan w:val="32"/>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Income Tax Receivable Agreement dated as of April 23, 2014 between Sabre Corporation and Sovereign Manager Co-Invest, LLC</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(incorporated by reference to Exhibit 10.1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Commission on April 23, 2014).</w:t>
              </w:r>
            </w:hyperlink>
          </w:p>
        </w:tc>
        <w:tc>
          <w:tcPr>
            <w:tcW w:w="7700" w:type="dxa"/>
            <w:vAlign w:val="bottom"/>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49">
              <w:r>
                <w:rPr>
                  <w:rFonts w:ascii="Arial" w:cs="Arial" w:eastAsia="Arial" w:hAnsi="Arial"/>
                  <w:sz w:val="16"/>
                  <w:szCs w:val="16"/>
                  <w:color w:val="0000FF"/>
                </w:rPr>
                <w:t>Amended and Restated Stockholders’ Agreement dated as of April 23, 2014 by and among Sabre Corporation and the stockholders</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party thereto (incorporated by reference to Exhibit 10.2 of Sabre Corporation’s Current Report on Form 8-K filed with the Securities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and Exchange Commission on April 23, 2014).</w:t>
              </w:r>
            </w:hyperlink>
          </w:p>
        </w:tc>
        <w:tc>
          <w:tcPr>
            <w:tcW w:w="642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Director and Officer Indemnification Agreement (incorporated by reference to Exhibit 10.20 of Sabre Corporation’s Annual</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Report on Form 10-K filed with the Securities and Exchange Commission on February 16, 2018).</w:t>
              </w:r>
            </w:hyperlink>
          </w:p>
        </w:tc>
        <w:tc>
          <w:tcPr>
            <w:tcW w:w="278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1">
              <w:r>
                <w:rPr>
                  <w:rFonts w:ascii="Arial" w:cs="Arial" w:eastAsia="Arial" w:hAnsi="Arial"/>
                  <w:sz w:val="16"/>
                  <w:szCs w:val="16"/>
                  <w:color w:val="0000FF"/>
                </w:rPr>
                <w:t>Form of Restricted Stock Unit Grant Agreement under the Sabre Corporation 2014 Omnibus Incentive Compensation Plan</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(incorporated by reference to Exhibit 10.49 of Sabre Corporation’s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Exchange Commission on May 5, 2015).</w:t>
              </w:r>
            </w:hyperlink>
          </w:p>
        </w:tc>
        <w:tc>
          <w:tcPr>
            <w:tcW w:w="67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Form of Non Qualified Stock Option Grant Agreement under the Sabre Corporation 2014 Omnibus Incentive Compensation Plan</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(incorporated by reference to Exhibit 10.50 of Sabre Corporation’s Quarterly Report on Form 10-Q filed with the Securities and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Exchange Commission on May 5, 2015).</w:t>
              </w:r>
            </w:hyperlink>
          </w:p>
        </w:tc>
        <w:tc>
          <w:tcPr>
            <w:tcW w:w="67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Form of Restricted Stock Unit Annual Grant Agreement for Non Employee Directors under the Sabre Corporation 2014 Omnibus</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Incentive Compensation Plan (incorporated by reference to Exhibit 10.51 of Sabre Corporation’s Amendment No. 3 to the Registration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Statement on Form S-1 filed with the Securities and Exchange Commission on March 26, 2014).</w:t>
              </w:r>
            </w:hyperlink>
          </w:p>
        </w:tc>
        <w:tc>
          <w:tcPr>
            <w:tcW w:w="3080" w:type="dxa"/>
            <w:vAlign w:val="bottom"/>
            <w:tcBorders>
              <w:top w:val="single" w:sz="8" w:color="0000FF"/>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Restricted Stock Unit Initial Grant Agreement for Non Employee Directors under the Sabre Corporation 2014 Omnibus</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Incentive Compensation Plan (incorporated by reference to Exhibit 10.52 of Sabre Corporation’s Amendment No. 3 to the Registration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Statement on Form S-1 filed with the Securities and Exchange Commission on March 26, 2014).</w:t>
              </w:r>
            </w:hyperlink>
          </w:p>
        </w:tc>
        <w:tc>
          <w:tcPr>
            <w:tcW w:w="3080" w:type="dxa"/>
            <w:vAlign w:val="bottom"/>
            <w:tcBorders>
              <w:top w:val="single" w:sz="8" w:color="0000FF"/>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5">
              <w:r>
                <w:rPr>
                  <w:rFonts w:ascii="Arial" w:cs="Arial" w:eastAsia="Arial" w:hAnsi="Arial"/>
                  <w:sz w:val="16"/>
                  <w:szCs w:val="16"/>
                  <w:color w:val="0000FF"/>
                </w:rPr>
                <w:t>Supplement No. 1, dated as of December 31, 2012, to the Pledge and Security Agreement dated as of May 9, 2012, among Sabre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Holdings Corporation, Sabre Inc., the subsidiary guarantors and Wells Fargo Bank, National Association, as collateral agent for the</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secured parties (incorporated by reference to Exhibit 10.53 of Sabre Corporation’s Amendment No. 4 to the Registration Statement on</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20"/>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Form S-1 filed with the Securities and Exchange Commission on March 31, 2014).</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6">
              <w:r>
                <w:rPr>
                  <w:rFonts w:ascii="Arial" w:cs="Arial" w:eastAsia="Arial" w:hAnsi="Arial"/>
                  <w:sz w:val="16"/>
                  <w:szCs w:val="16"/>
                  <w:color w:val="0000FF"/>
                </w:rPr>
                <w:t>Sabre Corporation Non-Employee Directors Compensation Deferral Plan dated October 29, 2014 (incorporated by reference to Exhibit</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10.</w:t>
              </w:r>
              <w:r>
                <w:rPr>
                  <w:rFonts w:ascii="Arial" w:cs="Arial" w:eastAsia="Arial" w:hAnsi="Arial"/>
                  <w:sz w:val="16"/>
                  <w:szCs w:val="16"/>
                  <w:u w:val="single" w:color="auto"/>
                  <w:color w:val="0000FF"/>
                </w:rPr>
                <w:t>57</w:t>
              </w:r>
              <w:r>
                <w:rPr>
                  <w:rFonts w:ascii="Arial" w:cs="Arial" w:eastAsia="Arial" w:hAnsi="Arial"/>
                  <w:sz w:val="16"/>
                  <w:szCs w:val="16"/>
                  <w:color w:val="0000FF"/>
                </w:rPr>
                <w:t xml:space="preserve"> of Sabre Corporation’s Registration Statement on Form S-1 filed with the Securities and Exchange Commission on January 26,</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2015).</w:t>
              </w:r>
            </w:hyperlink>
          </w:p>
        </w:tc>
        <w:tc>
          <w:tcPr>
            <w:tcW w:w="18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5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7">
              <w:r>
                <w:rPr>
                  <w:rFonts w:ascii="Arial" w:cs="Arial" w:eastAsia="Arial" w:hAnsi="Arial"/>
                  <w:sz w:val="16"/>
                  <w:szCs w:val="16"/>
                  <w:color w:val="0000FF"/>
                </w:rPr>
                <w:t>Second Amended and Restated Stockholders’ Agreement dated as of February 6, 2015 by and among Sabre Corporation and the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stockholders party thereto (incorporated by reference to Exhibit 10.58 of Sabre Corporation's Annual Report on Form 10-K filed with</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the Securities and Exchange Commission on March 3, 2015).</w:t>
              </w:r>
            </w:hyperlink>
          </w:p>
        </w:tc>
        <w:tc>
          <w:tcPr>
            <w:tcW w:w="544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8">
              <w:r>
                <w:rPr>
                  <w:rFonts w:ascii="Arial" w:cs="Arial" w:eastAsia="Arial" w:hAnsi="Arial"/>
                  <w:sz w:val="16"/>
                  <w:szCs w:val="16"/>
                  <w:color w:val="0000FF"/>
                </w:rPr>
                <w:t>Sabre Corporation Executive Deferred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Report on Form 8-K filed with the Securities and Exchange Commission on November 16, 2015).</w:t>
              </w:r>
            </w:hyperlink>
          </w:p>
        </w:tc>
        <w:tc>
          <w:tcPr>
            <w:tcW w:w="272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59">
              <w:r>
                <w:rPr>
                  <w:rFonts w:ascii="Arial" w:cs="Arial" w:eastAsia="Arial" w:hAnsi="Arial"/>
                  <w:sz w:val="16"/>
                  <w:szCs w:val="16"/>
                  <w:color w:val="0000FF"/>
                </w:rPr>
                <w:t>Sabre Corporation 2016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Current Report on Form 8-K filed with the Securities and Exchange Commission on May 26, 2016).</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60">
              <w:r>
                <w:rPr>
                  <w:rFonts w:ascii="Arial" w:cs="Arial" w:eastAsia="Arial" w:hAnsi="Arial"/>
                  <w:sz w:val="16"/>
                  <w:szCs w:val="16"/>
                  <w:color w:val="0000FF"/>
                </w:rPr>
                <w:t>Form of Restricted Stock Unit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(incorporated by reference to Exhibit 10.44 of Sabre Corporation’s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Exchange Commission on May 2, 2017).</w:t>
              </w:r>
            </w:hyperlink>
          </w:p>
        </w:tc>
        <w:tc>
          <w:tcPr>
            <w:tcW w:w="6720" w:type="dxa"/>
            <w:vAlign w:val="bottom"/>
            <w:tcBorders>
              <w:top w:val="single" w:sz="8" w:color="0000FF"/>
            </w:tcBorders>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61">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(incorporated by reference to Exhibit 10.45 of Sabre Corporation’s Quarterly Report on Form 10-Q filed with the Securities and</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Exchange Commission on May 2, 2017).</w:t>
              </w:r>
            </w:hyperlink>
          </w:p>
        </w:tc>
        <w:tc>
          <w:tcPr>
            <w:tcW w:w="6720" w:type="dxa"/>
            <w:vAlign w:val="bottom"/>
            <w:tcBorders>
              <w:top w:val="single" w:sz="8" w:color="0000FF"/>
            </w:tcBorders>
            <w:gridSpan w:val="9"/>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62">
              <w:r>
                <w:rPr>
                  <w:rFonts w:ascii="Arial" w:cs="Arial" w:eastAsia="Arial" w:hAnsi="Arial"/>
                  <w:sz w:val="16"/>
                  <w:szCs w:val="16"/>
                  <w:color w:val="0000FF"/>
                </w:rPr>
                <w:t>Joinder Agreement to Second Amended and Restated Stockholders' Agreement, dated January 5, 2016, by Sovereign Co-Invest II,</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LLC (incorporated by reference to Exhibit 10.66 of Sabre Corporation’s Quarterly Report on Form 10-Q filed with the Securities and</w:t>
              </w:r>
            </w:hyperlink>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Exchange Commission on April 28, 2016).</w:t>
              </w:r>
            </w:hyperlink>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6860" w:type="dxa"/>
            <w:vAlign w:val="bottom"/>
            <w:gridSpan w:val="2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r:id="rId163">
              <w:r>
                <w:rPr>
                  <w:rFonts w:ascii="Arial" w:cs="Arial" w:eastAsia="Arial" w:hAnsi="Arial"/>
                  <w:sz w:val="16"/>
                  <w:szCs w:val="16"/>
                  <w:color w:val="0000FF"/>
                </w:rPr>
                <w:t>Joinder Agreement to Amended and Restated Registration Rights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(incorporated by reference to Exhibit 10.67 of Sabre Corporation’s Quarterly Report on Form 10-Q filed with the Securities and</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Exchange Commission on April 28, 2016).</w:t>
              </w:r>
            </w:hyperlink>
          </w:p>
        </w:tc>
        <w:tc>
          <w:tcPr>
            <w:tcW w:w="40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130" w:right="4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30"/>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3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10.26+</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380" w:type="dxa"/>
            <w:vAlign w:val="bottom"/>
            <w:tcBorders>
              <w:top w:val="single" w:sz="8" w:color="auto"/>
            </w:tcBorders>
            <w:gridSpan w:val="30"/>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Sabre Corporation Executive Severance Plan (incorporated by reference to Exhibit 10.1 of Sabre Corporation’s Current Report</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on Form 8-K filed with the Securities and Exchange Commission on November 8,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0"/>
          </w:tcPr>
          <w:p>
            <w:pPr>
              <w:spacing w:after="0"/>
              <w:rPr>
                <w:rFonts w:ascii="Arial" w:cs="Arial" w:eastAsia="Arial" w:hAnsi="Arial"/>
                <w:sz w:val="16"/>
                <w:szCs w:val="16"/>
                <w:color w:val="0000FF"/>
              </w:rPr>
            </w:pPr>
            <w:hyperlink r:id="rId166">
              <w:r>
                <w:rPr>
                  <w:rFonts w:ascii="Arial" w:cs="Arial" w:eastAsia="Arial" w:hAnsi="Arial"/>
                  <w:sz w:val="16"/>
                  <w:szCs w:val="16"/>
                  <w:color w:val="0000FF"/>
                </w:rPr>
                <w:t>Form of Executive Officer Restricted Stock Unit Grant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Compensation Plan (incorporated by reference to Exhibit 10.37 of Sabre Corporation’s Quarterly Report on Form 10-Q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with the Securities and Exchange Commission on May 1, 2018).</w:t>
              </w:r>
            </w:hyperlink>
          </w:p>
        </w:tc>
        <w:tc>
          <w:tcPr>
            <w:tcW w:w="44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Non-Qualified Stock Option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Plan (incorporated by reference to Exhibit 10.38 of Sabre Corporation’s Quarterly Report on Form 10-Q filed with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Securities and Exchange Commission on May 1,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68">
              <w:r>
                <w:rPr>
                  <w:rFonts w:ascii="Arial" w:cs="Arial" w:eastAsia="Arial" w:hAnsi="Arial"/>
                  <w:sz w:val="16"/>
                  <w:szCs w:val="16"/>
                  <w:color w:val="0000FF"/>
                </w:rPr>
                <w:t>Form of Chairman of the Board Restricted Stock Unit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Compensation Plan (incorporated by reference to Exhibit 10.58 of Sabre Corporation’s Quarterly Report on Form 10-Q filed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with the Securities and Exchange Commission on May 1, 2018).</w:t>
              </w:r>
            </w:hyperlink>
          </w:p>
        </w:tc>
        <w:tc>
          <w:tcPr>
            <w:tcW w:w="44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Form of Global Form of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Plan (incorporated by reference to Exhibit 10.61 of Sabre Corporation’s Quarterly Report on Form 10-Q filed with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Securities and Exchange Commission on July 31,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0">
              <w:r>
                <w:rPr>
                  <w:rFonts w:ascii="Arial" w:cs="Arial" w:eastAsia="Arial" w:hAnsi="Arial"/>
                  <w:sz w:val="16"/>
                  <w:szCs w:val="16"/>
                  <w:color w:val="0000FF"/>
                </w:rPr>
                <w:t>Form of Global Form of Stock Option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Plan (incorporated by reference to Exhibit 10.62 of Sabre Corporation’s Quarterly Report on Form 10-Q filed with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Securities and Exchange Commission on July 31,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1">
              <w:r>
                <w:rPr>
                  <w:rFonts w:ascii="Arial" w:cs="Arial" w:eastAsia="Arial" w:hAnsi="Arial"/>
                  <w:sz w:val="16"/>
                  <w:szCs w:val="16"/>
                  <w:color w:val="0000FF"/>
                </w:rPr>
                <w:t>Form of Restricted Stock Unit Agreement under the Sabre Corporation the 2016 Omnibus Incentive Compensation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(incorporated by reference to Exhibit 10.68 of Sabre Corporation’s Quarterly Report on Form-1Q filed with the Securities and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Exchange Commission on May 1, 2019).</w:t>
              </w:r>
            </w:hyperlink>
          </w:p>
        </w:tc>
        <w:tc>
          <w:tcPr>
            <w:tcW w:w="61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2">
              <w:r>
                <w:rPr>
                  <w:rFonts w:ascii="Arial" w:cs="Arial" w:eastAsia="Arial" w:hAnsi="Arial"/>
                  <w:sz w:val="16"/>
                  <w:szCs w:val="16"/>
                  <w:color w:val="0000FF"/>
                </w:rPr>
                <w:t>Form of Executive Officer Stock Option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Plan (incorporated by reference to Exhibit 10.69 of Sabre Corporation’s Quarterly Report on Form 10-Q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Securities and Exchange Commission on May 1, 2019).</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3">
              <w:r>
                <w:rPr>
                  <w:rFonts w:ascii="Arial" w:cs="Arial" w:eastAsia="Arial" w:hAnsi="Arial"/>
                  <w:sz w:val="16"/>
                  <w:szCs w:val="16"/>
                  <w:color w:val="0000FF"/>
                </w:rPr>
                <w:t>Form of Executive Officer Restricted Stock Unit Grant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Compensation Plan (incorporated by reference to Exhibit 10.70 of Sabre Corporation’s Quarterly Report on Form 10-Q filed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with the Securities and Exchange Commission on May 1, 2019).</w:t>
              </w:r>
            </w:hyperlink>
          </w:p>
        </w:tc>
        <w:tc>
          <w:tcPr>
            <w:tcW w:w="44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4">
              <w:r>
                <w:rPr>
                  <w:rFonts w:ascii="Arial" w:cs="Arial" w:eastAsia="Arial" w:hAnsi="Arial"/>
                  <w:sz w:val="16"/>
                  <w:szCs w:val="16"/>
                  <w:color w:val="0000FF"/>
                </w:rPr>
                <w:t>Form of Non-Executive Chairman Restricted Stock Unit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Compensation Plan (incorporated by reference to Exhibit 10.71 of Sabre Corporation’s Quarterly Report on Form 10-Q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with the Securities and Exchange Commission on May 1, 2019).</w:t>
              </w:r>
            </w:hyperlink>
          </w:p>
        </w:tc>
        <w:tc>
          <w:tcPr>
            <w:tcW w:w="44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5">
              <w:r>
                <w:rPr>
                  <w:rFonts w:ascii="Arial" w:cs="Arial" w:eastAsia="Arial" w:hAnsi="Arial"/>
                  <w:sz w:val="16"/>
                  <w:szCs w:val="16"/>
                  <w:color w:val="0000FF"/>
                </w:rPr>
                <w:t>Form of Non-Employee Director Restricted Stock Unit Annual Grant Agreement under the Sabre Corporation 2016 Omnibus</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Incentive Compensation Plan (incorporated by reference to Exhibit 10.72 of Sabre Corporation’s Quarterly Report on Form 10-</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gridSpan w:val="26"/>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Q filed with the Securities and Exchange Commission on May 1, 2019).</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6">
              <w:r>
                <w:rPr>
                  <w:rFonts w:ascii="Arial" w:cs="Arial" w:eastAsia="Arial" w:hAnsi="Arial"/>
                  <w:sz w:val="16"/>
                  <w:szCs w:val="16"/>
                  <w:color w:val="0000FF"/>
                </w:rPr>
                <w:t>Sabre Corporation 2019 Omnibus Incentive Compensation Plan (incorporated by reference to Exhibit 10.1 of Sabre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Corporation’s Current Report on Form 8-K filed with the Securities and Exchange Commission on April 24, 2019).</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7">
              <w:r>
                <w:rPr>
                  <w:rFonts w:ascii="Arial" w:cs="Arial" w:eastAsia="Arial" w:hAnsi="Arial"/>
                  <w:sz w:val="16"/>
                  <w:szCs w:val="16"/>
                  <w:color w:val="0000FF"/>
                </w:rPr>
                <w:t>Sabre Corporation 2019 Director Equity Compensation Plan (incorporated by reference to Exhibit 10.2 of Sabre Corporation’s</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Current Report on Form 8-K filed with the Securities and Exchange Commission on April 24, 2019).</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8">
              <w:r>
                <w:rPr>
                  <w:rFonts w:ascii="Arial" w:cs="Arial" w:eastAsia="Arial" w:hAnsi="Arial"/>
                  <w:sz w:val="16"/>
                  <w:szCs w:val="16"/>
                  <w:color w:val="0000FF"/>
                </w:rPr>
                <w:t>Form of Executive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(incorporated by reference to Exhibit 10.75 of Sabre Corporation’s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Exchange Commission on August 1, 2019).</w:t>
              </w:r>
            </w:hyperlink>
          </w:p>
        </w:tc>
        <w:tc>
          <w:tcPr>
            <w:tcW w:w="596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Form of Restricted Stock Unit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(incorporated by reference to Exhibit 10.76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Exchange Commission on August 1, 2019).</w:t>
              </w:r>
            </w:hyperlink>
          </w:p>
        </w:tc>
        <w:tc>
          <w:tcPr>
            <w:tcW w:w="596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80">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Compensation Plan. incorporated by reference to Exhibit 10.77 of Sabre Corporation’s Quarterly Report on Form 10-Q filed</w:t>
              </w:r>
            </w:hyperlink>
          </w:p>
        </w:tc>
        <w:tc>
          <w:tcPr>
            <w:tcW w:w="60" w:type="dxa"/>
            <w:vAlign w:val="bottom"/>
            <w:tcBorders>
              <w:bottom w:val="single" w:sz="8" w:color="0000FF"/>
            </w:tcBorders>
            <w:gridSpan w:val="3"/>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with the Securities and Exchange Commission on August 1, 2019).</w:t>
              </w:r>
            </w:hyperlink>
          </w:p>
        </w:tc>
        <w:tc>
          <w:tcPr>
            <w:tcW w:w="4380" w:type="dxa"/>
            <w:vAlign w:val="bottom"/>
            <w:gridSpan w:val="13"/>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0"/>
          </w:tcPr>
          <w:p>
            <w:pPr>
              <w:spacing w:after="0"/>
              <w:rPr>
                <w:rFonts w:ascii="Arial" w:cs="Arial" w:eastAsia="Arial" w:hAnsi="Arial"/>
                <w:sz w:val="16"/>
                <w:szCs w:val="16"/>
                <w:color w:val="0000FF"/>
              </w:rPr>
            </w:pPr>
            <w:hyperlink r:id="rId181">
              <w:r>
                <w:rPr>
                  <w:rFonts w:ascii="Arial" w:cs="Arial" w:eastAsia="Arial" w:hAnsi="Arial"/>
                  <w:sz w:val="16"/>
                  <w:szCs w:val="16"/>
                  <w:color w:val="0000FF"/>
                </w:rPr>
                <w:t>Payment and Termination Agreement, dated December 18, 2019 by and between Sabre Corporation and Sovereign Manager</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181">
              <w:r>
                <w:rPr>
                  <w:rFonts w:ascii="Arial" w:cs="Arial" w:eastAsia="Arial" w:hAnsi="Arial"/>
                  <w:sz w:val="16"/>
                  <w:szCs w:val="16"/>
                  <w:color w:val="0000FF"/>
                </w:rPr>
                <w:t>Co-Invest, LLC (incorporated by reference to Exhibit 10.78 of Sabre Corporation’s Annual Report on Form 10-K filed with the</w:t>
              </w:r>
            </w:hyperlink>
          </w:p>
        </w:tc>
        <w:tc>
          <w:tcPr>
            <w:tcW w:w="4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Securities and Exchange Commission on February 26, 2020)</w:t>
              </w:r>
            </w:hyperlink>
          </w:p>
        </w:tc>
        <w:tc>
          <w:tcPr>
            <w:tcW w:w="4540" w:type="dxa"/>
            <w:vAlign w:val="bottom"/>
            <w:tcBorders>
              <w:top w:val="single" w:sz="8" w:color="0000FF"/>
            </w:tcBorders>
            <w:gridSpan w:val="7"/>
          </w:tcPr>
          <w:p>
            <w:pPr>
              <w:spacing w:after="0"/>
              <w:rPr>
                <w:sz w:val="14"/>
                <w:szCs w:val="14"/>
                <w:color w:val="auto"/>
              </w:rPr>
            </w:pPr>
          </w:p>
        </w:tc>
        <w:tc>
          <w:tcPr>
            <w:tcW w:w="4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76835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1130" w:right="7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10120" w:type="dxa"/>
            <w:vAlign w:val="bottom"/>
            <w:gridSpan w:val="28"/>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10120" w:type="dxa"/>
            <w:vAlign w:val="bottom"/>
            <w:gridSpan w:val="2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jc w:val="right"/>
              <w:ind w:right="659"/>
              <w:spacing w:after="0" w:line="169" w:lineRule="exact"/>
              <w:rPr>
                <w:sz w:val="20"/>
                <w:szCs w:val="20"/>
                <w:color w:val="auto"/>
              </w:rPr>
            </w:pPr>
            <w:r>
              <w:rPr>
                <w:rFonts w:ascii="Arial" w:cs="Arial" w:eastAsia="Arial" w:hAnsi="Arial"/>
                <w:sz w:val="16"/>
                <w:szCs w:val="16"/>
                <w:color w:val="auto"/>
              </w:rPr>
              <w:t>10.43+</w:t>
            </w:r>
          </w:p>
        </w:tc>
        <w:tc>
          <w:tcPr>
            <w:tcW w:w="120" w:type="dxa"/>
            <w:vAlign w:val="bottom"/>
          </w:tcPr>
          <w:p>
            <w:pPr>
              <w:spacing w:after="0"/>
              <w:rPr>
                <w:sz w:val="14"/>
                <w:szCs w:val="14"/>
                <w:color w:val="auto"/>
              </w:rPr>
            </w:pPr>
          </w:p>
        </w:tc>
        <w:tc>
          <w:tcPr>
            <w:tcW w:w="10120" w:type="dxa"/>
            <w:vAlign w:val="bottom"/>
            <w:tcBorders>
              <w:top w:val="single" w:sz="8" w:color="auto"/>
            </w:tcBorders>
            <w:gridSpan w:val="28"/>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Form of Award Agreement for Long-Term Cash Program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(incorporated by reference to Exhibit 10.01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40" w:type="dxa"/>
            <w:vAlign w:val="bottom"/>
            <w:gridSpan w:val="24"/>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Commission on March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4">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Compensation Plan (incorporated by reference to Exhibit 10.80 of Sabre Corporation’s Quarterly Report on Form 10-Q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Securities and Exchange Commission on May 8, 2020).</w:t>
              </w:r>
            </w:hyperlink>
          </w:p>
        </w:tc>
        <w:tc>
          <w:tcPr>
            <w:tcW w:w="606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5">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(incorporated by reference to Exhibit 10.81 of Sabre Corporation’s Quarterly Report on Form 10-Q filed with the Securities and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Exchange Commission on May 8,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6">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by reference to Exhibit 10.82 of Sabre Corporation’s Quarterly Report on Form 10-Q filed with the Securities and Exchange Commission</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gridSpan w:val="13"/>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on May 8,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7">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Plan (incorporated by reference to Exhibit 10.83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Exchange Commission on May 8,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Form of Executive Restricted Stock Unit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(incorporated by reference to Exhibit 10.84 of Sabre Corporation’s Quarterly Report on Form 10-Q filed with the Securities and</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Exchange Commission on August 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89">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(incorporated by reference to Exhibit 10.85 of Sabre Corporation’s Quarterly Report on Form 10-Q filed with the Securities and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Exchange Commission on August 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0">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Plan (incorporated by reference to Exhibit 10.86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Exchange Commission on August 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Plan (incorporated by reference to Exhibit 10.87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Exchange Commission on August 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2">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by reference to Exhibit 10.88 of Sabre Corporation’s Quarterly Report on Form 10-Q filed with the Securities and Exchange Commission</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on August 7,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3">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Plan (incorporated by reference to Exhibit 10.89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Exchange Commission on August 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4">
              <w:r>
                <w:rPr>
                  <w:rFonts w:ascii="Arial" w:cs="Arial" w:eastAsia="Arial" w:hAnsi="Arial"/>
                  <w:sz w:val="16"/>
                  <w:szCs w:val="16"/>
                  <w:color w:val="0000FF"/>
                </w:rPr>
                <w:t>Form of Non-Employee Director Restricted Stock Unit Grant Agreement (Initial Grant)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Compensation Plan (incorporated by reference to Exhibit 10.90 of Sabre Corporation’s Quarterly Report on Form 10-Q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Securities and Exchange Commission on August 7, 2020).</w:t>
              </w:r>
            </w:hyperlink>
          </w:p>
        </w:tc>
        <w:tc>
          <w:tcPr>
            <w:tcW w:w="586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5">
              <w:r>
                <w:rPr>
                  <w:rFonts w:ascii="Arial" w:cs="Arial" w:eastAsia="Arial" w:hAnsi="Arial"/>
                  <w:sz w:val="16"/>
                  <w:szCs w:val="16"/>
                  <w:color w:val="0000FF"/>
                </w:rPr>
                <w:t>Letter Agreement by and between Sabre Corporation and Roshan Mendis, dated June 2, 2020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10.</w:t>
              </w:r>
              <w:r>
                <w:rPr>
                  <w:rFonts w:ascii="Arial" w:cs="Arial" w:eastAsia="Arial" w:hAnsi="Arial"/>
                  <w:sz w:val="16"/>
                  <w:szCs w:val="16"/>
                  <w:u w:val="single" w:color="auto"/>
                  <w:color w:val="0000FF"/>
                </w:rPr>
                <w:t>91</w:t>
              </w:r>
              <w:r>
                <w:rPr>
                  <w:rFonts w:ascii="Arial" w:cs="Arial" w:eastAsia="Arial" w:hAnsi="Arial"/>
                  <w:sz w:val="16"/>
                  <w:szCs w:val="16"/>
                  <w:color w:val="0000FF"/>
                </w:rPr>
                <w:t xml:space="preserve"> of Sabre Corporation’s Quarterly Report on Form 10-Q filed with the Securities and Exchange Commission on August 7, 2020).</w:t>
              </w:r>
            </w:hyperlink>
          </w:p>
        </w:tc>
        <w:tc>
          <w:tcPr>
            <w:tcW w:w="24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6">
              <w:r>
                <w:rPr>
                  <w:rFonts w:ascii="Arial" w:cs="Arial" w:eastAsia="Arial" w:hAnsi="Arial"/>
                  <w:sz w:val="16"/>
                  <w:szCs w:val="16"/>
                  <w:color w:val="0000FF"/>
                </w:rPr>
                <w:t>Letter Agreement between Sabre Corporation and Shawn Williams dated July 15, 2020 (incorporated by reference to Exhibit 10.94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Sabre Corporation’s Quarterly Report on Form 10-Q filed with the Securities and Exchange Commission on November 6, 2020).</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gridSpan w:val="8"/>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7">
              <w:r>
                <w:rPr>
                  <w:rFonts w:ascii="Arial" w:cs="Arial" w:eastAsia="Arial" w:hAnsi="Arial"/>
                  <w:sz w:val="16"/>
                  <w:szCs w:val="16"/>
                  <w:color w:val="0000FF"/>
                </w:rPr>
                <w:t>Sabre Corporation 2021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Current Report on Form 8-K filed with the Securities and Exchange Commission on April 29, 2021).</w:t>
              </w:r>
            </w:hyperlink>
          </w:p>
        </w:tc>
        <w:tc>
          <w:tcPr>
            <w:tcW w:w="276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8">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10.99 of Sabre Corporation’s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Exchange Commission on May 4, 2021).</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199">
              <w:r>
                <w:rPr>
                  <w:rFonts w:ascii="Arial" w:cs="Arial" w:eastAsia="Arial" w:hAnsi="Arial"/>
                  <w:sz w:val="16"/>
                  <w:szCs w:val="16"/>
                  <w:color w:val="0000FF"/>
                </w:rPr>
                <w:t>Form of Non-Employee Director Restricted Stock Unit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Plan (incorporated by reference to Exhibit 10.100 of Sabre Corporation’s Quarterly Report on Form 10-Q filed with the Securities and</w:t>
              </w:r>
            </w:hyperlink>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Exchange Commission on May 4, 2021).</w:t>
              </w:r>
            </w:hyperlink>
          </w:p>
        </w:tc>
        <w:tc>
          <w:tcPr>
            <w:tcW w:w="8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200">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(incorporated by reference to Exhibit 10.101 of Sabre Corporation’s Quarterly Report on Form 10-Q filed with the Securities and</w:t>
              </w:r>
            </w:hyperlink>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Exchange Commission on May 4, 2021).</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72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c>
          <w:tcPr>
            <w:tcW w:w="10120" w:type="dxa"/>
            <w:vAlign w:val="bottom"/>
            <w:gridSpan w:val="28"/>
          </w:tcPr>
          <w:p>
            <w:pPr>
              <w:spacing w:after="0"/>
              <w:rPr>
                <w:rFonts w:ascii="Arial" w:cs="Arial" w:eastAsia="Arial" w:hAnsi="Arial"/>
                <w:sz w:val="16"/>
                <w:szCs w:val="16"/>
                <w:color w:val="0000FF"/>
              </w:rPr>
            </w:pPr>
            <w:hyperlink r:id="rId201">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(incorporated by reference to Exhibit 10.102 of Sabre Corporation’s Quarterly Report on Form 10-Q filed with the Securities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Exchange Commission on May 4, 2021).</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40" w:type="dxa"/>
            <w:vAlign w:val="bottom"/>
            <w:gridSpan w:val="36"/>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40" w:type="dxa"/>
            <w:vAlign w:val="bottom"/>
            <w:gridSpan w:val="3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10.62</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40" w:type="dxa"/>
            <w:vAlign w:val="bottom"/>
            <w:tcBorders>
              <w:top w:val="single" w:sz="8" w:color="auto"/>
            </w:tcBorders>
            <w:gridSpan w:val="36"/>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Sales Agreement, dated August 19, 2021, by and between Sabre Corporation and BofA Securities, Inc., Citigroup Global Markets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and Mizuho Securities USA LLC (incorporated by reference to Exhibit 1.1 of Sabre Corporation’s Current Report on Form 8-K filed with</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the Securities and Exchange Commission on August 19, 2021).</w:t>
              </w:r>
            </w:hyperlink>
          </w:p>
        </w:tc>
        <w:tc>
          <w:tcPr>
            <w:tcW w:w="5560" w:type="dxa"/>
            <w:vAlign w:val="bottom"/>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4">
              <w:r>
                <w:rPr>
                  <w:rFonts w:ascii="Arial" w:cs="Arial" w:eastAsia="Arial" w:hAnsi="Arial"/>
                  <w:sz w:val="16"/>
                  <w:szCs w:val="16"/>
                  <w:color w:val="0000FF"/>
                </w:rPr>
                <w:t>Employment Agreement, by and between Sabre Global Technologies Limited and Roshan Mendis, effective from January 1, 2022</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(incorporated by reference to Exhibit 10.113 of Sabre Corporation’s Annual Report on Form 10-K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Commission on February 18, 2022).</w:t>
              </w:r>
            </w:hyperlink>
          </w:p>
        </w:tc>
        <w:tc>
          <w:tcPr>
            <w:tcW w:w="73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5">
              <w:r>
                <w:rPr>
                  <w:rFonts w:ascii="Arial" w:cs="Arial" w:eastAsia="Arial" w:hAnsi="Arial"/>
                  <w:sz w:val="16"/>
                  <w:szCs w:val="16"/>
                  <w:color w:val="0000FF"/>
                </w:rPr>
                <w:t>Sabre Corporation 2022 Director Equity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Report on Form 8-K filed with the Securities and Exchange Commission on April 29,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6">
              <w:r>
                <w:rPr>
                  <w:rFonts w:ascii="Arial" w:cs="Arial" w:eastAsia="Arial" w:hAnsi="Arial"/>
                  <w:sz w:val="16"/>
                  <w:szCs w:val="16"/>
                  <w:color w:val="0000FF"/>
                </w:rPr>
                <w:t>Offer Letter by and between Sabre Corporation and Mike Randolfi, effective August 22, 2022 (incorporated by reference to Exhibit 10.1</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of Sabre Corporation’s Current Report on Form 8-K filed with the Securities and Exchange Commission on July 28,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7">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(incorporated by reference to the Exhibit 10.110 of Sabre Corporation’s Quarterly Report on Form 10-Q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gridSpan w:val="32"/>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Exchange Commission on August 2,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8">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(incorporated by reference to the Exhibit 10.111 of Sabre Corporation’s Quarterly Report on Form 10-Q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5"/>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Exchange Commission on August 2, 2022).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09">
              <w:r>
                <w:rPr>
                  <w:rFonts w:ascii="Arial" w:cs="Arial" w:eastAsia="Arial" w:hAnsi="Arial"/>
                  <w:sz w:val="16"/>
                  <w:szCs w:val="16"/>
                  <w:color w:val="0000FF"/>
                </w:rPr>
                <w:t>Offer Letter by and between Sabre Corporation and Garry Wiseman effective August 1, 2022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10.</w:t>
              </w:r>
              <w:r>
                <w:rPr>
                  <w:rFonts w:ascii="Arial" w:cs="Arial" w:eastAsia="Arial" w:hAnsi="Arial"/>
                  <w:sz w:val="16"/>
                  <w:szCs w:val="16"/>
                  <w:u w:val="single" w:color="auto"/>
                  <w:color w:val="0000FF"/>
                </w:rPr>
                <w:t>114</w:t>
              </w:r>
              <w:r>
                <w:rPr>
                  <w:rFonts w:ascii="Arial" w:cs="Arial" w:eastAsia="Arial" w:hAnsi="Arial"/>
                  <w:sz w:val="16"/>
                  <w:szCs w:val="16"/>
                  <w:color w:val="0000FF"/>
                </w:rPr>
                <w:t xml:space="preserve"> of Sabre Corporation’s Quarterly Report on Form 10-Q filed with the Securities and Exchange Commission on November 2,</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09">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0">
              <w:r>
                <w:rPr>
                  <w:rFonts w:ascii="Arial" w:cs="Arial" w:eastAsia="Arial" w:hAnsi="Arial"/>
                  <w:sz w:val="16"/>
                  <w:szCs w:val="16"/>
                  <w:color w:val="0000FF"/>
                </w:rPr>
                <w:t>Receivables Financing Agreement, dated as of the Closing Date, among the SPE, Sabre GLBL, Inc. and Sabre Global Technologies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Limited, as initial servicers, the Administrative Agent, the lenders party thereto, and PNC Bank, N.A. (incorporated by reference to</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Exhibit 10.1 of Sabre Corporation’s Current Report on Form 8-K filed with the Securities and Exchange Commission on February 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10">
              <w:r>
                <w:rPr>
                  <w:rFonts w:ascii="Arial" w:cs="Arial" w:eastAsia="Arial" w:hAnsi="Arial"/>
                  <w:sz w:val="16"/>
                  <w:szCs w:val="16"/>
                  <w:color w:val="0000FF"/>
                  <w:w w:val="92"/>
                </w:rPr>
                <w:t>2023).</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1">
              <w:r>
                <w:rPr>
                  <w:rFonts w:ascii="Arial" w:cs="Arial" w:eastAsia="Arial" w:hAnsi="Arial"/>
                  <w:sz w:val="16"/>
                  <w:szCs w:val="16"/>
                  <w:color w:val="0000FF"/>
                </w:rPr>
                <w:t>Offer Letter by and between Sabre and Kurt Ekert, dated February 28, 2023. (incorporated by reference to Exhibit 10.2 of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Corporation’s Current Report on Form 8-K filed with the Securities and Exchange Commission on March 1, 2023).</w:t>
              </w:r>
            </w:hyperlink>
          </w:p>
        </w:tc>
        <w:tc>
          <w:tcPr>
            <w:tcW w:w="170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2">
              <w:r>
                <w:rPr>
                  <w:rFonts w:ascii="Arial" w:cs="Arial" w:eastAsia="Arial" w:hAnsi="Arial"/>
                  <w:sz w:val="16"/>
                  <w:szCs w:val="16"/>
                  <w:color w:val="0000FF"/>
                </w:rPr>
                <w:t>Sale and Contribution Agreement, dated as of March 30, 2023, by and among Sabre Securitization, LLC, Sabre GLBL Inc., GetThere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L.P., Radixx Solutions International, Inc. and Prism Group, Inc. (incorporated by reference to Exhibit 10.1 of Sabre Corporation’s Current</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4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Report on Form 8-K filed with the Securities and Exchange Commission on March 31, 2023).</w:t>
              </w:r>
            </w:hyperlink>
          </w:p>
        </w:tc>
        <w:tc>
          <w:tcPr>
            <w:tcW w:w="3540" w:type="dxa"/>
            <w:vAlign w:val="bottom"/>
            <w:gridSpan w:val="2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3">
              <w:r>
                <w:rPr>
                  <w:rFonts w:ascii="Arial" w:cs="Arial" w:eastAsia="Arial" w:hAnsi="Arial"/>
                  <w:sz w:val="16"/>
                  <w:szCs w:val="16"/>
                  <w:color w:val="0000FF"/>
                </w:rPr>
                <w:t>English Sale Agreement, dated as of March 30, 2023, by and among Sabre Securitization, LLC and Sabre Global Technologies Limited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Commission on March 31, 2023).</w:t>
              </w:r>
            </w:hyperlink>
          </w:p>
        </w:tc>
        <w:tc>
          <w:tcPr>
            <w:tcW w:w="7740" w:type="dxa"/>
            <w:vAlign w:val="bottom"/>
            <w:gridSpan w:val="28"/>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4">
              <w:r>
                <w:rPr>
                  <w:rFonts w:ascii="Arial" w:cs="Arial" w:eastAsia="Arial" w:hAnsi="Arial"/>
                  <w:sz w:val="16"/>
                  <w:szCs w:val="16"/>
                  <w:color w:val="0000FF"/>
                </w:rPr>
                <w:t>Sabre Corporation 2023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Current Report on Form 8-K filed with the Securities and Exchange Commission on April 28, 2023).</w:t>
              </w:r>
            </w:hyperlink>
          </w:p>
        </w:tc>
        <w:tc>
          <w:tcPr>
            <w:tcW w:w="2720" w:type="dxa"/>
            <w:vAlign w:val="bottom"/>
            <w:tcBorders>
              <w:top w:val="single" w:sz="8" w:color="0000FF"/>
            </w:tcBorders>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5">
              <w:r>
                <w:rPr>
                  <w:rFonts w:ascii="Arial" w:cs="Arial" w:eastAsia="Arial" w:hAnsi="Arial"/>
                  <w:sz w:val="16"/>
                  <w:szCs w:val="16"/>
                  <w:color w:val="0000FF"/>
                </w:rPr>
                <w:t>Form of Non-Employee Director Restricted Unit Grant Agreement under the Sabre Corporation 2022 Director Equity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(incorporated by reference to Exhibit 10.123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Exchange Commission on August 3, 2023).</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6">
              <w:r>
                <w:rPr>
                  <w:rFonts w:ascii="Arial" w:cs="Arial" w:eastAsia="Arial" w:hAnsi="Arial"/>
                  <w:sz w:val="16"/>
                  <w:szCs w:val="16"/>
                  <w:color w:val="0000FF"/>
                </w:rPr>
                <w:t>Form of Executive Restricted Stock Unit Grant Agreement under the Sabre Corporation 2023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(incorporated by reference to Exhibit 10.124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Exchange Commission on August 3, 2023).</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7">
              <w:r>
                <w:rPr>
                  <w:rFonts w:ascii="Arial" w:cs="Arial" w:eastAsia="Arial" w:hAnsi="Arial"/>
                  <w:sz w:val="16"/>
                  <w:szCs w:val="16"/>
                  <w:color w:val="0000FF"/>
                </w:rPr>
                <w:t>Form of Executive Restricted Stock Unit Grant Agreement under the Sabre Corporation 2023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(incorporated by reference to Exhibit 10.125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Exchange Commission on August 3, 2023).</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8">
              <w:r>
                <w:rPr>
                  <w:rFonts w:ascii="Arial" w:cs="Arial" w:eastAsia="Arial" w:hAnsi="Arial"/>
                  <w:sz w:val="16"/>
                  <w:szCs w:val="16"/>
                  <w:color w:val="0000FF"/>
                </w:rPr>
                <w:t>Pledge and Security Agreement, dated as of September 7, 2023,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8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Exhibit 10.1 of Sabre Corporation’s Current Report on Form 8-K filed with the Securities and Exchange Commission on September 7,</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18">
              <w:r>
                <w:rPr>
                  <w:rFonts w:ascii="Arial" w:cs="Arial" w:eastAsia="Arial" w:hAnsi="Arial"/>
                  <w:sz w:val="16"/>
                  <w:szCs w:val="16"/>
                  <w:color w:val="0000FF"/>
                  <w:w w:val="92"/>
                </w:rPr>
                <w:t>2023).</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6"/>
          </w:tcPr>
          <w:p>
            <w:pPr>
              <w:spacing w:after="0"/>
              <w:rPr>
                <w:rFonts w:ascii="Arial" w:cs="Arial" w:eastAsia="Arial" w:hAnsi="Arial"/>
                <w:sz w:val="16"/>
                <w:szCs w:val="16"/>
                <w:color w:val="0000FF"/>
              </w:rPr>
            </w:pPr>
            <w:hyperlink r:id="rId219">
              <w:r>
                <w:rPr>
                  <w:rFonts w:ascii="Arial" w:cs="Arial" w:eastAsia="Arial" w:hAnsi="Arial"/>
                  <w:sz w:val="16"/>
                  <w:szCs w:val="16"/>
                  <w:color w:val="0000FF"/>
                </w:rPr>
                <w:t>First Amendment to Receivables Financing Agreement, dated as of March 29, 2024, among Sabre Securitization, LLC, as borrower,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Sabre Corporation, as parent, Sabre GLBL, Inc. and Sabre Global Technologies Limited, as servicers, PNC Bank, National Association,</w:t>
              </w:r>
            </w:hyperlink>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as administrative agent and Class A Lender Representative, Centerbridge Credit CS, L.P., as Class B Lender Representative, the</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lenders party thereto, and PNC Capital Markets LLC, as structuring agent (incorporated by reference to Exhibit 10.1 of Sabre</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Corporation’s Current Report on Form 8-K filed with the Securities and Exchange Commission on April 3, 2024).</w:t>
              </w:r>
            </w:hyperlink>
          </w:p>
        </w:tc>
        <w:tc>
          <w:tcPr>
            <w:tcW w:w="3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100" w:type="dxa"/>
            <w:vAlign w:val="bottom"/>
            <w:gridSpan w:val="27"/>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100" w:type="dxa"/>
            <w:vAlign w:val="bottom"/>
            <w:gridSpan w:val="2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10.79+</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00" w:type="dxa"/>
            <w:vAlign w:val="bottom"/>
            <w:tcBorders>
              <w:top w:val="single" w:sz="8" w:color="auto"/>
            </w:tcBorders>
            <w:gridSpan w:val="27"/>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Form of Non-Employee Director Restricted Stock Unit Agreement under the Sabre Corporation 2024 Director Equity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(incorporated by reference to Exhibit 10.143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Exchange Commission on August 1,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2">
              <w:r>
                <w:rPr>
                  <w:rFonts w:ascii="Arial" w:cs="Arial" w:eastAsia="Arial" w:hAnsi="Arial"/>
                  <w:sz w:val="16"/>
                  <w:szCs w:val="16"/>
                  <w:color w:val="0000FF"/>
                </w:rPr>
                <w:t>Form of Executive Restricted Stock Unit Grant Agreement under the Sabre Corporation 2024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(incorporated by reference to Exhibit 10.144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Exchange Commission on August 1,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3">
              <w:r>
                <w:rPr>
                  <w:rFonts w:ascii="Arial" w:cs="Arial" w:eastAsia="Arial" w:hAnsi="Arial"/>
                  <w:sz w:val="16"/>
                  <w:szCs w:val="16"/>
                  <w:color w:val="0000FF"/>
                </w:rPr>
                <w:t>Form of Executive Restricted Stock Unit Grant Agreement under the Sabre Corporation 2024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(incorporated by reference to Exhibit 10.145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Exchange Commission on August 1,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4">
              <w:r>
                <w:rPr>
                  <w:rFonts w:ascii="Arial" w:cs="Arial" w:eastAsia="Arial" w:hAnsi="Arial"/>
                  <w:sz w:val="16"/>
                  <w:szCs w:val="16"/>
                  <w:color w:val="0000FF"/>
                </w:rPr>
                <w:t>Offer letter by and between Sabre Corporation and Rochelle Boas effective October 14, 2024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10.</w:t>
              </w:r>
              <w:r>
                <w:rPr>
                  <w:rFonts w:ascii="Arial" w:cs="Arial" w:eastAsia="Arial" w:hAnsi="Arial"/>
                  <w:sz w:val="16"/>
                  <w:szCs w:val="16"/>
                  <w:u w:val="single" w:color="auto"/>
                  <w:color w:val="0000FF"/>
                </w:rPr>
                <w:t>146</w:t>
              </w:r>
              <w:r>
                <w:rPr>
                  <w:rFonts w:ascii="Arial" w:cs="Arial" w:eastAsia="Arial" w:hAnsi="Arial"/>
                  <w:sz w:val="16"/>
                  <w:szCs w:val="16"/>
                  <w:color w:val="0000FF"/>
                </w:rPr>
                <w:t xml:space="preserve"> of Sabre Corporation’s Quarterly Report on Form 10-Q filed with the Securities and Exchange Commission on October 31,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24">
              <w:r>
                <w:rPr>
                  <w:rFonts w:ascii="Arial" w:cs="Arial" w:eastAsia="Arial" w:hAnsi="Arial"/>
                  <w:sz w:val="16"/>
                  <w:szCs w:val="16"/>
                  <w:color w:val="0000FF"/>
                  <w:w w:val="92"/>
                </w:rPr>
                <w:t>2024).</w:t>
              </w:r>
            </w:hyperlink>
          </w:p>
        </w:tc>
        <w:tc>
          <w:tcPr>
            <w:tcW w:w="22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5">
              <w:r>
                <w:rPr>
                  <w:rFonts w:ascii="Arial" w:cs="Arial" w:eastAsia="Arial" w:hAnsi="Arial"/>
                  <w:sz w:val="16"/>
                  <w:szCs w:val="16"/>
                  <w:color w:val="0000FF"/>
                </w:rPr>
                <w:t>Pledge and Security Agreement, dated as of November 25, 2024,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Exhibit 10.1 of Sabre Corporation’s Current Report on Form 8-K filed with the Securities and Exchange Commission on December 2,</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0000FF"/>
            </w:tcBorders>
          </w:tcPr>
          <w:p>
            <w:pPr>
              <w:spacing w:after="0" w:line="142" w:lineRule="exact"/>
              <w:rPr>
                <w:rFonts w:ascii="Arial" w:cs="Arial" w:eastAsia="Arial" w:hAnsi="Arial"/>
                <w:sz w:val="16"/>
                <w:szCs w:val="16"/>
                <w:color w:val="0000FF"/>
                <w:w w:val="92"/>
              </w:rPr>
            </w:pPr>
            <w:hyperlink r:id="rId225">
              <w:r>
                <w:rPr>
                  <w:rFonts w:ascii="Arial" w:cs="Arial" w:eastAsia="Arial" w:hAnsi="Arial"/>
                  <w:sz w:val="16"/>
                  <w:szCs w:val="16"/>
                  <w:color w:val="0000FF"/>
                  <w:w w:val="92"/>
                </w:rPr>
                <w:t>2024).</w:t>
              </w:r>
            </w:hyperlink>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6">
              <w:r>
                <w:rPr>
                  <w:rFonts w:ascii="Arial" w:cs="Arial" w:eastAsia="Arial" w:hAnsi="Arial"/>
                  <w:sz w:val="16"/>
                  <w:szCs w:val="16"/>
                  <w:color w:val="0000FF"/>
                </w:rPr>
                <w:t>Third Term Loan B Extension Amendment to Amended and Restated Credit Agreement, dated as of November 25, 2024,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Holdings Corporation, Sabre GLBL Inc., the other loan parties thereto, Bank of America, N.A. as administrative agent, and the Term B</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Lenders party thereto (incorporated by reference to Exhibit 10.2 of Sabre Corporation’s Current Report on Form 8-K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Securities and Exchange Commission on December 2, 2024).</w:t>
              </w:r>
            </w:hyperlink>
          </w:p>
        </w:tc>
        <w:tc>
          <w:tcPr>
            <w:tcW w:w="54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7">
              <w:r>
                <w:rPr>
                  <w:rFonts w:ascii="Arial" w:cs="Arial" w:eastAsia="Arial" w:hAnsi="Arial"/>
                  <w:sz w:val="16"/>
                  <w:szCs w:val="16"/>
                  <w:color w:val="0000FF"/>
                </w:rPr>
                <w:t>Sabre Corporation 2025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Current Report on Form 8-K filed with the Securities and Exchange Commission on April 25, 2025).</w:t>
              </w:r>
            </w:hyperlink>
          </w:p>
        </w:tc>
        <w:tc>
          <w:tcPr>
            <w:tcW w:w="27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8">
              <w:r>
                <w:rPr>
                  <w:rFonts w:ascii="Arial" w:cs="Arial" w:eastAsia="Arial" w:hAnsi="Arial"/>
                  <w:sz w:val="16"/>
                  <w:szCs w:val="16"/>
                  <w:color w:val="0000FF"/>
                </w:rPr>
                <w:t>Offer letter by and between Sabre Corporation and Jennifer Catto effective February 4, 2025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10.</w:t>
              </w:r>
              <w:r>
                <w:rPr>
                  <w:rFonts w:ascii="Arial" w:cs="Arial" w:eastAsia="Arial" w:hAnsi="Arial"/>
                  <w:sz w:val="16"/>
                  <w:szCs w:val="16"/>
                  <w:u w:val="single" w:color="auto"/>
                  <w:color w:val="0000FF"/>
                </w:rPr>
                <w:t>148</w:t>
              </w:r>
              <w:r>
                <w:rPr>
                  <w:rFonts w:ascii="Arial" w:cs="Arial" w:eastAsia="Arial" w:hAnsi="Arial"/>
                  <w:sz w:val="16"/>
                  <w:szCs w:val="16"/>
                  <w:color w:val="0000FF"/>
                </w:rPr>
                <w:t xml:space="preserve"> of Sabre Corporation’s Quarterly Report on Form 10-Q filed with the Securities and Exchange Commission on May 7, 2025).</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29">
              <w:r>
                <w:rPr>
                  <w:rFonts w:ascii="Arial" w:cs="Arial" w:eastAsia="Arial" w:hAnsi="Arial"/>
                  <w:sz w:val="16"/>
                  <w:szCs w:val="16"/>
                  <w:color w:val="0000FF"/>
                </w:rPr>
                <w:t>Stock Purchase Agreement dated as of April 27, 2025 by and among Whitney Merger Sub, Inc., Sabre GLBL, Inc., Sabre Corporation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and Sabre HS Inc. (incorporated by reference to Exhibit 2.1 of Sabre Corporation’s Current Report on Form 8-K filed with the Securities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and Exchange Commission on April 28, 2025).</w:t>
              </w:r>
            </w:hyperlink>
          </w:p>
        </w:tc>
        <w:tc>
          <w:tcPr>
            <w:tcW w:w="660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0">
              <w:r>
                <w:rPr>
                  <w:rFonts w:ascii="Arial" w:cs="Arial" w:eastAsia="Arial" w:hAnsi="Arial"/>
                  <w:sz w:val="16"/>
                  <w:szCs w:val="16"/>
                  <w:color w:val="0000FF"/>
                </w:rPr>
                <w:t>Form of Executive Restricted Stock Unit Grant Agreement under the Sabre Corporation 2025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(incorporated by reference to Exhibit 10.150 of Sabre Corporation’s Quarterly Report on Form 10-Q filed with the Securities and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Exchange Commission on August 7, 2025).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1">
              <w:r>
                <w:rPr>
                  <w:rFonts w:ascii="Arial" w:cs="Arial" w:eastAsia="Arial" w:hAnsi="Arial"/>
                  <w:sz w:val="16"/>
                  <w:szCs w:val="16"/>
                  <w:color w:val="0000FF"/>
                </w:rPr>
                <w:t>Form of Executive Restricted Stock Unit Grant Agreement under the Sabre Corporation 2025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(incorporated by reference to Exhibit 10.151 of Sabre Corporation’s Quarterly Report on Form 10-Q filed with the Securities and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Exchange Commission on August 7, 2025.</w:t>
              </w:r>
            </w:hyperlink>
          </w:p>
        </w:tc>
        <w:tc>
          <w:tcPr>
            <w:tcW w:w="692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2">
              <w:r>
                <w:rPr>
                  <w:rFonts w:ascii="Arial" w:cs="Arial" w:eastAsia="Arial" w:hAnsi="Arial"/>
                  <w:sz w:val="16"/>
                  <w:szCs w:val="16"/>
                  <w:color w:val="0000FF"/>
                </w:rPr>
                <w:t>Pledge and Security Agreement, dated as of June 4, 2025,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Exhibit 10.1 of Sabre Corporation’s Current Report on Form 8-K filed with the Securities and Exchange Commission on June 5, 2025).</w:t>
              </w:r>
            </w:hyperlink>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3">
              <w:r>
                <w:rPr>
                  <w:rFonts w:ascii="Arial" w:cs="Arial" w:eastAsia="Arial" w:hAnsi="Arial"/>
                  <w:sz w:val="16"/>
                  <w:szCs w:val="16"/>
                  <w:color w:val="0000FF"/>
                </w:rPr>
                <w:t>Pledge and Security Agreement, dated as of December 5, 2025, among Sabre Financial Borrower, LLC, Sabre Financing Holdings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Wilmington Trust, National Association, as collateral agent (incorporated by reference to Exhibit 10.1 of Sabre Corporation’s Current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Report on Form 8-K filed with the Securities and Exchange Commission on December 11, 2025).</w:t>
              </w:r>
            </w:hyperlink>
          </w:p>
        </w:tc>
        <w:tc>
          <w:tcPr>
            <w:tcW w:w="3060" w:type="dxa"/>
            <w:vAlign w:val="bottom"/>
            <w:tcBorders>
              <w:top w:val="single" w:sz="8" w:color="0000FF"/>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4">
              <w:r>
                <w:rPr>
                  <w:rFonts w:ascii="Arial" w:cs="Arial" w:eastAsia="Arial" w:hAnsi="Arial"/>
                  <w:sz w:val="16"/>
                  <w:szCs w:val="16"/>
                  <w:color w:val="0000FF"/>
                </w:rPr>
                <w:t>First Lien Pari Passu Credit Agreement, dated as of December 5, 2025 among Sabre GLBL Inc., as borrower, Sabre Holdings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Corporation, as holdings, Sabre Financial Borrower, LLC, as lender, and Wilmington Trust, National Association, as administrative agent.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80" w:type="dxa"/>
            <w:vAlign w:val="bottom"/>
            <w:tcBorders>
              <w:bottom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4"/>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Commission on December 11, 2025).</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7180" w:type="dxa"/>
            <w:vAlign w:val="bottom"/>
            <w:gridSpan w:val="1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7"/>
          </w:tcPr>
          <w:p>
            <w:pPr>
              <w:spacing w:after="0"/>
              <w:rPr>
                <w:rFonts w:ascii="Arial" w:cs="Arial" w:eastAsia="Arial" w:hAnsi="Arial"/>
                <w:sz w:val="16"/>
                <w:szCs w:val="16"/>
                <w:color w:val="0000FF"/>
              </w:rPr>
            </w:pPr>
            <w:hyperlink r:id="rId235">
              <w:r>
                <w:rPr>
                  <w:rFonts w:ascii="Arial" w:cs="Arial" w:eastAsia="Arial" w:hAnsi="Arial"/>
                  <w:sz w:val="16"/>
                  <w:szCs w:val="16"/>
                  <w:color w:val="0000FF"/>
                </w:rPr>
                <w:t>Pledge and Security Agreement, dated as of December 8, 2025,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4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Exhibit 10.3 of Sabre Corporation’s Current Report on Form 8-K filed with the Securities and Exchange Commission on December 11,</w:t>
              </w:r>
            </w:hyperlink>
          </w:p>
        </w:tc>
        <w:tc>
          <w:tcPr>
            <w:tcW w:w="60"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35">
              <w:r>
                <w:rPr>
                  <w:rFonts w:ascii="Arial" w:cs="Arial" w:eastAsia="Arial" w:hAnsi="Arial"/>
                  <w:sz w:val="16"/>
                  <w:szCs w:val="16"/>
                  <w:color w:val="0000FF"/>
                  <w:w w:val="92"/>
                </w:rPr>
                <w:t>2025).</w:t>
              </w:r>
            </w:hyperlink>
          </w:p>
        </w:tc>
        <w:tc>
          <w:tcPr>
            <w:tcW w:w="22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184"/>
        </w:trPr>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Exhibit</w:t>
            </w:r>
          </w:p>
        </w:tc>
        <w:tc>
          <w:tcPr>
            <w:tcW w:w="9940" w:type="dxa"/>
            <w:vAlign w:val="bottom"/>
            <w:gridSpan w:val="17"/>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5"/>
        </w:trPr>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Number</w:t>
            </w:r>
          </w:p>
        </w:tc>
        <w:tc>
          <w:tcPr>
            <w:tcW w:w="9940" w:type="dxa"/>
            <w:vAlign w:val="bottom"/>
            <w:gridSpan w:val="1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6"/>
                <w:szCs w:val="16"/>
                <w:color w:val="auto"/>
              </w:rPr>
              <w:t>10.94</w:t>
            </w:r>
          </w:p>
        </w:tc>
        <w:tc>
          <w:tcPr>
            <w:tcW w:w="9940" w:type="dxa"/>
            <w:vAlign w:val="bottom"/>
            <w:gridSpan w:val="17"/>
          </w:tcPr>
          <w:p>
            <w:pPr>
              <w:spacing w:after="0" w:line="176" w:lineRule="exact"/>
              <w:rPr>
                <w:rFonts w:ascii="Arial" w:cs="Arial" w:eastAsia="Arial" w:hAnsi="Arial"/>
                <w:sz w:val="16"/>
                <w:szCs w:val="16"/>
                <w:color w:val="0000FF"/>
              </w:rPr>
            </w:pPr>
            <w:hyperlink r:id="rId237">
              <w:r>
                <w:rPr>
                  <w:rFonts w:ascii="Arial" w:cs="Arial" w:eastAsia="Arial" w:hAnsi="Arial"/>
                  <w:sz w:val="16"/>
                  <w:szCs w:val="16"/>
                  <w:color w:val="0000FF"/>
                </w:rPr>
                <w:t>Tenth Term Loan B Extension Amendment to Amended and Restated Credit Agreement, dated as of December 9, 2025, among Sabre</w:t>
              </w:r>
            </w:hyperlink>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8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Holdings Corporation, Sabre GLBL Inc., the other loan parties thereto, Bank of America, N.A. as administrative agent, and the Term B</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8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Lenders party thereto (incorporated by reference to Exhibit 10.4 of Sabre Corporation’s Current Report on Form 8-K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Securities and Exchange Commission on December 11, 2025).</w:t>
              </w:r>
            </w:hyperlink>
          </w:p>
        </w:tc>
        <w:tc>
          <w:tcPr>
            <w:tcW w:w="526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10.95</w:t>
            </w:r>
          </w:p>
        </w:tc>
        <w:tc>
          <w:tcPr>
            <w:tcW w:w="9940" w:type="dxa"/>
            <w:vAlign w:val="bottom"/>
            <w:gridSpan w:val="17"/>
          </w:tcPr>
          <w:p>
            <w:pPr>
              <w:spacing w:after="0"/>
              <w:rPr>
                <w:rFonts w:ascii="Arial" w:cs="Arial" w:eastAsia="Arial" w:hAnsi="Arial"/>
                <w:sz w:val="16"/>
                <w:szCs w:val="16"/>
                <w:color w:val="0000FF"/>
              </w:rPr>
            </w:pPr>
            <w:hyperlink r:id="rId238">
              <w:r>
                <w:rPr>
                  <w:rFonts w:ascii="Arial" w:cs="Arial" w:eastAsia="Arial" w:hAnsi="Arial"/>
                  <w:sz w:val="16"/>
                  <w:szCs w:val="16"/>
                  <w:color w:val="0000FF"/>
                </w:rPr>
                <w:t>Eleventh Term Loan B Extension Amendment to Amended and Restated Credit Agreement, dated as of December 9, 2025, among</w:t>
              </w:r>
            </w:hyperlink>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8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Sabre Holdings Corporation, Sabre GLBL Inc., the other loan parties thereto, Bank of America, N.A. as administrative agent, and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Term B Lenders party thereto (incorporated by reference to Exhibit 10.5 of Sabre Corporation’s Current Report on Form 8-K filed with the</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5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Securities and Exchange Commission on December 11, 2025).</w:t>
              </w:r>
            </w:hyperlink>
          </w:p>
        </w:tc>
        <w:tc>
          <w:tcPr>
            <w:tcW w:w="536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19.1*</w:t>
            </w:r>
          </w:p>
        </w:tc>
        <w:tc>
          <w:tcPr>
            <w:tcW w:w="9940" w:type="dxa"/>
            <w:vAlign w:val="bottom"/>
            <w:gridSpan w:val="17"/>
          </w:tcPr>
          <w:p>
            <w:pPr>
              <w:spacing w:after="0"/>
              <w:rPr>
                <w:sz w:val="20"/>
                <w:szCs w:val="20"/>
                <w:color w:val="auto"/>
              </w:rPr>
            </w:pPr>
            <w:r>
              <w:rPr>
                <w:rFonts w:ascii="Arial" w:cs="Arial" w:eastAsia="Arial" w:hAnsi="Arial"/>
                <w:sz w:val="16"/>
                <w:szCs w:val="16"/>
                <w:color w:val="0000FF"/>
              </w:rPr>
              <w:t>Sabre Corporation Insider Trading Policy dated as of December 10, 2025.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21.1*</w:t>
            </w:r>
          </w:p>
        </w:tc>
        <w:tc>
          <w:tcPr>
            <w:tcW w:w="52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List of Subsidiaries</w:t>
            </w:r>
          </w:p>
        </w:tc>
        <w:tc>
          <w:tcPr>
            <w:tcW w:w="4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23.1*</w:t>
            </w:r>
          </w:p>
        </w:tc>
        <w:tc>
          <w:tcPr>
            <w:tcW w:w="9940" w:type="dxa"/>
            <w:vAlign w:val="bottom"/>
            <w:gridSpan w:val="17"/>
          </w:tcPr>
          <w:p>
            <w:pPr>
              <w:spacing w:after="0"/>
              <w:rPr>
                <w:sz w:val="20"/>
                <w:szCs w:val="20"/>
                <w:color w:val="auto"/>
              </w:rPr>
            </w:pPr>
            <w:r>
              <w:rPr>
                <w:rFonts w:ascii="Arial" w:cs="Arial" w:eastAsia="Arial" w:hAnsi="Arial"/>
                <w:sz w:val="16"/>
                <w:szCs w:val="16"/>
                <w:color w:val="0000FF"/>
              </w:rPr>
              <w:t>Consent of Ernst &amp; Young LLP</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24.1*</w:t>
            </w:r>
          </w:p>
        </w:tc>
        <w:tc>
          <w:tcPr>
            <w:tcW w:w="34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Powers of Attorney (included on signature page)</w:t>
            </w:r>
          </w:p>
        </w:tc>
        <w:tc>
          <w:tcPr>
            <w:tcW w:w="6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31.1*</w:t>
            </w:r>
          </w:p>
        </w:tc>
        <w:tc>
          <w:tcPr>
            <w:tcW w:w="70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2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31.2*</w:t>
            </w:r>
          </w:p>
        </w:tc>
        <w:tc>
          <w:tcPr>
            <w:tcW w:w="69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29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32.1*</w:t>
            </w:r>
          </w:p>
        </w:tc>
        <w:tc>
          <w:tcPr>
            <w:tcW w:w="70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2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32.2*</w:t>
            </w:r>
          </w:p>
        </w:tc>
        <w:tc>
          <w:tcPr>
            <w:tcW w:w="69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9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97.1</w:t>
            </w:r>
          </w:p>
        </w:tc>
        <w:tc>
          <w:tcPr>
            <w:tcW w:w="9940" w:type="dxa"/>
            <w:vAlign w:val="bottom"/>
            <w:gridSpan w:val="17"/>
          </w:tcPr>
          <w:p>
            <w:pPr>
              <w:spacing w:after="0"/>
              <w:rPr>
                <w:rFonts w:ascii="Arial" w:cs="Arial" w:eastAsia="Arial" w:hAnsi="Arial"/>
                <w:sz w:val="16"/>
                <w:szCs w:val="16"/>
                <w:color w:val="0000FF"/>
              </w:rPr>
            </w:pPr>
            <w:hyperlink r:id="rId239">
              <w:r>
                <w:rPr>
                  <w:rFonts w:ascii="Arial" w:cs="Arial" w:eastAsia="Arial" w:hAnsi="Arial"/>
                  <w:sz w:val="16"/>
                  <w:szCs w:val="16"/>
                  <w:color w:val="0000FF"/>
                </w:rPr>
                <w:t>Sabre Corporation Clawback Policy relating to recovery of erroneously awarded compensation, as required by applicable listing</w:t>
              </w:r>
            </w:hyperlink>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standards adopted pursuant to 17 CFR 240.10D-1 (incorporated by reference to Exhibit 97.1 of Sabre Corporation’s Annual Report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9920" w:type="dxa"/>
            <w:vAlign w:val="bottom"/>
            <w:gridSpan w:val="16"/>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Form 10-K filed with the Securities and Exchange Commission on February 15,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80" w:type="dxa"/>
            <w:vAlign w:val="bottom"/>
            <w:gridSpan w:val="6"/>
            <w:shd w:val="clear" w:color="auto" w:fill="0000FF"/>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9940" w:type="dxa"/>
            <w:vAlign w:val="bottom"/>
            <w:gridSpan w:val="17"/>
          </w:tcPr>
          <w:p>
            <w:pPr>
              <w:spacing w:after="0" w:line="183"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20"/>
                <w:szCs w:val="20"/>
                <w:color w:val="auto"/>
              </w:rPr>
            </w:pPr>
            <w:r>
              <w:rPr>
                <w:rFonts w:ascii="Arial" w:cs="Arial" w:eastAsia="Arial" w:hAnsi="Arial"/>
                <w:sz w:val="16"/>
                <w:szCs w:val="16"/>
                <w:color w:val="auto"/>
              </w:rPr>
              <w:t>101.SCH*</w:t>
            </w:r>
          </w:p>
        </w:tc>
        <w:tc>
          <w:tcPr>
            <w:tcW w:w="994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101.CAL*</w:t>
            </w:r>
          </w:p>
        </w:tc>
        <w:tc>
          <w:tcPr>
            <w:tcW w:w="9940" w:type="dxa"/>
            <w:vAlign w:val="bottom"/>
            <w:gridSpan w:val="17"/>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101.DEF*</w:t>
            </w:r>
          </w:p>
        </w:tc>
        <w:tc>
          <w:tcPr>
            <w:tcW w:w="994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101.LAB*</w:t>
            </w:r>
          </w:p>
        </w:tc>
        <w:tc>
          <w:tcPr>
            <w:tcW w:w="9940" w:type="dxa"/>
            <w:vAlign w:val="bottom"/>
            <w:gridSpan w:val="17"/>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101.PRE*</w:t>
            </w:r>
          </w:p>
        </w:tc>
        <w:tc>
          <w:tcPr>
            <w:tcW w:w="9940" w:type="dxa"/>
            <w:vAlign w:val="bottom"/>
            <w:gridSpan w:val="17"/>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64"/>
        </w:trPr>
        <w:tc>
          <w:tcPr>
            <w:tcW w:w="136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9940" w:type="dxa"/>
            <w:vAlign w:val="bottom"/>
            <w:gridSpan w:val="17"/>
          </w:tcPr>
          <w:p>
            <w:pPr>
              <w:spacing w:after="0" w:line="164"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37" w:lineRule="exact"/>
        <w:rPr>
          <w:sz w:val="20"/>
          <w:szCs w:val="20"/>
          <w:color w:val="auto"/>
        </w:rPr>
      </w:pPr>
    </w:p>
    <w:p>
      <w:pPr>
        <w:ind w:left="20" w:right="5800" w:firstLine="6"/>
        <w:spacing w:after="0" w:line="321" w:lineRule="auto"/>
        <w:tabs>
          <w:tab w:leader="none" w:pos="3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8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SABRE CORPORATION</w:t>
      </w:r>
    </w:p>
    <w:p>
      <w:pPr>
        <w:spacing w:after="0" w:line="248" w:lineRule="exact"/>
        <w:rPr>
          <w:sz w:val="20"/>
          <w:szCs w:val="20"/>
          <w:color w:val="auto"/>
        </w:rPr>
      </w:pPr>
    </w:p>
    <w:p>
      <w:pPr>
        <w:ind w:left="20"/>
        <w:spacing w:after="0"/>
        <w:tabs>
          <w:tab w:leader="none" w:pos="600" w:val="left"/>
          <w:tab w:leader="none" w:pos="7060" w:val="left"/>
        </w:tabs>
        <w:rPr>
          <w:sz w:val="20"/>
          <w:szCs w:val="20"/>
          <w:color w:val="auto"/>
        </w:rPr>
      </w:pPr>
      <w:r>
        <w:rPr>
          <w:rFonts w:ascii="Arial" w:cs="Arial" w:eastAsia="Arial" w:hAnsi="Arial"/>
          <w:sz w:val="16"/>
          <w:szCs w:val="16"/>
          <w:color w:val="auto"/>
        </w:rPr>
        <w:t>Date:</w:t>
        <w:tab/>
        <w:t>February 18, 2026</w:t>
      </w:r>
      <w:r>
        <w:rPr>
          <w:sz w:val="20"/>
          <w:szCs w:val="20"/>
          <w:color w:val="auto"/>
        </w:rPr>
        <w:tab/>
      </w:r>
      <w:r>
        <w:rPr>
          <w:rFonts w:ascii="Arial" w:cs="Arial" w:eastAsia="Arial" w:hAnsi="Arial"/>
          <w:sz w:val="16"/>
          <w:szCs w:val="16"/>
          <w:color w:val="auto"/>
        </w:rPr>
        <w:t>By: /s/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20955</wp:posOffset>
            </wp:positionV>
            <wp:extent cx="24599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Chief Financial Officer</w:t>
      </w:r>
    </w:p>
    <w:p>
      <w:pPr>
        <w:spacing w:after="0" w:line="2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KNOW ALL BY THESE PRESENTS, that each individual whose signature appears below constitutes and appoints Kurt Ekert, Michael Randolfi, Rochelle Boas, and Steve Milton,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82" w:lineRule="exact"/>
        <w:rPr>
          <w:sz w:val="20"/>
          <w:szCs w:val="20"/>
          <w:color w:val="auto"/>
        </w:rPr>
      </w:pPr>
    </w:p>
    <w:p>
      <w:pPr>
        <w:ind w:right="360" w:firstLine="486"/>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Kurt Ekert</w:t>
            </w:r>
          </w:p>
        </w:tc>
        <w:tc>
          <w:tcPr>
            <w:tcW w:w="4920" w:type="dxa"/>
            <w:vAlign w:val="bottom"/>
          </w:tcPr>
          <w:p>
            <w:pPr>
              <w:ind w:left="320"/>
              <w:spacing w:after="0"/>
              <w:rPr>
                <w:sz w:val="20"/>
                <w:szCs w:val="20"/>
                <w:color w:val="auto"/>
              </w:rPr>
            </w:pPr>
            <w:r>
              <w:rPr>
                <w:rFonts w:ascii="Arial" w:cs="Arial" w:eastAsia="Arial" w:hAnsi="Arial"/>
                <w:sz w:val="16"/>
                <w:szCs w:val="16"/>
                <w:color w:val="auto"/>
              </w:rPr>
              <w:t>Chief Executive Officer, President and 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Kurt Ekert</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Executive Officer)</w:t>
            </w:r>
          </w:p>
        </w:tc>
        <w:tc>
          <w:tcPr>
            <w:tcW w:w="2180" w:type="dxa"/>
            <w:vAlign w:val="bottom"/>
          </w:tcPr>
          <w:p>
            <w:pPr>
              <w:spacing w:after="0"/>
              <w:rPr>
                <w:sz w:val="18"/>
                <w:szCs w:val="18"/>
                <w:color w:val="auto"/>
              </w:rPr>
            </w:pPr>
          </w:p>
        </w:tc>
      </w:tr>
      <w:tr>
        <w:trPr>
          <w:trHeight w:val="43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c>
          <w:tcPr>
            <w:tcW w:w="4920" w:type="dxa"/>
            <w:vAlign w:val="bottom"/>
          </w:tcPr>
          <w:p>
            <w:pPr>
              <w:ind w:left="320"/>
              <w:spacing w:after="0"/>
              <w:rPr>
                <w:sz w:val="20"/>
                <w:szCs w:val="20"/>
                <w:color w:val="auto"/>
              </w:rPr>
            </w:pPr>
            <w:r>
              <w:rPr>
                <w:rFonts w:ascii="Arial" w:cs="Arial" w:eastAsia="Arial" w:hAnsi="Arial"/>
                <w:sz w:val="16"/>
                <w:szCs w:val="16"/>
                <w:color w:val="auto"/>
              </w:rPr>
              <w:t>Executive Vice President and Chief Financial Officer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Michael Randolfi</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Financial Officer)</w:t>
            </w:r>
          </w:p>
        </w:tc>
        <w:tc>
          <w:tcPr>
            <w:tcW w:w="2180" w:type="dxa"/>
            <w:vAlign w:val="bottom"/>
          </w:tcPr>
          <w:p>
            <w:pPr>
              <w:spacing w:after="0"/>
              <w:rPr>
                <w:sz w:val="18"/>
                <w:szCs w:val="18"/>
                <w:color w:val="auto"/>
              </w:rPr>
            </w:pPr>
          </w:p>
        </w:tc>
      </w:tr>
      <w:tr>
        <w:trPr>
          <w:trHeight w:val="43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Senior Vice President and Chief Accounting Officer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Accounting Officer)</w:t>
            </w:r>
          </w:p>
        </w:tc>
        <w:tc>
          <w:tcPr>
            <w:tcW w:w="2180" w:type="dxa"/>
            <w:vAlign w:val="bottom"/>
          </w:tcPr>
          <w:p>
            <w:pPr>
              <w:spacing w:after="0"/>
              <w:rPr>
                <w:sz w:val="18"/>
                <w:szCs w:val="18"/>
                <w:color w:val="auto"/>
              </w:rPr>
            </w:pPr>
          </w:p>
        </w:tc>
      </w:tr>
      <w:tr>
        <w:trPr>
          <w:trHeight w:val="36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Bravante, Jr.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George Bravante, Jr.</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Hervé Couturier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Hervé Couturier</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Eric Kelly</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Eric Kelly</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3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Gail Mandel</w:t>
            </w:r>
          </w:p>
        </w:tc>
        <w:tc>
          <w:tcPr>
            <w:tcW w:w="4920" w:type="dxa"/>
            <w:vAlign w:val="bottom"/>
          </w:tcPr>
          <w:p>
            <w:pPr>
              <w:ind w:left="320"/>
              <w:spacing w:after="0"/>
              <w:rPr>
                <w:sz w:val="20"/>
                <w:szCs w:val="20"/>
                <w:color w:val="auto"/>
              </w:rPr>
            </w:pPr>
            <w:r>
              <w:rPr>
                <w:rFonts w:ascii="Arial" w:cs="Arial" w:eastAsia="Arial" w:hAnsi="Arial"/>
                <w:sz w:val="16"/>
                <w:szCs w:val="16"/>
                <w:color w:val="auto"/>
              </w:rPr>
              <w:t>Chair of the Board and 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Gail Mandel</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3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Phyllis Newhouse</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Phyllis Newhouse</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3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Elaine Paul</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Elaine Paul</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3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Scott</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John Scott</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4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Wendi Sturgis</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Wendi Sturgis</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4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Ashan Willy</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180" w:type="dxa"/>
            <w:vAlign w:val="bottom"/>
          </w:tcPr>
          <w:p>
            <w:pPr>
              <w:ind w:left="840"/>
              <w:spacing w:after="0"/>
              <w:rPr>
                <w:sz w:val="20"/>
                <w:szCs w:val="20"/>
                <w:color w:val="auto"/>
              </w:rPr>
            </w:pPr>
            <w:r>
              <w:rPr>
                <w:rFonts w:ascii="Arial" w:cs="Arial" w:eastAsia="Arial" w:hAnsi="Arial"/>
                <w:sz w:val="16"/>
                <w:szCs w:val="16"/>
                <w:color w:val="auto"/>
              </w:rPr>
              <w:t>February 18, 2026</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Ashan Willy</w:t>
            </w:r>
          </w:p>
        </w:tc>
        <w:tc>
          <w:tcPr>
            <w:tcW w:w="4920" w:type="dxa"/>
            <w:vAlign w:val="bottom"/>
          </w:tcPr>
          <w:p>
            <w:pPr>
              <w:spacing w:after="0"/>
              <w:rPr>
                <w:sz w:val="18"/>
                <w:szCs w:val="18"/>
                <w:color w:val="auto"/>
              </w:rPr>
            </w:pPr>
          </w:p>
        </w:tc>
        <w:tc>
          <w:tcPr>
            <w:tcW w:w="21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9" w:name="page110"/>
    <w:bookmarkEnd w:id="109"/>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2025, 2024 AND 2023</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at</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Charged to</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Write-offs and</w:t>
            </w:r>
          </w:p>
        </w:tc>
        <w:tc>
          <w:tcPr>
            <w:tcW w:w="160" w:type="dxa"/>
            <w:vAlign w:val="bottom"/>
          </w:tcPr>
          <w:p>
            <w:pPr>
              <w:spacing w:after="0"/>
              <w:rPr>
                <w:sz w:val="13"/>
                <w:szCs w:val="13"/>
                <w:color w:val="auto"/>
              </w:rPr>
            </w:pPr>
          </w:p>
        </w:tc>
        <w:tc>
          <w:tcPr>
            <w:tcW w:w="1060" w:type="dxa"/>
            <w:vAlign w:val="bottom"/>
            <w:vMerge w:val="restart"/>
          </w:tcPr>
          <w:p>
            <w:pPr>
              <w:jc w:val="right"/>
              <w:ind w:right="224"/>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1"/>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Expense or</w:t>
            </w: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Beginning</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Other Accounts</w:t>
            </w:r>
          </w:p>
        </w:tc>
        <w:tc>
          <w:tcPr>
            <w:tcW w:w="16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 Adjustments</w:t>
            </w:r>
          </w:p>
        </w:tc>
        <w:tc>
          <w:tcPr>
            <w:tcW w:w="16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Arial" w:cs="Arial" w:eastAsia="Arial" w:hAnsi="Arial"/>
                <w:sz w:val="13"/>
                <w:szCs w:val="13"/>
                <w:b w:val="1"/>
                <w:bCs w:val="1"/>
                <w:color w:val="auto"/>
                <w:w w:val="99"/>
              </w:rPr>
              <w:t>End of Period</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727.8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737.4</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727.8</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80"/>
          </w:cols>
          <w:pgMar w:left="360" w:top="895" w:right="359" w:bottom="1440" w:gutter="0" w:footer="0" w:header="0"/>
        </w:sectPr>
      </w:pPr>
    </w:p>
    <w:bookmarkStart w:id="110" w:name="page111"/>
    <w:bookmarkEnd w:id="110"/>
    <w:p>
      <w:pPr>
        <w:ind w:left="10300"/>
        <w:spacing w:after="0"/>
        <w:rPr>
          <w:sz w:val="20"/>
          <w:szCs w:val="20"/>
          <w:color w:val="auto"/>
        </w:rPr>
      </w:pPr>
      <w:r>
        <w:rPr>
          <w:rFonts w:ascii="Arial" w:cs="Arial" w:eastAsia="Arial" w:hAnsi="Arial"/>
          <w:sz w:val="17"/>
          <w:szCs w:val="17"/>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ABRE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ORPORATION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December 10, 2025</w:t>
      </w:r>
    </w:p>
    <w:p>
      <w:pPr>
        <w:spacing w:after="0" w:line="233" w:lineRule="exact"/>
        <w:rPr>
          <w:sz w:val="20"/>
          <w:szCs w:val="20"/>
          <w:color w:val="auto"/>
        </w:rPr>
      </w:pPr>
    </w:p>
    <w:p>
      <w:pPr>
        <w:jc w:val="both"/>
        <w:ind w:firstLine="755"/>
        <w:spacing w:after="0" w:line="234" w:lineRule="auto"/>
        <w:rPr>
          <w:sz w:val="20"/>
          <w:szCs w:val="20"/>
          <w:color w:val="auto"/>
        </w:rPr>
      </w:pPr>
      <w:r>
        <w:rPr>
          <w:rFonts w:ascii="Times New Roman" w:cs="Times New Roman" w:eastAsia="Times New Roman" w:hAnsi="Times New Roman"/>
          <w:sz w:val="22"/>
          <w:szCs w:val="22"/>
          <w:color w:val="auto"/>
        </w:rPr>
        <w:t>Federal, state and foreign securities laws prohibit trading in the equity or debt securities of a company while in possession of material non-public information about the company. In order to promote compliance with these securities laws and take an active role in the prevention of insider trading violations by its officers, directors, employees and certain other identified individuals, Sabre Corporation (the “Company”) has adopted the policies and procedures described in this memorandum (the “Policy”). Portions of this policy impose additional obligations on certain individuals who have, or are likely to have, regular or special access to material non-public information in the ordinary course of their duties.</w:t>
      </w:r>
    </w:p>
    <w:p>
      <w:pPr>
        <w:spacing w:after="0" w:line="204"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 of Policy.</w:t>
      </w:r>
    </w:p>
    <w:p>
      <w:pPr>
        <w:spacing w:after="0" w:line="237" w:lineRule="exact"/>
        <w:rPr>
          <w:sz w:val="20"/>
          <w:szCs w:val="20"/>
          <w:color w:val="auto"/>
        </w:rPr>
      </w:pPr>
    </w:p>
    <w:p>
      <w:pPr>
        <w:jc w:val="both"/>
        <w:ind w:firstLine="755"/>
        <w:spacing w:after="0" w:line="231" w:lineRule="auto"/>
        <w:rPr>
          <w:sz w:val="20"/>
          <w:szCs w:val="20"/>
          <w:color w:val="auto"/>
        </w:rPr>
      </w:pPr>
      <w:r>
        <w:rPr>
          <w:rFonts w:ascii="Times New Roman" w:cs="Times New Roman" w:eastAsia="Times New Roman" w:hAnsi="Times New Roman"/>
          <w:sz w:val="22"/>
          <w:szCs w:val="22"/>
          <w:color w:val="auto"/>
        </w:rPr>
        <w:t>This Policy applies to all transactions in the Company’s securities, including common stock, options for common stock, debt securities and any other securities the Company or its subsidiaries may issue from time to time, such as preferred stock, warrants and convertible debentures, as well as to derivative securities relating to the Company’s securities, including securities exchangeable into the Company’s securities, whether or not issued by the Company, such as exchange-traded options. It applies to all officers, directors and employees of the Company and its subsidiaries, as well as any temporary employees and independent consultants and contractors, and spouses, minor children and adult members of the households of such persons, and any entities that such persons directly or indirectly influence or control, each of whom the Company has determined will regularly receive, or has the potential to receive, access to material non-public information (as defined below) regarding the Company or its subsidiaries (together, the “Sabre Persons” and each a “Sabre Person”).</w:t>
      </w:r>
    </w:p>
    <w:p>
      <w:pPr>
        <w:spacing w:after="0" w:line="6" w:lineRule="exact"/>
        <w:rPr>
          <w:sz w:val="20"/>
          <w:szCs w:val="20"/>
          <w:color w:val="auto"/>
        </w:rPr>
      </w:pPr>
    </w:p>
    <w:p>
      <w:pPr>
        <w:jc w:val="both"/>
        <w:ind w:firstLine="755"/>
        <w:spacing w:after="0" w:line="230" w:lineRule="auto"/>
        <w:rPr>
          <w:sz w:val="20"/>
          <w:szCs w:val="20"/>
          <w:color w:val="auto"/>
        </w:rPr>
      </w:pPr>
      <w:r>
        <w:rPr>
          <w:rFonts w:ascii="Times New Roman" w:cs="Times New Roman" w:eastAsia="Times New Roman" w:hAnsi="Times New Roman"/>
          <w:sz w:val="22"/>
          <w:szCs w:val="22"/>
          <w:color w:val="auto"/>
        </w:rPr>
        <w:t>Portions of this Policy impose additional obligations on certain Sabre Persons that have, or are likely to have, regular or special access to material non-public information in the normal course of their duties. Such Sabre Persons are referred to in this Policy as “Insiders.” The Company has identified some of these Insiders as “Section 16 Individuals” because they have special responsibilities under Section 16 of the Securities Exchange Act of 1934, as amended (the “Exchange Act”). The responsibilities of the Section 16 Individuals under this Policy are described below.</w:t>
      </w:r>
    </w:p>
    <w:p>
      <w:pPr>
        <w:spacing w:after="0" w:line="3" w:lineRule="exact"/>
        <w:rPr>
          <w:sz w:val="20"/>
          <w:szCs w:val="20"/>
          <w:color w:val="auto"/>
        </w:rPr>
      </w:pPr>
    </w:p>
    <w:p>
      <w:pPr>
        <w:jc w:val="both"/>
        <w:ind w:firstLine="755"/>
        <w:spacing w:after="0" w:line="228" w:lineRule="auto"/>
        <w:rPr>
          <w:sz w:val="20"/>
          <w:szCs w:val="20"/>
          <w:color w:val="auto"/>
        </w:rPr>
      </w:pPr>
      <w:r>
        <w:rPr>
          <w:rFonts w:ascii="Times New Roman" w:cs="Times New Roman" w:eastAsia="Times New Roman" w:hAnsi="Times New Roman"/>
          <w:sz w:val="22"/>
          <w:szCs w:val="22"/>
          <w:color w:val="auto"/>
        </w:rPr>
        <w:t>Securities laws, including prohibitions on insider trading, apply when the Company transacts in its own securities. The Company’s policy is to comply with applicable law, including the prohibition under Rule 10b-5 and applicable case law against trading while in possession of material non-public information. In furtherance of this policy, the Company (i) requires that all Company transactions in Company securities be authorized by the board of directors and (ii) has established and shall maintain procedures reasonably designed to confirm the Company is not in possession of material non-public information at the time of any such transaction and at the time the Company enters into or modifies a 10b5-1 trading plan.</w:t>
      </w:r>
    </w:p>
    <w:p>
      <w:pPr>
        <w:spacing w:after="0" w:line="3" w:lineRule="exact"/>
        <w:rPr>
          <w:sz w:val="20"/>
          <w:szCs w:val="20"/>
          <w:color w:val="auto"/>
        </w:rPr>
      </w:pPr>
    </w:p>
    <w:p>
      <w:pPr>
        <w:jc w:val="both"/>
        <w:ind w:firstLine="755"/>
        <w:spacing w:after="0" w:line="235" w:lineRule="auto"/>
        <w:rPr>
          <w:sz w:val="20"/>
          <w:szCs w:val="20"/>
          <w:color w:val="auto"/>
        </w:rPr>
      </w:pPr>
      <w:r>
        <w:rPr>
          <w:rFonts w:ascii="Times New Roman" w:cs="Times New Roman" w:eastAsia="Times New Roman" w:hAnsi="Times New Roman"/>
          <w:sz w:val="22"/>
          <w:szCs w:val="22"/>
          <w:color w:val="auto"/>
        </w:rPr>
        <w:t>This Policy (and/or a summary thereof) is to be delivered to or otherwise made available to all new Sabre Persons upon the commencement of their relationships with the Company or its subsidiaries and is to be circulated or made available to all Sabre Persons at least annually.</w:t>
      </w:r>
    </w:p>
    <w:p>
      <w:pPr>
        <w:spacing w:after="0" w:line="201"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Designation of Certain Persons.</w:t>
      </w:r>
    </w:p>
    <w:p>
      <w:pPr>
        <w:sectPr>
          <w:pgSz w:w="11900" w:h="16838" w:orient="portrait"/>
          <w:cols w:equalWidth="0" w:num="1">
            <w:col w:w="11240"/>
          </w:cols>
          <w:pgMar w:left="320" w:top="364" w:right="339" w:bottom="1440" w:gutter="0" w:footer="0" w:header="0"/>
        </w:sectPr>
      </w:pPr>
    </w:p>
    <w:bookmarkStart w:id="111" w:name="page112"/>
    <w:bookmarkEnd w:id="111"/>
    <w:p>
      <w:pPr>
        <w:ind w:left="10292"/>
        <w:spacing w:after="0"/>
        <w:rPr>
          <w:sz w:val="20"/>
          <w:szCs w:val="20"/>
          <w:color w:val="auto"/>
        </w:rPr>
      </w:pPr>
      <w:r>
        <w:rPr>
          <w:rFonts w:ascii="Arial" w:cs="Arial" w:eastAsia="Arial" w:hAnsi="Arial"/>
          <w:sz w:val="17"/>
          <w:szCs w:val="17"/>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92" w:right="180" w:hanging="320"/>
        <w:spacing w:after="0" w:line="241" w:lineRule="auto"/>
        <w:tabs>
          <w:tab w:leader="none" w:pos="1292" w:val="left"/>
        </w:tabs>
        <w:numPr>
          <w:ilvl w:val="2"/>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Section 16 Individuals</w:t>
      </w:r>
      <w:r>
        <w:rPr>
          <w:rFonts w:ascii="Times New Roman" w:cs="Times New Roman" w:eastAsia="Times New Roman" w:hAnsi="Times New Roman"/>
          <w:sz w:val="22"/>
          <w:szCs w:val="22"/>
          <w:color w:val="auto"/>
        </w:rPr>
        <w:t>. The Board of Directors will periodically determine which of the Company’s officers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officers” for purposes of Section 16 of the Exchange Act, and they, along with the directors and the beneficial owners of more than 10% of the Corporation’s common stock (the “principal stockholders”), will be subject to Section 16.</w:t>
      </w:r>
    </w:p>
    <w:p>
      <w:pPr>
        <w:spacing w:after="0" w:line="198" w:lineRule="exact"/>
        <w:rPr>
          <w:rFonts w:ascii="Times New Roman" w:cs="Times New Roman" w:eastAsia="Times New Roman" w:hAnsi="Times New Roman"/>
          <w:sz w:val="22"/>
          <w:szCs w:val="22"/>
          <w:u w:val="single" w:color="auto"/>
          <w:color w:val="auto"/>
        </w:rPr>
      </w:pPr>
    </w:p>
    <w:p>
      <w:pPr>
        <w:ind w:left="1292" w:right="40" w:hanging="320"/>
        <w:spacing w:after="0"/>
        <w:tabs>
          <w:tab w:leader="none" w:pos="1292"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Insiders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Office of the Corporate Secretary, in consultation with the Chief Executive Officer (“CEO”)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Financial Officer (“CFO”), as necessary, will maintain a list of individuals designated as Insiders for the purposes of this Policy.</w:t>
      </w:r>
    </w:p>
    <w:p>
      <w:pPr>
        <w:spacing w:after="0" w:line="199"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Policy.</w:t>
      </w:r>
    </w:p>
    <w:p>
      <w:pPr>
        <w:spacing w:after="0" w:line="233" w:lineRule="exact"/>
        <w:rPr>
          <w:rFonts w:ascii="Times New Roman" w:cs="Times New Roman" w:eastAsia="Times New Roman" w:hAnsi="Times New Roman"/>
          <w:sz w:val="22"/>
          <w:szCs w:val="22"/>
          <w:b w:val="1"/>
          <w:bCs w:val="1"/>
          <w:color w:val="auto"/>
        </w:rPr>
      </w:pPr>
    </w:p>
    <w:p>
      <w:pPr>
        <w:jc w:val="both"/>
        <w:ind w:left="652" w:hanging="328"/>
        <w:spacing w:after="0" w:line="236" w:lineRule="auto"/>
        <w:tabs>
          <w:tab w:leader="none" w:pos="652" w:val="left"/>
        </w:tabs>
        <w:numPr>
          <w:ilvl w:val="1"/>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b w:val="1"/>
          <w:bCs w:val="1"/>
          <w:u w:val="single" w:color="auto"/>
          <w:color w:val="auto"/>
        </w:rPr>
        <w:t>Trading on Material Non-public Information</w:t>
      </w:r>
      <w:r>
        <w:rPr>
          <w:rFonts w:ascii="Times New Roman" w:cs="Times New Roman" w:eastAsia="Times New Roman" w:hAnsi="Times New Roman"/>
          <w:sz w:val="22"/>
          <w:szCs w:val="22"/>
          <w:color w:val="auto"/>
        </w:rPr>
        <w:t>. No Sabre Person may buy or sell any Company securities when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possession of material non-public information about the Company </w:t>
      </w:r>
      <w:r>
        <w:rPr>
          <w:rFonts w:ascii="Times New Roman" w:cs="Times New Roman" w:eastAsia="Times New Roman" w:hAnsi="Times New Roman"/>
          <w:sz w:val="19"/>
          <w:szCs w:val="19"/>
          <w:color w:val="auto"/>
        </w:rPr>
        <w:t>or its subsidiaries</w:t>
      </w:r>
      <w:r>
        <w:rPr>
          <w:rFonts w:ascii="Times New Roman" w:cs="Times New Roman" w:eastAsia="Times New Roman" w:hAnsi="Times New Roman"/>
          <w:sz w:val="22"/>
          <w:szCs w:val="22"/>
          <w:color w:val="auto"/>
        </w:rPr>
        <w:t xml:space="preserve">. This prohibition extends to activities that may not traditionally be thought of as purchases or sales, such as the pledge of Company securities to secure a loan. Transactions that may be necessary or justifiable for independent reasons (such as the need to raise money for an emergency expenditure)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excepted from this Policy. The securities laws do not recognize such mitigating circumstances, and, in any event, even the appearance of an improper transaction must be avoided to preserve the Company’s reputation for adhering to the highest standards of conduct.</w:t>
      </w:r>
    </w:p>
    <w:p>
      <w:pPr>
        <w:spacing w:after="0" w:line="206" w:lineRule="exact"/>
        <w:rPr>
          <w:rFonts w:ascii="Times New Roman" w:cs="Times New Roman" w:eastAsia="Times New Roman" w:hAnsi="Times New Roman"/>
          <w:sz w:val="20"/>
          <w:szCs w:val="20"/>
          <w:u w:val="single" w:color="auto"/>
          <w:color w:val="auto"/>
        </w:rPr>
      </w:pPr>
    </w:p>
    <w:p>
      <w:pPr>
        <w:jc w:val="both"/>
        <w:ind w:left="652"/>
        <w:spacing w:after="0" w:line="233"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color w:val="auto"/>
        </w:rPr>
        <w:t>The restriction on trading when in possession of material non-public information and the other restrictions and guidelines described in this Policy regarding the treatment of material non- public information about the Company or its subsidiaries also apply to material non-public information relating to other companies, including the Company’s business partners, such as the Company’s customers and vendors, when that information is obtained in the course of employment with, or other services performed on behalf of, the Company or any subsidiary thereof. Civil and criminal penalties, and termination of employment, may result from trading or tipping on material non-public information regarding the Company’s business partners. All Sabre Persons should treat material non-public information about the Company’s business partners with the same care required with respect to information related directly to the Company.</w:t>
      </w:r>
    </w:p>
    <w:p>
      <w:pPr>
        <w:spacing w:after="0" w:line="200" w:lineRule="exact"/>
        <w:rPr>
          <w:sz w:val="20"/>
          <w:szCs w:val="20"/>
          <w:color w:val="auto"/>
        </w:rPr>
      </w:pPr>
    </w:p>
    <w:p>
      <w:pPr>
        <w:spacing w:after="0" w:line="25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“Material non-public information” is described in Section V, below.</w:t>
      </w:r>
    </w:p>
    <w:p>
      <w:pPr>
        <w:spacing w:after="0" w:line="200" w:lineRule="exact"/>
        <w:rPr>
          <w:sz w:val="20"/>
          <w:szCs w:val="20"/>
          <w:color w:val="auto"/>
        </w:rPr>
      </w:pPr>
    </w:p>
    <w:p>
      <w:pPr>
        <w:spacing w:after="0" w:line="272" w:lineRule="exact"/>
        <w:rPr>
          <w:sz w:val="20"/>
          <w:szCs w:val="20"/>
          <w:color w:val="auto"/>
        </w:rPr>
      </w:pPr>
    </w:p>
    <w:p>
      <w:pPr>
        <w:ind w:left="652" w:right="360" w:hanging="328"/>
        <w:spacing w:after="0" w:line="263" w:lineRule="auto"/>
        <w:tabs>
          <w:tab w:leader="none" w:pos="65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Short Sales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Insider may engage in a short sale of the Company’s securities. A short sale is a sale of securities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owned by the seller or, if owned, not delivered against such sale within 20 days thereafter (a “short against the box”). Transactions in certain put and call options for the Company’s securities may in some instances constitute a short sale.</w:t>
      </w:r>
    </w:p>
    <w:p>
      <w:pPr>
        <w:spacing w:after="0" w:line="164" w:lineRule="exact"/>
        <w:rPr>
          <w:rFonts w:ascii="Times New Roman" w:cs="Times New Roman" w:eastAsia="Times New Roman" w:hAnsi="Times New Roman"/>
          <w:sz w:val="21"/>
          <w:szCs w:val="21"/>
          <w:color w:val="auto"/>
        </w:rPr>
      </w:pPr>
    </w:p>
    <w:p>
      <w:pPr>
        <w:jc w:val="both"/>
        <w:ind w:left="652" w:hanging="328"/>
        <w:spacing w:after="0" w:line="246" w:lineRule="auto"/>
        <w:tabs>
          <w:tab w:leader="none" w:pos="65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Publicly Traded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transaction in options is, in effect, a bet on the short- term movement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and therefore creates the appearance of trading based on material non-public information. Transactions in options also may focus</w:t>
      </w:r>
    </w:p>
    <w:p>
      <w:pPr>
        <w:sectPr>
          <w:pgSz w:w="11900" w:h="16838" w:orient="portrait"/>
          <w:cols w:equalWidth="0" w:num="1">
            <w:col w:w="11232"/>
          </w:cols>
          <w:pgMar w:left="328" w:top="36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28"/>
        <w:spacing w:after="0" w:line="244" w:lineRule="auto"/>
        <w:rPr>
          <w:sz w:val="20"/>
          <w:szCs w:val="20"/>
          <w:color w:val="auto"/>
        </w:rPr>
      </w:pPr>
      <w:r>
        <w:rPr>
          <w:rFonts w:ascii="Times New Roman" w:cs="Times New Roman" w:eastAsia="Times New Roman" w:hAnsi="Times New Roman"/>
          <w:sz w:val="22"/>
          <w:szCs w:val="22"/>
          <w:color w:val="auto"/>
        </w:rPr>
        <w:t>attention on short-term performance at the expense of the Company’s long-term objectives. Accordingly, transactions in puts, calls or other derivative securities, on an exchange or in any other organized market, by an Insider are prohibited by this Policy.</w:t>
      </w:r>
    </w:p>
    <w:p>
      <w:pPr>
        <w:spacing w:after="0" w:line="196" w:lineRule="exact"/>
        <w:rPr>
          <w:sz w:val="20"/>
          <w:szCs w:val="20"/>
          <w:color w:val="auto"/>
        </w:rPr>
      </w:pPr>
    </w:p>
    <w:p>
      <w:pPr>
        <w:jc w:val="both"/>
        <w:ind w:left="328" w:hanging="328"/>
        <w:spacing w:after="0" w:line="234"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Hedging Transactions</w:t>
      </w:r>
      <w:r>
        <w:rPr>
          <w:rFonts w:ascii="Times New Roman" w:cs="Times New Roman" w:eastAsia="Times New Roman" w:hAnsi="Times New Roman"/>
          <w:sz w:val="22"/>
          <w:szCs w:val="22"/>
          <w:color w:val="auto"/>
        </w:rPr>
        <w:t>. Certain forms of hedging or monetization transactions, including zero-cost collars, equity swaps,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funds and forward sale contracts, allow a stockholder to lock in much of the value of his or her stock holdings, often in exchange for all or part of the potential for upside appreciation in the stock. These transactions allow the stockholder to continue to own the covered securities, but without the full risks and rewards of ownership. When an individual participates in such transactions, that individual may no longer have the same objectives as the Company’s other stockholders. Accordingly, Insiders and Sabre Persons that are recipients of employee equity grants from the Company are prohibited from entering into these transactions under this Policy.</w:t>
      </w:r>
    </w:p>
    <w:p>
      <w:pPr>
        <w:spacing w:after="0" w:line="203" w:lineRule="exact"/>
        <w:rPr>
          <w:rFonts w:ascii="Times New Roman" w:cs="Times New Roman" w:eastAsia="Times New Roman" w:hAnsi="Times New Roman"/>
          <w:sz w:val="20"/>
          <w:szCs w:val="20"/>
          <w:color w:val="auto"/>
        </w:rPr>
      </w:pPr>
    </w:p>
    <w:p>
      <w:pPr>
        <w:jc w:val="both"/>
        <w:ind w:left="328" w:hanging="328"/>
        <w:spacing w:after="0" w:line="237"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Margin Accounts and Pledges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that are margined may be sold by the broker without the customer’s consent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and Sabre Persons that are recipients of employee equity grants from the Company are prohibited from margining Company securities or pledging Company securities as collateral for a loan.</w:t>
      </w:r>
    </w:p>
    <w:p>
      <w:pPr>
        <w:spacing w:after="0" w:line="202" w:lineRule="exact"/>
        <w:rPr>
          <w:rFonts w:ascii="Times New Roman" w:cs="Times New Roman" w:eastAsia="Times New Roman" w:hAnsi="Times New Roman"/>
          <w:sz w:val="20"/>
          <w:szCs w:val="20"/>
          <w:color w:val="auto"/>
        </w:rPr>
      </w:pPr>
    </w:p>
    <w:p>
      <w:pPr>
        <w:jc w:val="both"/>
        <w:ind w:left="328" w:hanging="328"/>
        <w:spacing w:after="0" w:line="235"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Tipping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Sabre Person may make recommendations or express opinions on the basis of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information about trading in the securities of the Company (or any other company, as described above) or disclose material non-public information about the Company </w:t>
      </w:r>
      <w:r>
        <w:rPr>
          <w:rFonts w:ascii="Times New Roman" w:cs="Times New Roman" w:eastAsia="Times New Roman" w:hAnsi="Times New Roman"/>
          <w:sz w:val="19"/>
          <w:szCs w:val="19"/>
          <w:color w:val="auto"/>
        </w:rPr>
        <w:t>or its subsidiaries</w:t>
      </w:r>
      <w:r>
        <w:rPr>
          <w:rFonts w:ascii="Times New Roman" w:cs="Times New Roman" w:eastAsia="Times New Roman" w:hAnsi="Times New Roman"/>
          <w:sz w:val="22"/>
          <w:szCs w:val="22"/>
          <w:color w:val="auto"/>
        </w:rPr>
        <w:t xml:space="preserve"> to any third party, including family or household members (a “tippee”). If there is any uncertainty as to the appropriateness of any such communications, please consult with the Office of the Corporate Secretary before speaking with anyone, especially brokers or any other persons or entities contemplating or executing securities trades.</w:t>
      </w:r>
    </w:p>
    <w:p>
      <w:pPr>
        <w:spacing w:after="0" w:line="201" w:lineRule="exact"/>
        <w:rPr>
          <w:rFonts w:ascii="Times New Roman" w:cs="Times New Roman" w:eastAsia="Times New Roman" w:hAnsi="Times New Roman"/>
          <w:sz w:val="20"/>
          <w:szCs w:val="20"/>
          <w:color w:val="auto"/>
        </w:rPr>
      </w:pPr>
    </w:p>
    <w:p>
      <w:pPr>
        <w:jc w:val="both"/>
        <w:ind w:left="328" w:hanging="328"/>
        <w:spacing w:after="0" w:line="238"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Confidentiality of Non-public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Sabre Persons must maintain the confidentiality of the Company’s non-public information. In the event a Sabre Person receives any inquiry or request for information (particularly financial results and/or projections) from any person or entity outside the Company, such as a stock analyst, the inquiry should be referred to Investor Relations, which will determine whether such inquiry should also be forwarded to the Office of the Corporate Secretary.</w:t>
      </w:r>
    </w:p>
    <w:p>
      <w:pPr>
        <w:spacing w:after="0" w:line="190" w:lineRule="exact"/>
        <w:rPr>
          <w:rFonts w:ascii="Times New Roman" w:cs="Times New Roman" w:eastAsia="Times New Roman" w:hAnsi="Times New Roman"/>
          <w:sz w:val="20"/>
          <w:szCs w:val="20"/>
          <w:color w:val="auto"/>
        </w:rPr>
      </w:pPr>
    </w:p>
    <w:p>
      <w:pPr>
        <w:jc w:val="both"/>
        <w:ind w:left="328" w:hanging="328"/>
        <w:spacing w:after="0" w:line="236" w:lineRule="auto"/>
        <w:tabs>
          <w:tab w:leader="none" w:pos="3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r>
        <w:rPr>
          <w:rFonts w:ascii="Times New Roman" w:cs="Times New Roman" w:eastAsia="Times New Roman" w:hAnsi="Times New Roman"/>
          <w:sz w:val="22"/>
          <w:szCs w:val="22"/>
          <w:color w:val="auto"/>
        </w:rPr>
        <w:t>. The Policy applies to all transactions in Company securities even after a person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employment or service with the Company. As a result, if that person is in possession of material non-public information when his or her employment or service terminates, that person may not trade in Company securities until such information has become public or is no longer material. In addition, any employee who was a Section 16 Individual immediately prior to his or her termination of employment and whose employment terminates during a “blackout period” (as described in Section VI below) will be restricted from exercising his or her employee stock options until the termination of that blackout period.</w:t>
      </w:r>
    </w:p>
    <w:p>
      <w:pPr>
        <w:sectPr>
          <w:pgSz w:w="11900" w:h="16838" w:orient="portrait"/>
          <w:cols w:equalWidth="0" w:num="1">
            <w:col w:w="10908"/>
          </w:cols>
          <w:pgMar w:left="652" w:top="364" w:right="339" w:bottom="1440" w:gutter="0" w:footer="0" w:header="0"/>
        </w:sectPr>
      </w:pPr>
    </w:p>
    <w:bookmarkStart w:id="113" w:name="page114"/>
    <w:bookmarkEnd w:id="113"/>
    <w:p>
      <w:pPr>
        <w:ind w:left="10300"/>
        <w:spacing w:after="0"/>
        <w:rPr>
          <w:sz w:val="20"/>
          <w:szCs w:val="20"/>
          <w:color w:val="auto"/>
        </w:rPr>
      </w:pPr>
      <w:r>
        <w:rPr>
          <w:rFonts w:ascii="Arial" w:cs="Arial" w:eastAsia="Arial" w:hAnsi="Arial"/>
          <w:sz w:val="17"/>
          <w:szCs w:val="17"/>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hanging="328"/>
        <w:spacing w:after="0" w:line="246"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Individual Responsibility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Sabre Persons have the individual responsibility to comply with this Policy. Such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from time to time, have to forego a proposed transaction in the Company’s securities even if he or she planned to make the transaction before learning of the material non-public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Potential Criminal and Civil Liability and/or Disciplinary Action.</w:t>
      </w:r>
    </w:p>
    <w:p>
      <w:pPr>
        <w:spacing w:after="0" w:line="233" w:lineRule="exact"/>
        <w:rPr>
          <w:sz w:val="20"/>
          <w:szCs w:val="20"/>
          <w:color w:val="auto"/>
        </w:rPr>
      </w:pPr>
    </w:p>
    <w:p>
      <w:pPr>
        <w:jc w:val="both"/>
        <w:ind w:left="660" w:hanging="328"/>
        <w:spacing w:after="0"/>
        <w:tabs>
          <w:tab w:leader="none" w:pos="660" w:val="left"/>
        </w:tabs>
        <w:numPr>
          <w:ilvl w:val="1"/>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b w:val="1"/>
          <w:bCs w:val="1"/>
          <w:u w:val="single" w:color="auto"/>
          <w:color w:val="auto"/>
        </w:rPr>
        <w:t>Liability for Insider Trading</w:t>
      </w:r>
      <w:r>
        <w:rPr>
          <w:rFonts w:ascii="Times New Roman" w:cs="Times New Roman" w:eastAsia="Times New Roman" w:hAnsi="Times New Roman"/>
          <w:sz w:val="22"/>
          <w:szCs w:val="22"/>
          <w:color w:val="auto"/>
        </w:rPr>
        <w:t>. Pursuant to federal and state securities laws, persons engaging in transactions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securities at a time when they have knowledge of material non-public information regarding the Company </w:t>
      </w:r>
      <w:r>
        <w:rPr>
          <w:rFonts w:ascii="Times New Roman" w:cs="Times New Roman" w:eastAsia="Times New Roman" w:hAnsi="Times New Roman"/>
          <w:sz w:val="19"/>
          <w:szCs w:val="19"/>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its subsidiaries </w:t>
      </w:r>
      <w:r>
        <w:rPr>
          <w:rFonts w:ascii="Times New Roman" w:cs="Times New Roman" w:eastAsia="Times New Roman" w:hAnsi="Times New Roman"/>
          <w:sz w:val="21"/>
          <w:szCs w:val="21"/>
          <w:color w:val="auto"/>
        </w:rPr>
        <w:t>may be subject to (1) imprisonment for up to 20 years, (2) criminal fines of up to $5,000,000 and (3) civil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fines of up to three times the profit gained or loss avoided.</w:t>
      </w:r>
    </w:p>
    <w:p>
      <w:pPr>
        <w:spacing w:after="0" w:line="205" w:lineRule="exact"/>
        <w:rPr>
          <w:rFonts w:ascii="Times New Roman" w:cs="Times New Roman" w:eastAsia="Times New Roman" w:hAnsi="Times New Roman"/>
          <w:sz w:val="20"/>
          <w:szCs w:val="20"/>
          <w:u w:val="single" w:color="auto"/>
          <w:color w:val="auto"/>
        </w:rPr>
      </w:pPr>
    </w:p>
    <w:p>
      <w:pPr>
        <w:jc w:val="both"/>
        <w:ind w:left="660"/>
        <w:spacing w:after="0" w:line="238"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color w:val="auto"/>
        </w:rPr>
        <w:t>If the Company fails to take appropriate steps to prevent insider trading, the Company may have “controlling person” liability for a trading violation, with civil penalties of up to the greater of $2.14 million (subject to adjustment for inflation) and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spacing w:after="0" w:line="199" w:lineRule="exact"/>
        <w:rPr>
          <w:rFonts w:ascii="Times New Roman" w:cs="Times New Roman" w:eastAsia="Times New Roman" w:hAnsi="Times New Roman"/>
          <w:sz w:val="20"/>
          <w:szCs w:val="20"/>
          <w:u w:val="single" w:color="auto"/>
          <w:color w:val="auto"/>
        </w:rPr>
      </w:pPr>
    </w:p>
    <w:p>
      <w:pPr>
        <w:jc w:val="both"/>
        <w:ind w:left="660" w:hanging="328"/>
        <w:spacing w:after="0" w:line="235" w:lineRule="auto"/>
        <w:tabs>
          <w:tab w:leader="none" w:pos="6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Liability for Tipping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Sabre Persons may also be liable for improper transactions by a tippee to whom they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material non-public information regarding the Company </w:t>
      </w:r>
      <w:r>
        <w:rPr>
          <w:rFonts w:ascii="Times New Roman" w:cs="Times New Roman" w:eastAsia="Times New Roman" w:hAnsi="Times New Roman"/>
          <w:sz w:val="19"/>
          <w:szCs w:val="19"/>
          <w:color w:val="auto"/>
        </w:rPr>
        <w:t>or its subsidiaries</w:t>
      </w:r>
      <w:r>
        <w:rPr>
          <w:rFonts w:ascii="Times New Roman" w:cs="Times New Roman" w:eastAsia="Times New Roman" w:hAnsi="Times New Roman"/>
          <w:sz w:val="22"/>
          <w:szCs w:val="22"/>
          <w:color w:val="auto"/>
        </w:rPr>
        <w:t xml:space="preserve"> or to whom they have made recommendations or expressed opinions on the basis of such information as to trading in the Company’s securities. The Securities and Exchange Commission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201"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Possible Disciplinary Actions</w:t>
      </w:r>
      <w:r>
        <w:rPr>
          <w:rFonts w:ascii="Times New Roman" w:cs="Times New Roman" w:eastAsia="Times New Roman" w:hAnsi="Times New Roman"/>
          <w:sz w:val="22"/>
          <w:szCs w:val="22"/>
          <w:color w:val="auto"/>
        </w:rPr>
        <w:t>. Persons employed by Sabre who violate this Policy will also be subject to disciplinary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by the Company, which may include ineligibility for future participation in the Company’s equity incentive plans or termination of employment.</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35" w:lineRule="auto"/>
        <w:tabs>
          <w:tab w:leader="none" w:pos="6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Reporting of Violations</w:t>
      </w:r>
      <w:r>
        <w:rPr>
          <w:rFonts w:ascii="Times New Roman" w:cs="Times New Roman" w:eastAsia="Times New Roman" w:hAnsi="Times New Roman"/>
          <w:sz w:val="22"/>
          <w:szCs w:val="22"/>
          <w:color w:val="auto"/>
        </w:rPr>
        <w:t>. Any Sabre Person who violates this policy or any federal or state laws governing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tipping, or knows of any such violation by any other Sabre Persons, must report the violation immediately to the Office of the Corporate Secretary or the Chief Legal Officer. Upon learning of any such violation, the Office of the Corporate Secretary, in consultation with the Chief Legal Officer, will determine whether the Company should release any material nonpublic information, or whether the Company should report the violation to the SEC or other appropriate governmental authority.</w:t>
      </w: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Non-Public Information.</w:t>
      </w:r>
    </w:p>
    <w:p>
      <w:pPr>
        <w:sectPr>
          <w:pgSz w:w="11900" w:h="16838" w:orient="portrait"/>
          <w:cols w:equalWidth="0" w:num="1">
            <w:col w:w="11240"/>
          </w:cols>
          <w:pgMar w:left="320" w:top="36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756"/>
        <w:spacing w:after="0" w:line="234"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and the determination of whether information is material is highly fact-intensive. Information that is material at one point in time may also cease to be material at another point in time, and vice versa. The General Counsel, in consultation as appropriate with the CEO, the CFO or other members of senior management of the Company, has the authority to determine whether any information constitutes material non-public information. If a person has any doubt about whether a piece of information is material non-public information, they should err on the side of considering it to be material non-public information. They also are encouraged to contact the Office of the Corporate Secretary if they have any questions about whether a piece of information might be material non-public information.</w:t>
      </w:r>
    </w:p>
    <w:p>
      <w:pPr>
        <w:spacing w:after="0" w:line="204" w:lineRule="exact"/>
        <w:rPr>
          <w:sz w:val="20"/>
          <w:szCs w:val="20"/>
          <w:color w:val="auto"/>
        </w:rPr>
      </w:pPr>
    </w:p>
    <w:p>
      <w:pPr>
        <w:jc w:val="both"/>
        <w:ind w:firstLine="756"/>
        <w:spacing w:after="0" w:line="238" w:lineRule="auto"/>
        <w:rPr>
          <w:sz w:val="20"/>
          <w:szCs w:val="20"/>
          <w:color w:val="auto"/>
        </w:rPr>
      </w:pPr>
      <w:r>
        <w:rPr>
          <w:rFonts w:ascii="Times New Roman" w:cs="Times New Roman" w:eastAsia="Times New Roman" w:hAnsi="Times New Roman"/>
          <w:sz w:val="22"/>
          <w:szCs w:val="22"/>
          <w:color w:val="auto"/>
        </w:rPr>
        <w:t>In general, information should be regarded as material if there is a reasonable likelihood that it would be considered important to an investor in making an investment decision regarding the purchase or sale of Company securities. Information should be regarded as non-public if it has not been publicly disseminated through a widespread public press release issued through a major newswire, national news or financial news service, an SEC filing or another form of mass media or for which a reasonable amount of time has not yet passed to permit the stock market to absorb the information.</w:t>
      </w:r>
    </w:p>
    <w:p>
      <w:pPr>
        <w:spacing w:after="0" w:line="204"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include:</w:t>
      </w:r>
    </w:p>
    <w:p>
      <w:pPr>
        <w:spacing w:after="0" w:line="200"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2"/>
          <w:szCs w:val="22"/>
          <w:color w:val="auto"/>
        </w:rPr>
        <w:t>Financial results;</w:t>
      </w:r>
    </w:p>
    <w:p>
      <w:pPr>
        <w:spacing w:after="0" w:line="14" w:lineRule="exact"/>
        <w:rPr>
          <w:rFonts w:ascii="Arial" w:cs="Arial" w:eastAsia="Arial" w:hAnsi="Arial"/>
          <w:sz w:val="20"/>
          <w:szCs w:val="20"/>
          <w:color w:val="auto"/>
        </w:rPr>
      </w:pPr>
    </w:p>
    <w:p>
      <w:pPr>
        <w:ind w:left="640" w:hanging="308"/>
        <w:spacing w:after="0" w:line="217"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Projections of future revenues, earnings or losses;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Timing of a new product or technology introductions;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News of a pending or proposed merger;</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News of the disposition or acquisition of significant assets or a subsidiary;</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Material impairments, write-offs or restructurings;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Creation of a material direct or contingent financial obligation;</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Impending bankruptcy or financial liquidity problems;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gain or loss of a substantial customer or supplier;</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Changes in dividend policy;</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 product announcements of a significant nature;</w:t>
      </w:r>
    </w:p>
    <w:p>
      <w:pPr>
        <w:ind w:left="640" w:hanging="308"/>
        <w:spacing w:after="0" w:line="217"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product defects or modifications;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pricing changes;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Stock splits;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 equity or debt offerings;</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litigation or regulatory exposure due to actual or threatened litigation, investigation or enforcement activity;</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changes in senior management;</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Material agreements not in the ordinary course of business (or termination thereof);</w:t>
      </w:r>
    </w:p>
    <w:p>
      <w:pPr>
        <w:ind w:left="640" w:hanging="308"/>
        <w:spacing w:after="0" w:line="230"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Cybersecurity risks and incidents; and</w:t>
      </w: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Termination or reduction of business relationship with a customer that provides material revenue to the Company.</w:t>
      </w:r>
    </w:p>
    <w:p>
      <w:pPr>
        <w:sectPr>
          <w:pgSz w:w="11900" w:h="16838" w:orient="portrait"/>
          <w:cols w:equalWidth="0" w:num="1">
            <w:col w:w="11240"/>
          </w:cols>
          <w:pgMar w:left="320" w:top="36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08"/>
        <w:spacing w:after="0" w:line="258" w:lineRule="auto"/>
        <w:rPr>
          <w:sz w:val="20"/>
          <w:szCs w:val="20"/>
          <w:color w:val="auto"/>
        </w:rPr>
      </w:pPr>
      <w:r>
        <w:rPr>
          <w:rFonts w:ascii="Times New Roman" w:cs="Times New Roman" w:eastAsia="Times New Roman" w:hAnsi="Times New Roman"/>
          <w:sz w:val="22"/>
          <w:szCs w:val="22"/>
          <w:color w:val="auto"/>
        </w:rPr>
        <w:t>Either positive or negative information may be material and even matters that have a small quantitative impact can be considered material, if there are qualitative considerations that would make the information of particular interest to investors.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Trading Guidelines and Requirements.</w:t>
      </w:r>
    </w:p>
    <w:p>
      <w:pPr>
        <w:spacing w:after="0" w:line="233" w:lineRule="exact"/>
        <w:rPr>
          <w:sz w:val="20"/>
          <w:szCs w:val="20"/>
          <w:color w:val="auto"/>
        </w:rPr>
      </w:pPr>
    </w:p>
    <w:p>
      <w:pPr>
        <w:jc w:val="both"/>
        <w:ind w:left="660" w:hanging="328"/>
        <w:spacing w:after="0" w:line="250" w:lineRule="auto"/>
        <w:tabs>
          <w:tab w:leader="none" w:pos="660" w:val="left"/>
        </w:tabs>
        <w:numPr>
          <w:ilvl w:val="0"/>
          <w:numId w:val="5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1"/>
          <w:szCs w:val="21"/>
          <w:b w:val="1"/>
          <w:bCs w:val="1"/>
          <w:u w:val="single" w:color="auto"/>
          <w:color w:val="auto"/>
        </w:rPr>
        <w:t>The “Blackout” Rule</w:t>
      </w:r>
      <w:r>
        <w:rPr>
          <w:rFonts w:ascii="Times New Roman" w:cs="Times New Roman" w:eastAsia="Times New Roman" w:hAnsi="Times New Roman"/>
          <w:sz w:val="21"/>
          <w:szCs w:val="21"/>
          <w:color w:val="auto"/>
        </w:rPr>
        <w:t>. Insiders may not sell or purchase Company securities during a “blackout period.” Quarterly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blackout periods start at 12:01 a.m. U.S. Central Time on the sixth business day of the last month of each fiscal quarter and end at 8:30 a.m. U.S. Central Time on the next “trading day” following the release to the public of the Company’s earnings and, if applicable, the occurrence of a related conference call for a fiscal quarter or fiscal year. For the avoidance of doubt, the Company expects one “trading day” to occur after public dissemination of earnings and prior to the termination of the blackout period. A trading day is a day on which the NASDAQ Stock Market is open for business.</w:t>
      </w:r>
    </w:p>
    <w:p>
      <w:pPr>
        <w:spacing w:after="0" w:line="195" w:lineRule="exact"/>
        <w:rPr>
          <w:rFonts w:ascii="Times New Roman" w:cs="Times New Roman" w:eastAsia="Times New Roman" w:hAnsi="Times New Roman"/>
          <w:sz w:val="19"/>
          <w:szCs w:val="19"/>
          <w:u w:val="single" w:color="auto"/>
          <w:color w:val="auto"/>
        </w:rPr>
      </w:pPr>
    </w:p>
    <w:p>
      <w:pPr>
        <w:jc w:val="both"/>
        <w:ind w:left="660"/>
        <w:spacing w:after="0" w:line="235"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2"/>
          <w:szCs w:val="22"/>
          <w:color w:val="auto"/>
        </w:rPr>
        <w:t>From time to time the General Counsel may impose special blackout periods, during which certain identified persons will be prohibited from engaging in transactions in the Company’s securities. In the event of a special blackout period, the Office of the Corporate Secretary will notify the affected persons, who will be prohibited thereafter from engaging in any transaction involving the Company’s securities until further written notice. Persons subject to a special blackout period shall not disclose that fact to others.</w:t>
      </w:r>
    </w:p>
    <w:p>
      <w:pPr>
        <w:spacing w:after="0" w:line="205" w:lineRule="exact"/>
        <w:rPr>
          <w:rFonts w:ascii="Times New Roman" w:cs="Times New Roman" w:eastAsia="Times New Roman" w:hAnsi="Times New Roman"/>
          <w:sz w:val="19"/>
          <w:szCs w:val="19"/>
          <w:u w:val="single" w:color="auto"/>
          <w:color w:val="auto"/>
        </w:rPr>
      </w:pPr>
    </w:p>
    <w:p>
      <w:pPr>
        <w:jc w:val="both"/>
        <w:ind w:left="660"/>
        <w:spacing w:after="0" w:line="244"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2"/>
          <w:szCs w:val="22"/>
          <w:color w:val="auto"/>
        </w:rPr>
        <w:t>The General Counsel has the right and authority to shorten, suspend, terminate or extend a blackout period at such time and for such periods as he or she deems appropriate given the relevant circumstances. In that case, any affected persons will be appropriately notified.</w:t>
      </w:r>
    </w:p>
    <w:p>
      <w:pPr>
        <w:spacing w:after="0" w:line="200" w:lineRule="exact"/>
        <w:rPr>
          <w:rFonts w:ascii="Times New Roman" w:cs="Times New Roman" w:eastAsia="Times New Roman" w:hAnsi="Times New Roman"/>
          <w:sz w:val="19"/>
          <w:szCs w:val="19"/>
          <w:u w:val="single" w:color="auto"/>
          <w:color w:val="auto"/>
        </w:rPr>
      </w:pPr>
    </w:p>
    <w:p>
      <w:pPr>
        <w:jc w:val="both"/>
        <w:ind w:left="660"/>
        <w:spacing w:after="0" w:line="238"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2"/>
          <w:szCs w:val="22"/>
          <w:color w:val="auto"/>
        </w:rPr>
        <w:t>The Company recognizes that a Sabre Person, other than a Section 16 Officer, may experience exceptional circumstances that may necessitate a transaction during a blackout period. In that case, the Sabre Person must request permission to do so from the General Counsel, who may consult with the CEO, the CFO or other members of senior management of the Company, as appropriate. Permission to trade within a blackout period is in the discretion of the General Counsel. Any denial of permission must be kept confidential by the requesting party.</w:t>
      </w:r>
    </w:p>
    <w:p>
      <w:pPr>
        <w:spacing w:after="0" w:line="186" w:lineRule="exact"/>
        <w:rPr>
          <w:rFonts w:ascii="Times New Roman" w:cs="Times New Roman" w:eastAsia="Times New Roman" w:hAnsi="Times New Roman"/>
          <w:sz w:val="19"/>
          <w:szCs w:val="19"/>
          <w:u w:val="single" w:color="auto"/>
          <w:color w:val="auto"/>
        </w:rPr>
      </w:pPr>
    </w:p>
    <w:p>
      <w:pPr>
        <w:ind w:left="660" w:hanging="328"/>
        <w:spacing w:after="0" w:line="262"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Insiders that are Senior Vice President level and above must obtain pre-clearance (either electronic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from the Chief Executive Officer before transacting in Company securities.</w:t>
      </w:r>
    </w:p>
    <w:p>
      <w:pPr>
        <w:spacing w:after="0" w:line="180" w:lineRule="exact"/>
        <w:rPr>
          <w:rFonts w:ascii="Times New Roman" w:cs="Times New Roman" w:eastAsia="Times New Roman" w:hAnsi="Times New Roman"/>
          <w:sz w:val="20"/>
          <w:szCs w:val="20"/>
          <w:color w:val="auto"/>
        </w:rPr>
      </w:pPr>
    </w:p>
    <w:p>
      <w:pPr>
        <w:jc w:val="both"/>
        <w:ind w:left="660"/>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Insiders that are Senior Vice President level and above, as well as any other Section 16 Individuals, must obtain written pre-clearance from the Office of the Corporate Secretary before (i) entering into or terminating any written trading arrangement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regarding Company securities, including any modification thereof, and (ii) transacting in Company securities, including for transactions occurring outside a blackout period, any exercise of director or employee stock options and any gifts of Company securities. A request for pre-clearance, along with a copy of any Chief Executive Officer pre-approval as discussed above, if applicable, should be preferably submitted at least two days in</w:t>
      </w:r>
    </w:p>
    <w:p>
      <w:pPr>
        <w:sectPr>
          <w:pgSz w:w="11900" w:h="16838" w:orient="portrait"/>
          <w:cols w:equalWidth="0" w:num="1">
            <w:col w:w="11240"/>
          </w:cols>
          <w:pgMar w:left="320" w:top="36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advance of the proposed transaction. The Office of the Corporate Secretary is under no obligation to approve any trade and may refuse to do so in his or her discretion. Pre-clearance of any transaction is valid only for five full trading days and may be revoked at any time during that period by the Office of the Corporate Secretary. If the transaction order is not placed within that period, pre-clearance must be requested and approved in writing again. Requesting persons must treat denials of pre-clearance requests as confidential.</w:t>
      </w:r>
    </w:p>
    <w:p>
      <w:pPr>
        <w:spacing w:after="0" w:line="200" w:lineRule="exact"/>
        <w:rPr>
          <w:sz w:val="20"/>
          <w:szCs w:val="20"/>
          <w:color w:val="auto"/>
        </w:rPr>
      </w:pP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Exceptions to Policy.</w:t>
      </w:r>
    </w:p>
    <w:p>
      <w:pPr>
        <w:spacing w:after="0" w:line="220" w:lineRule="exact"/>
        <w:rPr>
          <w:sz w:val="20"/>
          <w:szCs w:val="20"/>
          <w:color w:val="auto"/>
        </w:rPr>
      </w:pPr>
    </w:p>
    <w:p>
      <w:pPr>
        <w:jc w:val="both"/>
        <w:ind w:left="660" w:hanging="328"/>
        <w:spacing w:after="0" w:line="238" w:lineRule="auto"/>
        <w:tabs>
          <w:tab w:leader="none" w:pos="660" w:val="left"/>
        </w:tabs>
        <w:numPr>
          <w:ilvl w:val="0"/>
          <w:numId w:val="5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1"/>
          <w:szCs w:val="21"/>
          <w:b w:val="1"/>
          <w:bCs w:val="1"/>
          <w:u w:val="single" w:color="auto"/>
          <w:color w:val="auto"/>
        </w:rPr>
        <w:t>Transactions under Rule 10b5-1 Plans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Implementation of a trading plan under Rule 10b5-1 under the Exchange Act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allows a person to place a standing order with a broker to purchase or sell Company securities, so long as the plan specifies the dates, prices and amounts of the planned trades or establishes a formula for those purposes. A trading plan may only be entered into when a person is not in possession of material non-public information and when a blackout period is not in effect. Anyone subject to this Policy who wishes to enter into a Rule 10b5-1 plan must submit the trading plan to the Office of the Corporate Secretary for prior, written approval; whether approval will be granted will depend on all the facts and circumstances available at the time the plan is submitted for approval. Subsequent modifications to or termination of any Rule 10b5-1 plan must also be pre-approved by the Office of the Corporate Secretary.</w:t>
      </w:r>
    </w:p>
    <w:p>
      <w:pPr>
        <w:spacing w:after="0" w:line="200" w:lineRule="exact"/>
        <w:rPr>
          <w:sz w:val="20"/>
          <w:szCs w:val="20"/>
          <w:color w:val="auto"/>
        </w:rPr>
      </w:pPr>
    </w:p>
    <w:p>
      <w:pPr>
        <w:spacing w:after="0" w:line="250" w:lineRule="exact"/>
        <w:rPr>
          <w:sz w:val="20"/>
          <w:szCs w:val="20"/>
          <w:color w:val="auto"/>
        </w:rPr>
      </w:pPr>
    </w:p>
    <w:p>
      <w:pPr>
        <w:ind w:firstLine="756"/>
        <w:spacing w:after="0" w:line="258" w:lineRule="auto"/>
        <w:rPr>
          <w:sz w:val="20"/>
          <w:szCs w:val="20"/>
          <w:color w:val="auto"/>
        </w:rPr>
      </w:pPr>
      <w:r>
        <w:rPr>
          <w:rFonts w:ascii="Times New Roman" w:cs="Times New Roman" w:eastAsia="Times New Roman" w:hAnsi="Times New Roman"/>
          <w:sz w:val="22"/>
          <w:szCs w:val="22"/>
          <w:color w:val="auto"/>
        </w:rPr>
        <w:t>The following guidelines apply to all trading plans and, as appropriate, represent ongoing obligations an individual undertakes by submitting a trading plan for approval:</w:t>
      </w:r>
    </w:p>
    <w:p>
      <w:pPr>
        <w:spacing w:after="0" w:line="185" w:lineRule="exact"/>
        <w:rPr>
          <w:sz w:val="20"/>
          <w:szCs w:val="20"/>
          <w:color w:val="auto"/>
        </w:rPr>
      </w:pPr>
    </w:p>
    <w:p>
      <w:pPr>
        <w:ind w:left="1960" w:hanging="332"/>
        <w:spacing w:after="0" w:line="235" w:lineRule="auto"/>
        <w:tabs>
          <w:tab w:leader="none" w:pos="1948"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The trading plan must be in writing and entered into only when a blackout period is not in effect and when the individual is not in possession of material non-public information;</w:t>
      </w:r>
    </w:p>
    <w:p>
      <w:pPr>
        <w:spacing w:after="0" w:line="1" w:lineRule="exact"/>
        <w:rPr>
          <w:rFonts w:ascii="Arial" w:cs="Arial" w:eastAsia="Arial" w:hAnsi="Arial"/>
          <w:sz w:val="20"/>
          <w:szCs w:val="20"/>
          <w:color w:val="auto"/>
        </w:rPr>
      </w:pPr>
    </w:p>
    <w:p>
      <w:pPr>
        <w:jc w:val="both"/>
        <w:ind w:left="1960" w:hanging="332"/>
        <w:spacing w:after="0" w:line="230" w:lineRule="auto"/>
        <w:tabs>
          <w:tab w:leader="none" w:pos="19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must be adopted in good faith and not as part of a plan or scheme to evade the anti-fraud rules under the federal securities laws, and the individual must at all times act in good faith with respect to the trading plan;</w:t>
      </w:r>
    </w:p>
    <w:p>
      <w:pPr>
        <w:spacing w:after="0" w:line="1" w:lineRule="exact"/>
        <w:rPr>
          <w:rFonts w:ascii="Times New Roman" w:cs="Times New Roman" w:eastAsia="Times New Roman" w:hAnsi="Times New Roman"/>
          <w:sz w:val="20"/>
          <w:szCs w:val="20"/>
          <w:color w:val="auto"/>
        </w:rPr>
      </w:pPr>
    </w:p>
    <w:p>
      <w:pPr>
        <w:jc w:val="both"/>
        <w:ind w:left="1960" w:hanging="332"/>
        <w:spacing w:after="0" w:line="230" w:lineRule="auto"/>
        <w:tabs>
          <w:tab w:leader="none" w:pos="19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must contain a written certification that, at the time the trading plan was adopted, the individual is not aware of any material non-public information and is adopting the trading plan in good faith and not as part of a plan or scheme to evade Section 10(b) of the Exchange Act;</w:t>
      </w:r>
    </w:p>
    <w:p>
      <w:pPr>
        <w:spacing w:after="0" w:line="1" w:lineRule="exact"/>
        <w:rPr>
          <w:rFonts w:ascii="Times New Roman" w:cs="Times New Roman" w:eastAsia="Times New Roman" w:hAnsi="Times New Roman"/>
          <w:sz w:val="20"/>
          <w:szCs w:val="20"/>
          <w:color w:val="auto"/>
        </w:rPr>
      </w:pPr>
    </w:p>
    <w:p>
      <w:pPr>
        <w:jc w:val="both"/>
        <w:ind w:left="1960" w:hanging="332"/>
        <w:spacing w:after="0" w:line="242" w:lineRule="auto"/>
        <w:tabs>
          <w:tab w:leader="none" w:pos="194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individual may not have more than one trading plan in effect at any given time, provided that, upon the prior approval of the Office of the Corporation Secretary, an individual may also have (i) no more than one additional trading plan in place to satisfy tax obligations incident to the vesting of compensatory awards, including restricted stock or stock appreciation rights but excluding option awards, through “sell-to-cover” transactions, provided the individual is not permitted by the plan to exercise any subsequent influence over how, when or whether to effect sales and/or (ii) no more than one additional trading plan that provides for trades that commence after all trades under an earlier-commencing plan</w:t>
      </w:r>
    </w:p>
    <w:p>
      <w:pPr>
        <w:sectPr>
          <w:pgSz w:w="11900" w:h="16838" w:orient="portrait"/>
          <w:cols w:equalWidth="0" w:num="1">
            <w:col w:w="11240"/>
          </w:cols>
          <w:pgMar w:left="320" w:top="36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840"/>
        <w:spacing w:after="0" w:line="235" w:lineRule="auto"/>
        <w:rPr>
          <w:sz w:val="20"/>
          <w:szCs w:val="20"/>
          <w:color w:val="auto"/>
        </w:rPr>
      </w:pPr>
      <w:r>
        <w:rPr>
          <w:rFonts w:ascii="Times New Roman" w:cs="Times New Roman" w:eastAsia="Times New Roman" w:hAnsi="Times New Roman"/>
          <w:sz w:val="22"/>
          <w:szCs w:val="22"/>
          <w:color w:val="auto"/>
        </w:rPr>
        <w:t>have been completed or expired, as long as the first trade under the later-commencing plan occurs (x) in the case of an automatically expiring earlier-commencing plan, after the expiration of the earlier-commencing plan or (y) in the case of a terminated earlier-commencing plan, after an effective cooling-off period, i.e., the waiting period described below applied as if the later-commencing plan were adopted on the date of the termination of the earlier-commencing plan;</w:t>
      </w:r>
    </w:p>
    <w:p>
      <w:pPr>
        <w:ind w:left="840" w:hanging="332"/>
        <w:spacing w:after="0" w:line="224"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transactions may be effected outside a plan without the prior approval of the Office of the Corporate Secretary;</w:t>
      </w:r>
    </w:p>
    <w:p>
      <w:pPr>
        <w:ind w:left="840" w:right="20" w:hanging="332"/>
        <w:spacing w:after="0" w:line="230"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must permit its termination or suspension by the Company at any time when the Company believes that trading may not lawfully occur;</w:t>
      </w:r>
    </w:p>
    <w:p>
      <w:pPr>
        <w:spacing w:after="0" w:line="1" w:lineRule="exact"/>
        <w:rPr>
          <w:rFonts w:ascii="Times New Roman" w:cs="Times New Roman" w:eastAsia="Times New Roman" w:hAnsi="Times New Roman"/>
          <w:sz w:val="20"/>
          <w:szCs w:val="20"/>
          <w:color w:val="auto"/>
        </w:rPr>
      </w:pPr>
    </w:p>
    <w:p>
      <w:pPr>
        <w:jc w:val="both"/>
        <w:ind w:left="840" w:hanging="332"/>
        <w:spacing w:after="0" w:line="230"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Transactions under the trading plan may not commence until at least the later of (i) 90 days after the adoption of the plan and (ii) two business days after the release of the Company’s financial results on Form 10-Q or Form 10-K for the fiscal quarter in which the trading plan was adopted, subject to a maximum of 120 days after adoption of the trading plan;</w:t>
      </w:r>
    </w:p>
    <w:p>
      <w:pPr>
        <w:spacing w:after="0" w:line="2" w:lineRule="exact"/>
        <w:rPr>
          <w:rFonts w:ascii="Times New Roman" w:cs="Times New Roman" w:eastAsia="Times New Roman" w:hAnsi="Times New Roman"/>
          <w:sz w:val="20"/>
          <w:szCs w:val="20"/>
          <w:color w:val="auto"/>
        </w:rPr>
      </w:pPr>
    </w:p>
    <w:p>
      <w:pPr>
        <w:ind w:left="840" w:hanging="332"/>
        <w:spacing w:after="0" w:line="230"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should, in the absence of special circumstances, be for a period of not less than six months;</w:t>
      </w:r>
    </w:p>
    <w:p>
      <w:pPr>
        <w:spacing w:after="0" w:line="1" w:lineRule="exact"/>
        <w:rPr>
          <w:rFonts w:ascii="Times New Roman" w:cs="Times New Roman" w:eastAsia="Times New Roman" w:hAnsi="Times New Roman"/>
          <w:sz w:val="20"/>
          <w:szCs w:val="20"/>
          <w:color w:val="auto"/>
        </w:rPr>
      </w:pPr>
    </w:p>
    <w:p>
      <w:pPr>
        <w:ind w:left="840" w:hanging="332"/>
        <w:spacing w:after="0" w:line="224"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should typically provide for relatively simple pricing parameters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limit orders), rather than complex formulae for determining when trading under the plan may occur and at what price;</w:t>
      </w:r>
    </w:p>
    <w:p>
      <w:pPr>
        <w:ind w:left="840" w:hanging="332"/>
        <w:spacing w:after="0" w:line="230"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individual may not adopt more than one single-trade trading plan during any consecutive 12-month period, without the prior approval of the Office of the Corporate Secretary;</w:t>
      </w:r>
    </w:p>
    <w:p>
      <w:pPr>
        <w:spacing w:after="0" w:line="1" w:lineRule="exact"/>
        <w:rPr>
          <w:rFonts w:ascii="Times New Roman" w:cs="Times New Roman" w:eastAsia="Times New Roman" w:hAnsi="Times New Roman"/>
          <w:sz w:val="20"/>
          <w:szCs w:val="20"/>
          <w:color w:val="auto"/>
        </w:rPr>
      </w:pPr>
    </w:p>
    <w:p>
      <w:pPr>
        <w:jc w:val="both"/>
        <w:ind w:left="840" w:hanging="332"/>
        <w:spacing w:after="0" w:line="229"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trading plan may generally not be terminated or amended once it is executed to avoid calling into question the original “bona fides” of the plan; any amendment or termination must receive the prior approval of the Office of the Corporate Secretary and be made only during a non-blackout period when the person is not in possession of material non-public information; transactions under an amended plan in which the amount, price or timing of the purchase or sale of securities is changed (or, regarding an amended plan governed by an algorithm, computer program or formula, changes that impact the amount, price or timing of the purchase or sale of securities) may not commence until the later of (i) 90 days have elapsed from the execution of the amendment and (ii) two business days after the release of the Company’s financial results on Form 10-Q or Form 10-K for the fiscal quarter in which the trading plan was amended, subject to a maximum of 120 days after execution of the amendment of the trading plan;</w:t>
      </w:r>
    </w:p>
    <w:p>
      <w:pPr>
        <w:spacing w:after="0" w:line="2" w:lineRule="exact"/>
        <w:rPr>
          <w:rFonts w:ascii="Times New Roman" w:cs="Times New Roman" w:eastAsia="Times New Roman" w:hAnsi="Times New Roman"/>
          <w:sz w:val="20"/>
          <w:szCs w:val="20"/>
          <w:color w:val="auto"/>
        </w:rPr>
      </w:pPr>
    </w:p>
    <w:p>
      <w:pPr>
        <w:ind w:left="840" w:hanging="332"/>
        <w:spacing w:after="0" w:line="230"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Trading plans do not obviate the need to file Form 144 or Forms 3, 4 or 5 and the fact that a reported transaction was made or is to be made pursuant to a trading plan should be noted on the applicable Form;</w:t>
      </w:r>
    </w:p>
    <w:p>
      <w:pPr>
        <w:spacing w:after="0" w:line="1" w:lineRule="exact"/>
        <w:rPr>
          <w:rFonts w:ascii="Times New Roman" w:cs="Times New Roman" w:eastAsia="Times New Roman" w:hAnsi="Times New Roman"/>
          <w:sz w:val="20"/>
          <w:szCs w:val="20"/>
          <w:color w:val="auto"/>
        </w:rPr>
      </w:pPr>
    </w:p>
    <w:p>
      <w:pPr>
        <w:jc w:val="both"/>
        <w:ind w:left="840" w:hanging="332"/>
        <w:spacing w:after="0" w:line="235" w:lineRule="auto"/>
        <w:tabs>
          <w:tab w:leader="none" w:pos="8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regarding adoption, modification, termination and material terms of the trading plan (including any modification or change to the plan) may be required to be disclosed in the Company’s Quarterly Reports on Form 10-Q and Annual Report on Form 10-K; and</w:t>
      </w:r>
    </w:p>
    <w:p>
      <w:pPr>
        <w:sectPr>
          <w:pgSz w:w="11900" w:h="16838" w:orient="portrait"/>
          <w:cols w:equalWidth="0" w:num="1">
            <w:col w:w="10120"/>
          </w:cols>
          <w:pgMar w:left="1440" w:top="36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960" w:hanging="332"/>
        <w:spacing w:after="0" w:line="251" w:lineRule="auto"/>
        <w:tabs>
          <w:tab w:leader="none" w:pos="1948"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copy of the executed version of any pre-cleared trading plan or any pre-cleared amendment to or modification or termination of a trading plan must be provided to the Office of the Corporate Secretary for retention in accordance with the Company’s Record Retention Policy reasonably promptly upon execution but no later than the last day of the fiscal quarter in which it was executed; and depending on the facts and circumstances, the Office of the Corporate Secretary may require other conditions to pre-clearance.</w:t>
      </w:r>
    </w:p>
    <w:p>
      <w:pPr>
        <w:spacing w:after="0" w:line="191" w:lineRule="exact"/>
        <w:rPr>
          <w:rFonts w:ascii="Times New Roman" w:cs="Times New Roman" w:eastAsia="Times New Roman" w:hAnsi="Times New Roman"/>
          <w:sz w:val="19"/>
          <w:szCs w:val="19"/>
          <w:color w:val="auto"/>
        </w:rPr>
      </w:pPr>
    </w:p>
    <w:p>
      <w:pPr>
        <w:ind w:left="660" w:right="180" w:hanging="328"/>
        <w:spacing w:after="0" w:line="249" w:lineRule="auto"/>
        <w:tabs>
          <w:tab w:leader="none" w:pos="6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Stock Option Exercises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Policy does not apply to the exercise of any employee stock options, whereby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pays out-of-pocket to exercise and hold the stock. This Policy does apply, however, to the “net exercise” of a tax withholding right pursuant to which an employee elects to have the Company withhold shares subject to an option to satisfy tax- withholding requirements or any sale of shares as part of a broker-assisted cashless exercise of an option or any other market sale for the purpose of generating the cash needed to pay the exercise price of an option.</w:t>
      </w:r>
    </w:p>
    <w:p>
      <w:pPr>
        <w:spacing w:after="0" w:line="191" w:lineRule="exact"/>
        <w:rPr>
          <w:rFonts w:ascii="Times New Roman" w:cs="Times New Roman" w:eastAsia="Times New Roman" w:hAnsi="Times New Roman"/>
          <w:sz w:val="21"/>
          <w:szCs w:val="21"/>
          <w:color w:val="auto"/>
        </w:rPr>
      </w:pPr>
    </w:p>
    <w:p>
      <w:pPr>
        <w:jc w:val="both"/>
        <w:ind w:left="660" w:hanging="328"/>
        <w:spacing w:after="0" w:line="234" w:lineRule="auto"/>
        <w:tabs>
          <w:tab w:leader="none" w:pos="6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401(k)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does not apply to purchases of Company stock in a 401(k) plan resulting from an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periodic contribution of money to the plan pursuant to his or her payroll deduction election. This Policy does apply, however, to certain elections an employee may make under a 401(k) plan, including (a) an election to increase or decrease the percentage of an employee’s periodic contributions that will be allocated to the Company stock fund; (b) an election to make an intra-plan transfer of an existing account balance into or out of the Company stock fund; (c) an election to borrow money against an employee’s 401(k) plan account if the loan will result in a liquidation of some or all of the employee’s Company stock fund balance; and (d) an employee’s election to pre-pay a plan loan if the pre-payment will result in allocation of loan proceeds to the Company stock fund.</w:t>
      </w:r>
    </w:p>
    <w:p>
      <w:pPr>
        <w:spacing w:after="0" w:line="200" w:lineRule="exact"/>
        <w:rPr>
          <w:rFonts w:ascii="Times New Roman" w:cs="Times New Roman" w:eastAsia="Times New Roman" w:hAnsi="Times New Roman"/>
          <w:sz w:val="20"/>
          <w:szCs w:val="20"/>
          <w:color w:val="auto"/>
        </w:rPr>
      </w:pPr>
    </w:p>
    <w:p>
      <w:pPr>
        <w:ind w:left="660" w:right="20" w:hanging="328"/>
        <w:spacing w:after="0" w:line="238" w:lineRule="auto"/>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Restricted Stock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does not apply to repurchases by the Company of Company stock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 pre-arranged, irrevocable election by a director or employee to satisfy tax withholding requirements under which shares of restricted stock having a value equal to or less than the minimum amount of tax required to be withheld on the date of any vesting are repurchased by the Company. Such an election must be made at a time when the person was not in possession of material non-public information.</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Indirect Investing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does not apply to the trading, on a national securities exchange, of shares of diversified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 funds and diversified exchange-traded funds (ETFs) that hold Company securities. Other forms of indirect investment, including through partnerships or private funds, that invest in Company securities are subject to this Policy.</w:t>
      </w:r>
    </w:p>
    <w:p>
      <w:pPr>
        <w:spacing w:after="0" w:line="19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Exchange Act Section 16</w:t>
      </w:r>
    </w:p>
    <w:p>
      <w:pPr>
        <w:spacing w:after="0" w:line="224"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auto"/>
        </w:rPr>
        <w:t>Section 16 of the Exchange Act requires Section 16 Individuals to file with the SEC reports on designated forms (i.e., Forms 3, 4 and 5) as to their beneficial ownership of common stock and other equity securities (including derivatives) of the Company and to report purchases, sales and other changes in their ownership of such common stock and securities. Section 16</w:t>
      </w:r>
    </w:p>
    <w:p>
      <w:pPr>
        <w:sectPr>
          <w:pgSz w:w="11900" w:h="16838" w:orient="portrait"/>
          <w:cols w:equalWidth="0" w:num="1">
            <w:col w:w="11240"/>
          </w:cols>
          <w:pgMar w:left="320" w:top="36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Individuals must also comply with the reporting obligations and limitations on short-swing transactions set forth in Section 16 of the Exchange Act. The practical effect of these provisions is that Section 16 Individuals who purchase and sell Company securities within a period of less than six months must disgorge all profits to the Company whether or not they had knowledge of any material non-public information. For purposes of Section 16, Section 16 Individuals are treated as the beneficial owners of securities held by family members sharing their household.</w:t>
      </w:r>
    </w:p>
    <w:p>
      <w:pPr>
        <w:spacing w:after="0" w:line="204" w:lineRule="exact"/>
        <w:rPr>
          <w:sz w:val="20"/>
          <w:szCs w:val="20"/>
          <w:color w:val="auto"/>
        </w:rPr>
      </w:pPr>
    </w:p>
    <w:p>
      <w:pPr>
        <w:jc w:val="both"/>
        <w:ind w:firstLine="756"/>
        <w:spacing w:after="0" w:line="235" w:lineRule="auto"/>
        <w:rPr>
          <w:sz w:val="20"/>
          <w:szCs w:val="20"/>
          <w:color w:val="auto"/>
        </w:rPr>
      </w:pPr>
      <w:r>
        <w:rPr>
          <w:rFonts w:ascii="Times New Roman" w:cs="Times New Roman" w:eastAsia="Times New Roman" w:hAnsi="Times New Roman"/>
          <w:sz w:val="22"/>
          <w:szCs w:val="22"/>
          <w:color w:val="auto"/>
        </w:rPr>
        <w:t>Under these provisions, and so long as certain specific criteria are met, neither the receipt of an option under the Company’s option plans, nor the exercise of that option nor the purchase of common stock under the Company’s employee stock purchase plan, if such a plan is in place, is deemed a purchase under Section 16; however, these transactions must still be reported in accordance with the requirements of Section 16, and the sale of any such shares is a sale under Section 16. The making or receiving of gifts of the Company securities must also be reported under Section 16.</w:t>
      </w:r>
    </w:p>
    <w:p>
      <w:pPr>
        <w:spacing w:after="0" w:line="206" w:lineRule="exact"/>
        <w:rPr>
          <w:sz w:val="20"/>
          <w:szCs w:val="20"/>
          <w:color w:val="auto"/>
        </w:rPr>
      </w:pPr>
    </w:p>
    <w:p>
      <w:pPr>
        <w:jc w:val="both"/>
        <w:ind w:firstLine="756"/>
        <w:spacing w:after="0" w:line="258" w:lineRule="auto"/>
        <w:rPr>
          <w:sz w:val="20"/>
          <w:szCs w:val="20"/>
          <w:color w:val="auto"/>
        </w:rPr>
      </w:pPr>
      <w:r>
        <w:rPr>
          <w:rFonts w:ascii="Times New Roman" w:cs="Times New Roman" w:eastAsia="Times New Roman" w:hAnsi="Times New Roman"/>
          <w:sz w:val="22"/>
          <w:szCs w:val="22"/>
          <w:color w:val="auto"/>
        </w:rPr>
        <w:t>Section 16 Individuals should be aware that trading in Company securities under an approved Rule 10b5-1 plan does not exempt such transactions from the provisions of Section 16, including the reporting requirements.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To ensure compliance with all reporting requirements, a Section 16 Individual </w:t>
      </w:r>
      <w:r>
        <w:rPr>
          <w:rFonts w:ascii="Times New Roman" w:cs="Times New Roman" w:eastAsia="Times New Roman" w:hAnsi="Times New Roman"/>
          <w:sz w:val="22"/>
          <w:szCs w:val="22"/>
          <w:u w:val="single" w:color="auto"/>
          <w:color w:val="auto"/>
        </w:rPr>
        <w:t>must</w:t>
      </w:r>
      <w:r>
        <w:rPr>
          <w:rFonts w:ascii="Times New Roman" w:cs="Times New Roman" w:eastAsia="Times New Roman" w:hAnsi="Times New Roman"/>
          <w:sz w:val="22"/>
          <w:szCs w:val="22"/>
          <w:color w:val="auto"/>
        </w:rPr>
        <w:t>, on the date of any trade, provide with all information relating to the trade that is necessary to properly prepare a Form 4. A Section 16 Individual must also execute a Form 4 (either individually or through a duly-authorized power of attorney) within a sufficient amount of time to allow the Office of the Corporate Secretary to electronically file the Form 4 with the SEC via EDGAR before the end of the second business day following the trade (10:00 p.m. U.S. Eastern Time).</w:t>
      </w:r>
    </w:p>
    <w:p>
      <w:pPr>
        <w:spacing w:after="0" w:line="18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Monitoring Compliance.</w:t>
      </w:r>
    </w:p>
    <w:p>
      <w:pPr>
        <w:spacing w:after="0" w:line="237"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auto"/>
        </w:rPr>
        <w:t>The Office of the Corporate Secretary will monitor compliance with this Policy and the Corporate Secretary will periodically review this Policy with the Audit Committee of the Board of Directors. In addition to the other duties of the Office of the Corporate Secretary under this Policy, the Office of the Corporate Secretary will be responsible for the following:</w:t>
      </w:r>
    </w:p>
    <w:p>
      <w:pPr>
        <w:spacing w:after="0" w:line="200" w:lineRule="exact"/>
        <w:rPr>
          <w:sz w:val="20"/>
          <w:szCs w:val="20"/>
          <w:color w:val="auto"/>
        </w:rPr>
      </w:pPr>
    </w:p>
    <w:p>
      <w:pPr>
        <w:jc w:val="both"/>
        <w:ind w:left="660" w:hanging="328"/>
        <w:spacing w:after="0" w:line="238" w:lineRule="auto"/>
        <w:tabs>
          <w:tab w:leader="none" w:pos="648"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2"/>
          <w:szCs w:val="22"/>
          <w:color w:val="auto"/>
        </w:rPr>
        <w:t>Pre-clearing all transactions involving the Company’s securities by Insiders in order to determine compliance with the Policy, insider trading laws, Section 16 of the Exchange Act and Rule 144 promulgated under the Securities Act of 1933, as amended;</w:t>
      </w:r>
    </w:p>
    <w:p>
      <w:pPr>
        <w:ind w:left="660" w:right="20" w:hanging="328"/>
        <w:spacing w:after="0" w:line="230"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Serving as the designated recipient at the Company of copies of reports filed with the SEC by Section 16 Individuals under Section 16 of the Exchange Act;</w:t>
      </w:r>
    </w:p>
    <w:p>
      <w:pPr>
        <w:spacing w:after="0" w:line="1" w:lineRule="exact"/>
        <w:rPr>
          <w:rFonts w:ascii="Times New Roman" w:cs="Times New Roman" w:eastAsia="Times New Roman" w:hAnsi="Times New Roman"/>
          <w:sz w:val="20"/>
          <w:szCs w:val="20"/>
          <w:color w:val="auto"/>
        </w:rPr>
      </w:pPr>
    </w:p>
    <w:p>
      <w:pPr>
        <w:ind w:left="640" w:hanging="308"/>
        <w:spacing w:after="0" w:line="217"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Assistance in the preparation of Section 16 reports (Forms 3, 4 and 5) for Section 16 Individuals;</w:t>
      </w:r>
    </w:p>
    <w:p>
      <w:pPr>
        <w:ind w:left="640" w:hanging="308"/>
        <w:spacing w:after="0" w:line="230"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Sending notifications to affected persons regarding special blackout periods;</w:t>
      </w:r>
    </w:p>
    <w:p>
      <w:pPr>
        <w:ind w:left="640" w:hanging="308"/>
        <w:spacing w:after="0" w:line="230"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Sending quarterly reminders to Insiders regarding the start and completion of the blackout periods;</w:t>
      </w:r>
    </w:p>
    <w:p>
      <w:pPr>
        <w:ind w:left="640" w:hanging="308"/>
        <w:spacing w:after="0" w:line="230"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Sending reminders to all Section 16 Individuals about their obligations to report under Section 16;</w:t>
      </w:r>
    </w:p>
    <w:p>
      <w:pPr>
        <w:ind w:left="660" w:hanging="328"/>
        <w:spacing w:after="0" w:line="237"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Performance of periodic cross-checks of available materials, which may include Forms 3, 4 and 5, Form 144, officers’ and directors’ questionnaires, and reports received from the</w:t>
      </w:r>
    </w:p>
    <w:p>
      <w:pPr>
        <w:sectPr>
          <w:pgSz w:w="11900" w:h="16838" w:orient="portrait"/>
          <w:cols w:equalWidth="0" w:num="1">
            <w:col w:w="11240"/>
          </w:cols>
          <w:pgMar w:left="320" w:top="36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Company’s stock administrator and transfer agent, to determine trading activity by Insiders;</w:t>
      </w:r>
    </w:p>
    <w:p>
      <w:pPr>
        <w:spacing w:after="0" w:line="14" w:lineRule="exact"/>
        <w:rPr>
          <w:sz w:val="20"/>
          <w:szCs w:val="20"/>
          <w:color w:val="auto"/>
        </w:rPr>
      </w:pPr>
    </w:p>
    <w:p>
      <w:pPr>
        <w:ind w:left="660" w:hanging="328"/>
        <w:spacing w:after="0" w:line="230" w:lineRule="auto"/>
        <w:tabs>
          <w:tab w:leader="none" w:pos="64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Periodic circulation or provision of this Policy (and/or a summary thereof) and provision of training about the Policy to Sabre Persons;</w:t>
      </w:r>
    </w:p>
    <w:p>
      <w:pPr>
        <w:spacing w:after="0" w:line="1" w:lineRule="exact"/>
        <w:rPr>
          <w:rFonts w:ascii="Times New Roman" w:cs="Times New Roman" w:eastAsia="Times New Roman" w:hAnsi="Times New Roman"/>
          <w:sz w:val="20"/>
          <w:szCs w:val="20"/>
          <w:color w:val="auto"/>
        </w:rPr>
      </w:pPr>
    </w:p>
    <w:p>
      <w:pPr>
        <w:ind w:left="640" w:hanging="308"/>
        <w:spacing w:after="0" w:line="230" w:lineRule="auto"/>
        <w:tabs>
          <w:tab w:leader="none" w:pos="6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Prompt circulation or provision of this Policy and provision of training to all persons who become Sabre Persons;</w:t>
      </w:r>
    </w:p>
    <w:p>
      <w:pPr>
        <w:ind w:left="640" w:hanging="308"/>
        <w:spacing w:after="0" w:line="230" w:lineRule="auto"/>
        <w:tabs>
          <w:tab w:leader="none" w:pos="6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Maintenance of a current version of this Policy on the Company’s intranet website; and</w:t>
      </w:r>
    </w:p>
    <w:p>
      <w:pPr>
        <w:ind w:left="660" w:right="180" w:hanging="328"/>
        <w:spacing w:after="0" w:line="231" w:lineRule="auto"/>
        <w:tabs>
          <w:tab w:leader="none" w:pos="64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Assisting the Company in implementation of the Policy, including monitoring relevant changes in law, regulation or best practices and making appropriate changes to this Policy and related practices and procedures.</w:t>
      </w:r>
    </w:p>
    <w:p>
      <w:pPr>
        <w:spacing w:after="0" w:line="200"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w:t>
      </w:r>
    </w:p>
    <w:p>
      <w:pPr>
        <w:spacing w:after="0" w:line="237" w:lineRule="exact"/>
        <w:rPr>
          <w:sz w:val="20"/>
          <w:szCs w:val="20"/>
          <w:color w:val="auto"/>
        </w:rPr>
      </w:pPr>
    </w:p>
    <w:p>
      <w:pPr>
        <w:jc w:val="both"/>
        <w:ind w:firstLine="756"/>
        <w:spacing w:after="0" w:line="282" w:lineRule="auto"/>
        <w:rPr>
          <w:sz w:val="20"/>
          <w:szCs w:val="20"/>
          <w:color w:val="auto"/>
        </w:rPr>
      </w:pPr>
      <w:r>
        <w:rPr>
          <w:rFonts w:ascii="Times New Roman" w:cs="Times New Roman" w:eastAsia="Times New Roman" w:hAnsi="Times New Roman"/>
          <w:sz w:val="21"/>
          <w:szCs w:val="21"/>
          <w:color w:val="auto"/>
        </w:rPr>
        <w:t>The General Counsel may delegate the responsibilities under this Policy to persons under his or her supervision, but the General Counsel retains ultimate responsibility for all matters pertaining to the interpretation and enforcement of this Policy.</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Inquiries.</w:t>
      </w:r>
    </w:p>
    <w:p>
      <w:pPr>
        <w:spacing w:after="0" w:line="237"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Office of the Corporate Secretary. Ultimately, however, the responsibility for adhering to this Policy and avoiding unlawful transactions rests with the individual employee or other applicable individual.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74" w:lineRule="exact"/>
        <w:rPr>
          <w:sz w:val="20"/>
          <w:szCs w:val="20"/>
          <w:color w:val="auto"/>
        </w:rPr>
      </w:pPr>
    </w:p>
    <w:p>
      <w:pPr>
        <w:ind w:left="120" w:hanging="112"/>
        <w:spacing w:after="0"/>
        <w:tabs>
          <w:tab w:leader="none" w:pos="120" w:val="left"/>
        </w:tabs>
        <w:numPr>
          <w:ilvl w:val="0"/>
          <w:numId w:val="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For the avoidance of doubt, a limit order is considered a written trading arrangement for purposes of this Policy.</w:t>
      </w:r>
    </w:p>
    <w:p>
      <w:pPr>
        <w:spacing w:after="0" w:line="201" w:lineRule="exact"/>
        <w:rPr>
          <w:sz w:val="20"/>
          <w:szCs w:val="20"/>
          <w:color w:val="auto"/>
        </w:rPr>
      </w:pPr>
    </w:p>
    <w:p>
      <w:pPr>
        <w:jc w:val="both"/>
        <w:ind w:right="20" w:firstLine="8"/>
        <w:spacing w:after="0" w:line="218" w:lineRule="auto"/>
        <w:tabs>
          <w:tab w:leader="none" w:pos="105"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A series of separate contracts with different broker-dealers or other agents acting on an individual’s behalf to execute trades may be treated as a single plan, provided that (i) the contracts taken together as a whole meet all applicable conditions of this Policy and (ii) a modification of any contract will be treated as a modification of each other contract under the single plan, including for the purpose of applying cooling off periods described elsewhere in this Policy.</w:t>
      </w:r>
    </w:p>
    <w:p>
      <w:pPr>
        <w:sectPr>
          <w:pgSz w:w="11900" w:h="16838" w:orient="portrait"/>
          <w:cols w:equalWidth="0" w:num="1">
            <w:col w:w="11240"/>
          </w:cols>
          <w:pgMar w:left="320" w:top="36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jc w:val="center"/>
        <w:spacing w:after="0"/>
        <w:rPr>
          <w:sz w:val="20"/>
          <w:szCs w:val="20"/>
          <w:color w:val="auto"/>
        </w:rPr>
      </w:pPr>
      <w:r>
        <w:rPr>
          <w:rFonts w:ascii="Arial" w:cs="Arial" w:eastAsia="Arial" w:hAnsi="Arial"/>
          <w:sz w:val="18"/>
          <w:szCs w:val="18"/>
          <w:b w:val="1"/>
          <w:bCs w:val="1"/>
          <w:color w:val="auto"/>
        </w:rPr>
        <w:t>2025 ANNUAL REPORT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Sabre Corporation as of December 31, 2025 and the states or jurisdictions in which they are</w:t>
      </w:r>
    </w:p>
    <w:p>
      <w:pPr>
        <w:spacing w:after="0" w:line="14"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organized. Except as otherwise specified, in each case Sabre Corporation owns, directly or indirectly, all of the voting securities of each subsidiary.</w:t>
      </w:r>
    </w:p>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80" w:type="dxa"/>
            <w:vAlign w:val="bottom"/>
          </w:tcPr>
          <w:p>
            <w:pPr>
              <w:jc w:val="center"/>
              <w:ind w:left="139"/>
              <w:spacing w:after="0"/>
              <w:rPr>
                <w:sz w:val="20"/>
                <w:szCs w:val="20"/>
                <w:color w:val="auto"/>
              </w:rPr>
            </w:pPr>
            <w:r>
              <w:rPr>
                <w:rFonts w:ascii="Arial" w:cs="Arial" w:eastAsia="Arial" w:hAnsi="Arial"/>
                <w:sz w:val="16"/>
                <w:szCs w:val="16"/>
                <w:b w:val="1"/>
                <w:bCs w:val="1"/>
                <w:color w:val="auto"/>
              </w:rPr>
              <w:t>% of Voting Interest</w:t>
            </w:r>
          </w:p>
        </w:tc>
      </w:tr>
      <w:tr>
        <w:trPr>
          <w:trHeight w:val="317"/>
        </w:trPr>
        <w:tc>
          <w:tcPr>
            <w:tcW w:w="3660" w:type="dxa"/>
            <w:vAlign w:val="bottom"/>
          </w:tcPr>
          <w:p>
            <w:pPr>
              <w:spacing w:after="0"/>
              <w:rPr>
                <w:sz w:val="24"/>
                <w:szCs w:val="24"/>
                <w:color w:val="auto"/>
              </w:rPr>
            </w:pPr>
          </w:p>
        </w:tc>
        <w:tc>
          <w:tcPr>
            <w:tcW w:w="2880" w:type="dxa"/>
            <w:vAlign w:val="bottom"/>
          </w:tcPr>
          <w:p>
            <w:pPr>
              <w:jc w:val="center"/>
              <w:ind w:left="119"/>
              <w:spacing w:after="0"/>
              <w:rPr>
                <w:sz w:val="20"/>
                <w:szCs w:val="20"/>
                <w:color w:val="auto"/>
              </w:rPr>
            </w:pPr>
            <w:r>
              <w:rPr>
                <w:rFonts w:ascii="Arial" w:cs="Arial" w:eastAsia="Arial" w:hAnsi="Arial"/>
                <w:sz w:val="16"/>
                <w:szCs w:val="16"/>
                <w:b w:val="1"/>
                <w:bCs w:val="1"/>
                <w:color w:val="auto"/>
              </w:rPr>
              <w:t>Jurisdiction of Incorporation</w:t>
            </w:r>
          </w:p>
        </w:tc>
        <w:tc>
          <w:tcPr>
            <w:tcW w:w="2180" w:type="dxa"/>
            <w:vAlign w:val="bottom"/>
          </w:tcPr>
          <w:p>
            <w:pPr>
              <w:jc w:val="center"/>
              <w:ind w:left="139"/>
              <w:spacing w:after="0"/>
              <w:rPr>
                <w:sz w:val="20"/>
                <w:szCs w:val="20"/>
                <w:color w:val="auto"/>
              </w:rPr>
            </w:pPr>
            <w:r>
              <w:rPr>
                <w:rFonts w:ascii="Arial" w:cs="Arial" w:eastAsia="Arial" w:hAnsi="Arial"/>
                <w:sz w:val="16"/>
                <w:szCs w:val="16"/>
                <w:b w:val="1"/>
                <w:bCs w:val="1"/>
                <w:color w:val="auto"/>
              </w:rPr>
              <w:t>Directly or Indirectly Held</w:t>
            </w:r>
          </w:p>
        </w:tc>
      </w:tr>
      <w:tr>
        <w:trPr>
          <w:trHeight w:val="216"/>
        </w:trPr>
        <w:tc>
          <w:tcPr>
            <w:tcW w:w="3660" w:type="dxa"/>
            <w:vAlign w:val="bottom"/>
          </w:tcPr>
          <w:p>
            <w:pPr>
              <w:spacing w:after="0"/>
              <w:rPr>
                <w:sz w:val="20"/>
                <w:szCs w:val="20"/>
                <w:color w:val="auto"/>
              </w:rPr>
            </w:pPr>
            <w:r>
              <w:rPr>
                <w:rFonts w:ascii="Arial" w:cs="Arial" w:eastAsia="Arial" w:hAnsi="Arial"/>
                <w:sz w:val="16"/>
                <w:szCs w:val="16"/>
                <w:b w:val="1"/>
                <w:bCs w:val="1"/>
                <w:color w:val="auto"/>
              </w:rPr>
              <w:t>Legal Name of Subsidiary</w:t>
            </w:r>
          </w:p>
        </w:tc>
        <w:tc>
          <w:tcPr>
            <w:tcW w:w="2880" w:type="dxa"/>
            <w:vAlign w:val="bottom"/>
          </w:tcPr>
          <w:p>
            <w:pPr>
              <w:jc w:val="center"/>
              <w:ind w:left="119"/>
              <w:spacing w:after="0"/>
              <w:rPr>
                <w:sz w:val="20"/>
                <w:szCs w:val="20"/>
                <w:color w:val="auto"/>
              </w:rPr>
            </w:pPr>
            <w:r>
              <w:rPr>
                <w:rFonts w:ascii="Arial" w:cs="Arial" w:eastAsia="Arial" w:hAnsi="Arial"/>
                <w:sz w:val="16"/>
                <w:szCs w:val="16"/>
                <w:b w:val="1"/>
                <w:bCs w:val="1"/>
                <w:color w:val="auto"/>
              </w:rPr>
              <w:t>or Organization</w:t>
            </w:r>
          </w:p>
        </w:tc>
        <w:tc>
          <w:tcPr>
            <w:tcW w:w="2180" w:type="dxa"/>
            <w:vAlign w:val="bottom"/>
          </w:tcPr>
          <w:p>
            <w:pPr>
              <w:jc w:val="center"/>
              <w:ind w:left="139"/>
              <w:spacing w:after="0"/>
              <w:rPr>
                <w:sz w:val="20"/>
                <w:szCs w:val="20"/>
                <w:color w:val="auto"/>
              </w:rPr>
            </w:pPr>
            <w:r>
              <w:rPr>
                <w:rFonts w:ascii="Arial" w:cs="Arial" w:eastAsia="Arial" w:hAnsi="Arial"/>
                <w:sz w:val="16"/>
                <w:szCs w:val="16"/>
                <w:b w:val="1"/>
                <w:bCs w:val="1"/>
                <w:color w:val="auto"/>
              </w:rPr>
              <w:t>(If Not Wholly-owned)</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Airline Technology Services Mauritius Ltd.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Mauritius</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Asiana Sabre Inc.</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Korea, Republic of</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w w:val="99"/>
              </w:rPr>
              <w:t>20%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Conferma US Inc.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Conferma Ltd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w w:val="99"/>
              </w:rPr>
              <w:t>81%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Conferma Pty Ltd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w w:val="99"/>
              </w:rPr>
              <w:t>Australia</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Conferma Singapore Pte Ltd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Singapore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Elektroniczne Systemy Sprzedazy Sp. ZO.O.</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Poland</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w w:val="99"/>
              </w:rPr>
              <w:t>40%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Excellent Management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Hong Kong</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w w:val="99"/>
              </w:rPr>
              <w:t>20%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EZY Webwerksraden AB</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Sweden</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FERMR Holdings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w w:val="99"/>
              </w:rPr>
              <w:t>81%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Laser Holdings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lastminute.com Holdings, Inc.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lastminute.com LLC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Lastminute.com GmbH i.L.</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Last Minute Network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Leisure Cars Group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Leisure Cars International Limited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Marlins Acquisition Corp</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PRISM Group, Inc.</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Maryland</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PRISM Technologies, LLC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New Mexico</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PT Sabre Travel Network Indonesia</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Indonesia</w:t>
            </w:r>
          </w:p>
        </w:tc>
        <w:tc>
          <w:tcPr>
            <w:tcW w:w="2180" w:type="dxa"/>
            <w:vAlign w:val="bottom"/>
          </w:tcPr>
          <w:p>
            <w:pPr>
              <w:jc w:val="center"/>
              <w:ind w:left="139"/>
              <w:spacing w:after="0"/>
              <w:rPr>
                <w:sz w:val="20"/>
                <w:szCs w:val="20"/>
                <w:color w:val="auto"/>
              </w:rPr>
            </w:pPr>
            <w:r>
              <w:rPr>
                <w:rFonts w:ascii="Arial" w:cs="Arial" w:eastAsia="Arial" w:hAnsi="Arial"/>
                <w:sz w:val="16"/>
                <w:szCs w:val="16"/>
                <w:color w:val="auto"/>
              </w:rPr>
              <w:t>5%</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Radixx Solutions International, Inc.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RSI Midco, Inc.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Sabre (Australia) Pty Ltd</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w w:val="99"/>
              </w:rPr>
              <w:t>Australia</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Sabre (Thailand) Holdings LLC</w:t>
            </w:r>
          </w:p>
        </w:tc>
        <w:tc>
          <w:tcPr>
            <w:tcW w:w="2880" w:type="dxa"/>
            <w:vAlign w:val="bottom"/>
          </w:tcPr>
          <w:p>
            <w:pPr>
              <w:jc w:val="center"/>
              <w:ind w:left="119"/>
              <w:spacing w:after="0"/>
              <w:rPr>
                <w:sz w:val="20"/>
                <w:szCs w:val="20"/>
                <w:color w:val="auto"/>
              </w:rPr>
            </w:pPr>
            <w:r>
              <w:rPr>
                <w:rFonts w:ascii="Arial" w:cs="Arial" w:eastAsia="Arial" w:hAnsi="Arial"/>
                <w:sz w:val="16"/>
                <w:szCs w:val="16"/>
                <w:color w:val="auto"/>
              </w:rPr>
              <w:t>Delaware</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Sabre Airline Solutions GmbH</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1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Sabre AS (Luxembourg) S.a r.l.</w:t>
            </w:r>
          </w:p>
        </w:tc>
        <w:tc>
          <w:tcPr>
            <w:tcW w:w="2880" w:type="dxa"/>
            <w:vAlign w:val="bottom"/>
          </w:tcPr>
          <w:p>
            <w:pPr>
              <w:jc w:val="center"/>
              <w:ind w:left="139"/>
              <w:spacing w:after="0"/>
              <w:rPr>
                <w:sz w:val="20"/>
                <w:szCs w:val="20"/>
                <w:color w:val="auto"/>
              </w:rPr>
            </w:pPr>
            <w:r>
              <w:rPr>
                <w:rFonts w:ascii="Arial" w:cs="Arial" w:eastAsia="Arial" w:hAnsi="Arial"/>
                <w:sz w:val="16"/>
                <w:szCs w:val="16"/>
                <w:color w:val="auto"/>
              </w:rPr>
              <w:t>Luxembourg</w:t>
            </w:r>
          </w:p>
        </w:tc>
        <w:tc>
          <w:tcPr>
            <w:tcW w:w="2180" w:type="dxa"/>
            <w:vAlign w:val="bottom"/>
          </w:tcPr>
          <w:p>
            <w:pPr>
              <w:spacing w:after="0"/>
              <w:rPr>
                <w:sz w:val="18"/>
                <w:szCs w:val="18"/>
                <w:color w:val="auto"/>
              </w:rPr>
            </w:pPr>
          </w:p>
        </w:tc>
      </w:tr>
    </w:tbl>
    <w:p>
      <w:pPr>
        <w:sectPr>
          <w:pgSz w:w="11900" w:h="16838" w:orient="portrait"/>
          <w:cols w:equalWidth="0" w:num="1">
            <w:col w:w="11240"/>
          </w:cols>
          <w:pgMar w:left="320" w:top="36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20"/>
                <w:szCs w:val="20"/>
                <w:color w:val="auto"/>
              </w:rPr>
            </w:pPr>
            <w:r>
              <w:rPr>
                <w:rFonts w:ascii="Arial" w:cs="Arial" w:eastAsia="Arial" w:hAnsi="Arial"/>
                <w:sz w:val="16"/>
                <w:szCs w:val="16"/>
                <w:color w:val="auto"/>
              </w:rPr>
              <w:t>Sabre Asia Pacific Pte. Ltd.</w:t>
            </w:r>
          </w:p>
        </w:tc>
        <w:tc>
          <w:tcPr>
            <w:tcW w:w="3300" w:type="dxa"/>
            <w:vAlign w:val="bottom"/>
          </w:tcPr>
          <w:p>
            <w:pPr>
              <w:jc w:val="center"/>
              <w:spacing w:after="0"/>
              <w:rPr>
                <w:sz w:val="20"/>
                <w:szCs w:val="20"/>
                <w:color w:val="auto"/>
              </w:rPr>
            </w:pPr>
            <w:r>
              <w:rPr>
                <w:rFonts w:ascii="Arial" w:cs="Arial" w:eastAsia="Arial" w:hAnsi="Arial"/>
                <w:sz w:val="16"/>
                <w:szCs w:val="16"/>
                <w:color w:val="auto"/>
              </w:rPr>
              <w:t>Singapore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Australia Technologies I Pty. Ltd.</w:t>
            </w:r>
          </w:p>
        </w:tc>
        <w:tc>
          <w:tcPr>
            <w:tcW w:w="3300" w:type="dxa"/>
            <w:vAlign w:val="bottom"/>
          </w:tcPr>
          <w:p>
            <w:pPr>
              <w:jc w:val="center"/>
              <w:spacing w:after="0"/>
              <w:rPr>
                <w:sz w:val="20"/>
                <w:szCs w:val="20"/>
                <w:color w:val="auto"/>
              </w:rPr>
            </w:pPr>
            <w:r>
              <w:rPr>
                <w:rFonts w:ascii="Arial" w:cs="Arial" w:eastAsia="Arial" w:hAnsi="Arial"/>
                <w:sz w:val="16"/>
                <w:szCs w:val="16"/>
                <w:color w:val="auto"/>
                <w:w w:val="99"/>
              </w:rPr>
              <w:t>Australia</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Belgium SA</w:t>
            </w:r>
          </w:p>
        </w:tc>
        <w:tc>
          <w:tcPr>
            <w:tcW w:w="3300" w:type="dxa"/>
            <w:vAlign w:val="bottom"/>
          </w:tcPr>
          <w:p>
            <w:pPr>
              <w:jc w:val="center"/>
              <w:spacing w:after="0"/>
              <w:rPr>
                <w:sz w:val="20"/>
                <w:szCs w:val="20"/>
                <w:color w:val="auto"/>
              </w:rPr>
            </w:pPr>
            <w:r>
              <w:rPr>
                <w:rFonts w:ascii="Arial" w:cs="Arial" w:eastAsia="Arial" w:hAnsi="Arial"/>
                <w:sz w:val="16"/>
                <w:szCs w:val="16"/>
                <w:color w:val="auto"/>
              </w:rPr>
              <w:t>Belgium</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Bulgaria AD</w:t>
            </w:r>
          </w:p>
        </w:tc>
        <w:tc>
          <w:tcPr>
            <w:tcW w:w="3300" w:type="dxa"/>
            <w:vAlign w:val="bottom"/>
          </w:tcPr>
          <w:p>
            <w:pPr>
              <w:jc w:val="center"/>
              <w:spacing w:after="0"/>
              <w:rPr>
                <w:sz w:val="20"/>
                <w:szCs w:val="20"/>
                <w:color w:val="auto"/>
              </w:rPr>
            </w:pPr>
            <w:r>
              <w:rPr>
                <w:rFonts w:ascii="Arial" w:cs="Arial" w:eastAsia="Arial" w:hAnsi="Arial"/>
                <w:sz w:val="16"/>
                <w:szCs w:val="16"/>
                <w:color w:val="auto"/>
                <w:w w:val="98"/>
              </w:rPr>
              <w:t>Bulgaria</w:t>
            </w: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Canada Inc.</w:t>
            </w:r>
          </w:p>
        </w:tc>
        <w:tc>
          <w:tcPr>
            <w:tcW w:w="3300" w:type="dxa"/>
            <w:vAlign w:val="bottom"/>
          </w:tcPr>
          <w:p>
            <w:pPr>
              <w:jc w:val="center"/>
              <w:spacing w:after="0"/>
              <w:rPr>
                <w:sz w:val="20"/>
                <w:szCs w:val="20"/>
                <w:color w:val="auto"/>
              </w:rPr>
            </w:pPr>
            <w:r>
              <w:rPr>
                <w:rFonts w:ascii="Arial" w:cs="Arial" w:eastAsia="Arial" w:hAnsi="Arial"/>
                <w:sz w:val="16"/>
                <w:szCs w:val="16"/>
                <w:color w:val="auto"/>
              </w:rPr>
              <w:t>Canada</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China Sea Technologies Ltd.</w:t>
            </w:r>
          </w:p>
        </w:tc>
        <w:tc>
          <w:tcPr>
            <w:tcW w:w="3300" w:type="dxa"/>
            <w:vAlign w:val="bottom"/>
          </w:tcPr>
          <w:p>
            <w:pPr>
              <w:jc w:val="center"/>
              <w:spacing w:after="0"/>
              <w:rPr>
                <w:sz w:val="20"/>
                <w:szCs w:val="20"/>
                <w:color w:val="auto"/>
              </w:rPr>
            </w:pPr>
            <w:r>
              <w:rPr>
                <w:rFonts w:ascii="Arial" w:cs="Arial" w:eastAsia="Arial" w:hAnsi="Arial"/>
                <w:sz w:val="16"/>
                <w:szCs w:val="16"/>
                <w:color w:val="auto"/>
              </w:rPr>
              <w:t>Labuan</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Colombia Ltda.</w:t>
            </w:r>
          </w:p>
        </w:tc>
        <w:tc>
          <w:tcPr>
            <w:tcW w:w="3300" w:type="dxa"/>
            <w:vAlign w:val="bottom"/>
          </w:tcPr>
          <w:p>
            <w:pPr>
              <w:jc w:val="center"/>
              <w:spacing w:after="0"/>
              <w:rPr>
                <w:sz w:val="20"/>
                <w:szCs w:val="20"/>
                <w:color w:val="auto"/>
              </w:rPr>
            </w:pPr>
            <w:r>
              <w:rPr>
                <w:rFonts w:ascii="Arial" w:cs="Arial" w:eastAsia="Arial" w:hAnsi="Arial"/>
                <w:sz w:val="16"/>
                <w:szCs w:val="16"/>
                <w:color w:val="auto"/>
              </w:rPr>
              <w:t>Colombia</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Austria Marketing GmbH</w:t>
            </w:r>
          </w:p>
        </w:tc>
        <w:tc>
          <w:tcPr>
            <w:tcW w:w="3300" w:type="dxa"/>
            <w:vAlign w:val="bottom"/>
          </w:tcPr>
          <w:p>
            <w:pPr>
              <w:jc w:val="center"/>
              <w:spacing w:after="0"/>
              <w:rPr>
                <w:sz w:val="20"/>
                <w:szCs w:val="20"/>
                <w:color w:val="auto"/>
              </w:rPr>
            </w:pPr>
            <w:r>
              <w:rPr>
                <w:rFonts w:ascii="Arial" w:cs="Arial" w:eastAsia="Arial" w:hAnsi="Arial"/>
                <w:sz w:val="16"/>
                <w:szCs w:val="16"/>
                <w:color w:val="auto"/>
              </w:rPr>
              <w:t>Austria</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Danmark ApS</w:t>
            </w:r>
          </w:p>
        </w:tc>
        <w:tc>
          <w:tcPr>
            <w:tcW w:w="3300" w:type="dxa"/>
            <w:vAlign w:val="bottom"/>
          </w:tcPr>
          <w:p>
            <w:pPr>
              <w:jc w:val="center"/>
              <w:spacing w:after="0"/>
              <w:rPr>
                <w:sz w:val="20"/>
                <w:szCs w:val="20"/>
                <w:color w:val="auto"/>
              </w:rPr>
            </w:pPr>
            <w:r>
              <w:rPr>
                <w:rFonts w:ascii="Arial" w:cs="Arial" w:eastAsia="Arial" w:hAnsi="Arial"/>
                <w:sz w:val="16"/>
                <w:szCs w:val="16"/>
                <w:color w:val="auto"/>
              </w:rPr>
              <w:t>Denmark</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Decision Technologies International,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Deutschland Marketing GmbH</w:t>
            </w:r>
          </w:p>
        </w:tc>
        <w:tc>
          <w:tcPr>
            <w:tcW w:w="3300" w:type="dxa"/>
            <w:vAlign w:val="bottom"/>
          </w:tcPr>
          <w:p>
            <w:pPr>
              <w:jc w:val="center"/>
              <w:spacing w:after="0"/>
              <w:rPr>
                <w:sz w:val="20"/>
                <w:szCs w:val="20"/>
                <w:color w:val="auto"/>
              </w:rPr>
            </w:pPr>
            <w:r>
              <w:rPr>
                <w:rFonts w:ascii="Arial" w:cs="Arial" w:eastAsia="Arial" w:hAnsi="Arial"/>
                <w:sz w:val="16"/>
                <w:szCs w:val="16"/>
                <w:color w:val="auto"/>
              </w:rPr>
              <w:t>Germany</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EMEA Marketing Limited</w:t>
            </w:r>
          </w:p>
        </w:tc>
        <w:tc>
          <w:tcPr>
            <w:tcW w:w="3300" w:type="dxa"/>
            <w:vAlign w:val="bottom"/>
          </w:tcPr>
          <w:p>
            <w:pPr>
              <w:jc w:val="center"/>
              <w:spacing w:after="0"/>
              <w:rPr>
                <w:sz w:val="20"/>
                <w:szCs w:val="20"/>
                <w:color w:val="auto"/>
              </w:rPr>
            </w:pPr>
            <w:r>
              <w:rPr>
                <w:rFonts w:ascii="Arial" w:cs="Arial" w:eastAsia="Arial" w:hAnsi="Arial"/>
                <w:sz w:val="16"/>
                <w:szCs w:val="16"/>
                <w:color w:val="auto"/>
              </w:rPr>
              <w:t>United Kingdom</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Espana Marketing, S.A.U.</w:t>
            </w:r>
          </w:p>
        </w:tc>
        <w:tc>
          <w:tcPr>
            <w:tcW w:w="3300" w:type="dxa"/>
            <w:vAlign w:val="bottom"/>
          </w:tcPr>
          <w:p>
            <w:pPr>
              <w:jc w:val="center"/>
              <w:spacing w:after="0"/>
              <w:rPr>
                <w:sz w:val="20"/>
                <w:szCs w:val="20"/>
                <w:color w:val="auto"/>
              </w:rPr>
            </w:pPr>
            <w:r>
              <w:rPr>
                <w:rFonts w:ascii="Arial" w:cs="Arial" w:eastAsia="Arial" w:hAnsi="Arial"/>
                <w:sz w:val="16"/>
                <w:szCs w:val="16"/>
                <w:color w:val="auto"/>
              </w:rPr>
              <w:t>Spain</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Finance (Luxembourg) S.a.r.l.</w:t>
            </w:r>
          </w:p>
        </w:tc>
        <w:tc>
          <w:tcPr>
            <w:tcW w:w="3300" w:type="dxa"/>
            <w:vAlign w:val="bottom"/>
          </w:tcPr>
          <w:p>
            <w:pPr>
              <w:jc w:val="center"/>
              <w:spacing w:after="0"/>
              <w:rPr>
                <w:sz w:val="20"/>
                <w:szCs w:val="20"/>
                <w:color w:val="auto"/>
              </w:rPr>
            </w:pPr>
            <w:r>
              <w:rPr>
                <w:rFonts w:ascii="Arial" w:cs="Arial" w:eastAsia="Arial" w:hAnsi="Arial"/>
                <w:sz w:val="16"/>
                <w:szCs w:val="16"/>
                <w:color w:val="auto"/>
              </w:rPr>
              <w:t>Luxembourg</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Financial Borrower,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Financing Holdings,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France Sarl</w:t>
            </w:r>
          </w:p>
        </w:tc>
        <w:tc>
          <w:tcPr>
            <w:tcW w:w="3300" w:type="dxa"/>
            <w:vAlign w:val="bottom"/>
          </w:tcPr>
          <w:p>
            <w:pPr>
              <w:jc w:val="center"/>
              <w:spacing w:after="0"/>
              <w:rPr>
                <w:sz w:val="20"/>
                <w:szCs w:val="20"/>
                <w:color w:val="auto"/>
              </w:rPr>
            </w:pPr>
            <w:r>
              <w:rPr>
                <w:rFonts w:ascii="Arial" w:cs="Arial" w:eastAsia="Arial" w:hAnsi="Arial"/>
                <w:sz w:val="16"/>
                <w:szCs w:val="16"/>
                <w:color w:val="auto"/>
              </w:rPr>
              <w:t>France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GDC,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GLBL Inc.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Global Services S.A.</w:t>
            </w:r>
          </w:p>
        </w:tc>
        <w:tc>
          <w:tcPr>
            <w:tcW w:w="3300" w:type="dxa"/>
            <w:vAlign w:val="bottom"/>
          </w:tcPr>
          <w:p>
            <w:pPr>
              <w:jc w:val="center"/>
              <w:spacing w:after="0"/>
              <w:rPr>
                <w:sz w:val="20"/>
                <w:szCs w:val="20"/>
                <w:color w:val="auto"/>
              </w:rPr>
            </w:pPr>
            <w:r>
              <w:rPr>
                <w:rFonts w:ascii="Arial" w:cs="Arial" w:eastAsia="Arial" w:hAnsi="Arial"/>
                <w:sz w:val="16"/>
                <w:szCs w:val="16"/>
                <w:color w:val="auto"/>
              </w:rPr>
              <w:t>Uruguay</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Global Technologies Limited</w:t>
            </w:r>
          </w:p>
        </w:tc>
        <w:tc>
          <w:tcPr>
            <w:tcW w:w="3300" w:type="dxa"/>
            <w:vAlign w:val="bottom"/>
          </w:tcPr>
          <w:p>
            <w:pPr>
              <w:jc w:val="center"/>
              <w:spacing w:after="0"/>
              <w:rPr>
                <w:sz w:val="20"/>
                <w:szCs w:val="20"/>
                <w:color w:val="auto"/>
              </w:rPr>
            </w:pPr>
            <w:r>
              <w:rPr>
                <w:rFonts w:ascii="Arial" w:cs="Arial" w:eastAsia="Arial" w:hAnsi="Arial"/>
                <w:sz w:val="16"/>
                <w:szCs w:val="16"/>
                <w:color w:val="auto"/>
              </w:rPr>
              <w:t>United Kingdom</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Headquarters,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Hellas Computer Reservation Systems</w:t>
            </w:r>
          </w:p>
        </w:tc>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Services Societe Anonyme</w:t>
            </w:r>
          </w:p>
        </w:tc>
        <w:tc>
          <w:tcPr>
            <w:tcW w:w="3300" w:type="dxa"/>
            <w:vAlign w:val="bottom"/>
          </w:tcPr>
          <w:p>
            <w:pPr>
              <w:jc w:val="center"/>
              <w:spacing w:after="0"/>
              <w:rPr>
                <w:sz w:val="20"/>
                <w:szCs w:val="20"/>
                <w:color w:val="auto"/>
              </w:rPr>
            </w:pPr>
            <w:r>
              <w:rPr>
                <w:rFonts w:ascii="Arial" w:cs="Arial" w:eastAsia="Arial" w:hAnsi="Arial"/>
                <w:sz w:val="16"/>
                <w:szCs w:val="16"/>
                <w:color w:val="auto"/>
              </w:rPr>
              <w:t>Greece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Holdings (Luxembourg) S.a.r.l.</w:t>
            </w:r>
          </w:p>
        </w:tc>
        <w:tc>
          <w:tcPr>
            <w:tcW w:w="3300" w:type="dxa"/>
            <w:vAlign w:val="bottom"/>
          </w:tcPr>
          <w:p>
            <w:pPr>
              <w:jc w:val="center"/>
              <w:spacing w:after="0"/>
              <w:rPr>
                <w:sz w:val="20"/>
                <w:szCs w:val="20"/>
                <w:color w:val="auto"/>
              </w:rPr>
            </w:pPr>
            <w:r>
              <w:rPr>
                <w:rFonts w:ascii="Arial" w:cs="Arial" w:eastAsia="Arial" w:hAnsi="Arial"/>
                <w:sz w:val="16"/>
                <w:szCs w:val="16"/>
                <w:color w:val="auto"/>
              </w:rPr>
              <w:t>Luxembourg</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Holdings Corporation</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Holdings GmbH</w:t>
            </w:r>
          </w:p>
        </w:tc>
        <w:tc>
          <w:tcPr>
            <w:tcW w:w="3300" w:type="dxa"/>
            <w:vAlign w:val="bottom"/>
          </w:tcPr>
          <w:p>
            <w:pPr>
              <w:jc w:val="center"/>
              <w:spacing w:after="0"/>
              <w:rPr>
                <w:sz w:val="20"/>
                <w:szCs w:val="20"/>
                <w:color w:val="auto"/>
              </w:rPr>
            </w:pPr>
            <w:r>
              <w:rPr>
                <w:rFonts w:ascii="Arial" w:cs="Arial" w:eastAsia="Arial" w:hAnsi="Arial"/>
                <w:sz w:val="16"/>
                <w:szCs w:val="16"/>
                <w:color w:val="auto"/>
              </w:rPr>
              <w:t>Germany</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Iceland ehf.</w:t>
            </w:r>
          </w:p>
        </w:tc>
        <w:tc>
          <w:tcPr>
            <w:tcW w:w="3300" w:type="dxa"/>
            <w:vAlign w:val="bottom"/>
          </w:tcPr>
          <w:p>
            <w:pPr>
              <w:jc w:val="center"/>
              <w:spacing w:after="0"/>
              <w:rPr>
                <w:sz w:val="20"/>
                <w:szCs w:val="20"/>
                <w:color w:val="auto"/>
              </w:rPr>
            </w:pPr>
            <w:r>
              <w:rPr>
                <w:rFonts w:ascii="Arial" w:cs="Arial" w:eastAsia="Arial" w:hAnsi="Arial"/>
                <w:sz w:val="16"/>
                <w:szCs w:val="16"/>
                <w:color w:val="auto"/>
              </w:rPr>
              <w:t>Iceland</w:t>
            </w:r>
          </w:p>
        </w:tc>
        <w:tc>
          <w:tcPr>
            <w:tcW w:w="1420" w:type="dxa"/>
            <w:vAlign w:val="bottom"/>
          </w:tcPr>
          <w:p>
            <w:pPr>
              <w:spacing w:after="0"/>
              <w:rPr>
                <w:sz w:val="18"/>
                <w:szCs w:val="18"/>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Sabre Informacion S.A. de C.V.</w:t>
            </w:r>
          </w:p>
        </w:tc>
        <w:tc>
          <w:tcPr>
            <w:tcW w:w="3300" w:type="dxa"/>
            <w:vAlign w:val="bottom"/>
          </w:tcPr>
          <w:p>
            <w:pPr>
              <w:jc w:val="center"/>
              <w:spacing w:after="0"/>
              <w:rPr>
                <w:sz w:val="20"/>
                <w:szCs w:val="20"/>
                <w:color w:val="auto"/>
              </w:rPr>
            </w:pPr>
            <w:r>
              <w:rPr>
                <w:rFonts w:ascii="Arial" w:cs="Arial" w:eastAsia="Arial" w:hAnsi="Arial"/>
                <w:sz w:val="16"/>
                <w:szCs w:val="16"/>
                <w:color w:val="auto"/>
                <w:w w:val="98"/>
              </w:rPr>
              <w:t>Mexico</w:t>
            </w:r>
          </w:p>
        </w:tc>
        <w:tc>
          <w:tcPr>
            <w:tcW w:w="142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6"/>
                <w:szCs w:val="16"/>
                <w:color w:val="auto"/>
              </w:rPr>
              <w:t>Sabre Intergroup LLC</w:t>
            </w:r>
          </w:p>
        </w:tc>
        <w:tc>
          <w:tcPr>
            <w:tcW w:w="3300" w:type="dxa"/>
            <w:vAlign w:val="bottom"/>
          </w:tcPr>
          <w:p>
            <w:pPr>
              <w:jc w:val="center"/>
              <w:spacing w:after="0"/>
              <w:rPr>
                <w:sz w:val="20"/>
                <w:szCs w:val="20"/>
                <w:color w:val="auto"/>
              </w:rPr>
            </w:pPr>
            <w:r>
              <w:rPr>
                <w:rFonts w:ascii="Arial" w:cs="Arial" w:eastAsia="Arial" w:hAnsi="Arial"/>
                <w:sz w:val="18"/>
                <w:szCs w:val="18"/>
                <w:color w:val="auto"/>
                <w:w w:val="98"/>
              </w:rPr>
              <w:t>Russia</w:t>
            </w:r>
          </w:p>
        </w:tc>
        <w:tc>
          <w:tcPr>
            <w:tcW w:w="14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4460" w:type="dxa"/>
            <w:vAlign w:val="bottom"/>
          </w:tcPr>
          <w:p>
            <w:pPr>
              <w:spacing w:after="0"/>
              <w:rPr>
                <w:sz w:val="20"/>
                <w:szCs w:val="20"/>
                <w:color w:val="auto"/>
              </w:rPr>
            </w:pPr>
            <w:r>
              <w:rPr>
                <w:rFonts w:ascii="Arial" w:cs="Arial" w:eastAsia="Arial" w:hAnsi="Arial"/>
                <w:sz w:val="16"/>
                <w:szCs w:val="16"/>
                <w:color w:val="auto"/>
              </w:rPr>
              <w:t>Sabre International (Bahrain) W.L.L.</w:t>
            </w:r>
          </w:p>
        </w:tc>
        <w:tc>
          <w:tcPr>
            <w:tcW w:w="3300" w:type="dxa"/>
            <w:vAlign w:val="bottom"/>
          </w:tcPr>
          <w:p>
            <w:pPr>
              <w:jc w:val="center"/>
              <w:spacing w:after="0"/>
              <w:rPr>
                <w:sz w:val="20"/>
                <w:szCs w:val="20"/>
                <w:color w:val="auto"/>
              </w:rPr>
            </w:pPr>
            <w:r>
              <w:rPr>
                <w:rFonts w:ascii="Arial" w:cs="Arial" w:eastAsia="Arial" w:hAnsi="Arial"/>
                <w:sz w:val="16"/>
                <w:szCs w:val="16"/>
                <w:color w:val="auto"/>
                <w:w w:val="97"/>
              </w:rPr>
              <w:t>Bahrain</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International (Luxembourg) S.a.r.l.</w:t>
            </w:r>
          </w:p>
        </w:tc>
        <w:tc>
          <w:tcPr>
            <w:tcW w:w="3300" w:type="dxa"/>
            <w:vAlign w:val="bottom"/>
          </w:tcPr>
          <w:p>
            <w:pPr>
              <w:jc w:val="center"/>
              <w:spacing w:after="0"/>
              <w:rPr>
                <w:sz w:val="20"/>
                <w:szCs w:val="20"/>
                <w:color w:val="auto"/>
              </w:rPr>
            </w:pPr>
            <w:r>
              <w:rPr>
                <w:rFonts w:ascii="Arial" w:cs="Arial" w:eastAsia="Arial" w:hAnsi="Arial"/>
                <w:sz w:val="16"/>
                <w:szCs w:val="16"/>
                <w:color w:val="auto"/>
              </w:rPr>
              <w:t>Luxembourg</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International B.V.</w:t>
            </w:r>
          </w:p>
        </w:tc>
        <w:tc>
          <w:tcPr>
            <w:tcW w:w="3300" w:type="dxa"/>
            <w:vAlign w:val="bottom"/>
          </w:tcPr>
          <w:p>
            <w:pPr>
              <w:jc w:val="center"/>
              <w:spacing w:after="0"/>
              <w:rPr>
                <w:sz w:val="20"/>
                <w:szCs w:val="20"/>
                <w:color w:val="auto"/>
              </w:rPr>
            </w:pPr>
            <w:r>
              <w:rPr>
                <w:rFonts w:ascii="Arial" w:cs="Arial" w:eastAsia="Arial" w:hAnsi="Arial"/>
                <w:sz w:val="16"/>
                <w:szCs w:val="16"/>
                <w:color w:val="auto"/>
                <w:w w:val="99"/>
              </w:rPr>
              <w:t>Netherlands</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International Holdings,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International Newco, Inc.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International,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Ireland Limited</w:t>
            </w:r>
          </w:p>
        </w:tc>
        <w:tc>
          <w:tcPr>
            <w:tcW w:w="3300" w:type="dxa"/>
            <w:vAlign w:val="bottom"/>
          </w:tcPr>
          <w:p>
            <w:pPr>
              <w:jc w:val="center"/>
              <w:spacing w:after="0"/>
              <w:rPr>
                <w:sz w:val="20"/>
                <w:szCs w:val="20"/>
                <w:color w:val="auto"/>
              </w:rPr>
            </w:pPr>
            <w:r>
              <w:rPr>
                <w:rFonts w:ascii="Arial" w:cs="Arial" w:eastAsia="Arial" w:hAnsi="Arial"/>
                <w:sz w:val="16"/>
                <w:szCs w:val="16"/>
                <w:color w:val="auto"/>
              </w:rPr>
              <w:t>Ireland</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Israel Travel Technologies LTD.</w:t>
            </w:r>
          </w:p>
        </w:tc>
        <w:tc>
          <w:tcPr>
            <w:tcW w:w="3300" w:type="dxa"/>
            <w:vAlign w:val="bottom"/>
          </w:tcPr>
          <w:p>
            <w:pPr>
              <w:jc w:val="center"/>
              <w:spacing w:after="0"/>
              <w:rPr>
                <w:sz w:val="20"/>
                <w:szCs w:val="20"/>
                <w:color w:val="auto"/>
              </w:rPr>
            </w:pPr>
            <w:r>
              <w:rPr>
                <w:rFonts w:ascii="Arial" w:cs="Arial" w:eastAsia="Arial" w:hAnsi="Arial"/>
                <w:sz w:val="16"/>
                <w:szCs w:val="16"/>
                <w:color w:val="auto"/>
                <w:w w:val="97"/>
              </w:rPr>
              <w:t>Israel</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Italia S.r.l.</w:t>
            </w:r>
          </w:p>
        </w:tc>
        <w:tc>
          <w:tcPr>
            <w:tcW w:w="3300" w:type="dxa"/>
            <w:vAlign w:val="bottom"/>
          </w:tcPr>
          <w:p>
            <w:pPr>
              <w:jc w:val="center"/>
              <w:spacing w:after="0"/>
              <w:rPr>
                <w:sz w:val="20"/>
                <w:szCs w:val="20"/>
                <w:color w:val="auto"/>
              </w:rPr>
            </w:pPr>
            <w:r>
              <w:rPr>
                <w:rFonts w:ascii="Arial" w:cs="Arial" w:eastAsia="Arial" w:hAnsi="Arial"/>
                <w:sz w:val="16"/>
                <w:szCs w:val="16"/>
                <w:color w:val="auto"/>
              </w:rPr>
              <w:t>Italy</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Limited</w:t>
            </w:r>
          </w:p>
        </w:tc>
        <w:tc>
          <w:tcPr>
            <w:tcW w:w="3300" w:type="dxa"/>
            <w:vAlign w:val="bottom"/>
          </w:tcPr>
          <w:p>
            <w:pPr>
              <w:jc w:val="center"/>
              <w:spacing w:after="0"/>
              <w:rPr>
                <w:sz w:val="20"/>
                <w:szCs w:val="20"/>
                <w:color w:val="auto"/>
              </w:rPr>
            </w:pPr>
            <w:r>
              <w:rPr>
                <w:rFonts w:ascii="Arial" w:cs="Arial" w:eastAsia="Arial" w:hAnsi="Arial"/>
                <w:sz w:val="16"/>
                <w:szCs w:val="16"/>
                <w:color w:val="auto"/>
                <w:w w:val="99"/>
              </w:rPr>
              <w:t>New Zealand</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Marketing Nederland B.V.</w:t>
            </w:r>
          </w:p>
        </w:tc>
        <w:tc>
          <w:tcPr>
            <w:tcW w:w="3300" w:type="dxa"/>
            <w:vAlign w:val="bottom"/>
          </w:tcPr>
          <w:p>
            <w:pPr>
              <w:jc w:val="center"/>
              <w:spacing w:after="0"/>
              <w:rPr>
                <w:sz w:val="20"/>
                <w:szCs w:val="20"/>
                <w:color w:val="auto"/>
              </w:rPr>
            </w:pPr>
            <w:r>
              <w:rPr>
                <w:rFonts w:ascii="Arial" w:cs="Arial" w:eastAsia="Arial" w:hAnsi="Arial"/>
                <w:sz w:val="16"/>
                <w:szCs w:val="16"/>
                <w:color w:val="auto"/>
                <w:w w:val="99"/>
              </w:rPr>
              <w:t>Netherlands</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Marketing Pte. Ltd.</w:t>
            </w:r>
          </w:p>
        </w:tc>
        <w:tc>
          <w:tcPr>
            <w:tcW w:w="3300" w:type="dxa"/>
            <w:vAlign w:val="bottom"/>
          </w:tcPr>
          <w:p>
            <w:pPr>
              <w:jc w:val="center"/>
              <w:spacing w:after="0"/>
              <w:rPr>
                <w:sz w:val="20"/>
                <w:szCs w:val="20"/>
                <w:color w:val="auto"/>
              </w:rPr>
            </w:pPr>
            <w:r>
              <w:rPr>
                <w:rFonts w:ascii="Arial" w:cs="Arial" w:eastAsia="Arial" w:hAnsi="Arial"/>
                <w:sz w:val="16"/>
                <w:szCs w:val="16"/>
                <w:color w:val="auto"/>
              </w:rPr>
              <w:t>Singapore</w:t>
            </w:r>
          </w:p>
        </w:tc>
        <w:tc>
          <w:tcPr>
            <w:tcW w:w="14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Mexico LLC</w:t>
            </w:r>
          </w:p>
        </w:tc>
        <w:tc>
          <w:tcPr>
            <w:tcW w:w="3300" w:type="dxa"/>
            <w:vAlign w:val="bottom"/>
          </w:tcPr>
          <w:p>
            <w:pPr>
              <w:jc w:val="center"/>
              <w:spacing w:after="0"/>
              <w:rPr>
                <w:sz w:val="20"/>
                <w:szCs w:val="20"/>
                <w:color w:val="auto"/>
              </w:rPr>
            </w:pPr>
            <w:r>
              <w:rPr>
                <w:rFonts w:ascii="Arial" w:cs="Arial" w:eastAsia="Arial" w:hAnsi="Arial"/>
                <w:sz w:val="16"/>
                <w:szCs w:val="16"/>
                <w:color w:val="auto"/>
              </w:rPr>
              <w:t>Delaware</w:t>
            </w:r>
          </w:p>
        </w:tc>
        <w:tc>
          <w:tcPr>
            <w:tcW w:w="1420" w:type="dxa"/>
            <w:vAlign w:val="bottom"/>
          </w:tcPr>
          <w:p>
            <w:pPr>
              <w:spacing w:after="0"/>
              <w:rPr>
                <w:sz w:val="18"/>
                <w:szCs w:val="18"/>
                <w:color w:val="auto"/>
              </w:rPr>
            </w:pPr>
          </w:p>
        </w:tc>
      </w:tr>
    </w:tbl>
    <w:p>
      <w:pPr>
        <w:sectPr>
          <w:pgSz w:w="11900" w:h="16838" w:orient="portrait"/>
          <w:cols w:equalWidth="0" w:num="1">
            <w:col w:w="11220"/>
          </w:cols>
          <w:pgMar w:left="340" w:top="36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20"/>
                <w:szCs w:val="20"/>
                <w:color w:val="auto"/>
              </w:rPr>
            </w:pPr>
            <w:r>
              <w:rPr>
                <w:rFonts w:ascii="Arial" w:cs="Arial" w:eastAsia="Arial" w:hAnsi="Arial"/>
                <w:sz w:val="16"/>
                <w:szCs w:val="16"/>
                <w:color w:val="auto"/>
              </w:rPr>
              <w:t>Sabre Nederland Holdings B.V.</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Netherlands</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Norge AS</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Norway</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Pakistan (Private)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Pakistan</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Polska Sp. Z.o.o.</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Poland</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Portugal Servicios Lda</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Portugal</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Securitization, LLC</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Delaware</w:t>
            </w:r>
          </w:p>
        </w:tc>
        <w:tc>
          <w:tcPr>
            <w:tcW w:w="1360" w:type="dxa"/>
            <w:vAlign w:val="bottom"/>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6"/>
                <w:szCs w:val="16"/>
                <w:color w:val="auto"/>
              </w:rPr>
              <w:t>Sabre Seyahat Dagitim Sisternleri A.S.</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Turkey</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60%</w:t>
            </w:r>
          </w:p>
        </w:tc>
      </w:tr>
      <w:tr>
        <w:trPr>
          <w:trHeight w:val="243"/>
        </w:trPr>
        <w:tc>
          <w:tcPr>
            <w:tcW w:w="4420" w:type="dxa"/>
            <w:vAlign w:val="bottom"/>
          </w:tcPr>
          <w:p>
            <w:pPr>
              <w:spacing w:after="0"/>
              <w:rPr>
                <w:sz w:val="20"/>
                <w:szCs w:val="20"/>
                <w:color w:val="auto"/>
              </w:rPr>
            </w:pPr>
            <w:r>
              <w:rPr>
                <w:rFonts w:ascii="Arial" w:cs="Arial" w:eastAsia="Arial" w:hAnsi="Arial"/>
                <w:sz w:val="16"/>
                <w:szCs w:val="16"/>
                <w:color w:val="auto"/>
              </w:rPr>
              <w:t>Sabre Sociedad Technologica S de RL de CV</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8"/>
              </w:rPr>
              <w:t>Mexico</w:t>
            </w:r>
          </w:p>
        </w:tc>
        <w:tc>
          <w:tcPr>
            <w:tcW w:w="1360" w:type="dxa"/>
            <w:vAlign w:val="bottom"/>
          </w:tcPr>
          <w:p>
            <w:pPr>
              <w:spacing w:after="0"/>
              <w:rPr>
                <w:sz w:val="21"/>
                <w:szCs w:val="2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South Pacific I</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Australia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Suomi Oy</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Finland</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Sverige AB</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Sweden</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Technology Holdings Pte. Ltd.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Singapore</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Technology Holland II B.V.</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Netherlands</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International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Ireland</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(Australia) Pty Ltd.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Australia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(Bangladesh)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Bangladesh</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49%</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(Brunei) Sdn Bhd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Brunei Darussalam</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15%</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(Central Asia) LLP</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Kazakhstan</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(Hong Kong)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Hong Kong</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(India) Private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7"/>
              </w:rPr>
              <w:t>India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Lao People's Democratic</w:t>
            </w:r>
          </w:p>
        </w:tc>
        <w:tc>
          <w:tcPr>
            <w:tcW w:w="136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6"/>
                <w:szCs w:val="16"/>
                <w:color w:val="auto"/>
              </w:rPr>
              <w:t>Sabre Travel Network (Lao) Co., Ltd.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Republic</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40%</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(Malaysia) Sdn. Bhd.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8"/>
              </w:rPr>
              <w:t>Malaysia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(New Zealand)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9"/>
              </w:rPr>
              <w:t>New Zealand</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Pakistan (Private)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Pakistan</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25%</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(Philippines) Inc.</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Philippines</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17%</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(Thailand) Ltd.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Thailand</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Eqypt LLC</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Egypt</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60%</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Jordan LLC</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Jordan</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60%</w:t>
            </w:r>
          </w:p>
        </w:tc>
      </w:tr>
      <w:tr>
        <w:trPr>
          <w:trHeight w:val="243"/>
        </w:trPr>
        <w:tc>
          <w:tcPr>
            <w:tcW w:w="4420" w:type="dxa"/>
            <w:vAlign w:val="bottom"/>
          </w:tcPr>
          <w:p>
            <w:pPr>
              <w:spacing w:after="0"/>
              <w:rPr>
                <w:sz w:val="20"/>
                <w:szCs w:val="20"/>
                <w:color w:val="auto"/>
              </w:rPr>
            </w:pPr>
            <w:r>
              <w:rPr>
                <w:rFonts w:ascii="Arial" w:cs="Arial" w:eastAsia="Arial" w:hAnsi="Arial"/>
                <w:sz w:val="16"/>
                <w:szCs w:val="16"/>
                <w:color w:val="auto"/>
              </w:rPr>
              <w:t>Sabre Travel Network Lanka (Private) 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Sri Lanka</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49%</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Middle East Co. W.L.L.</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7"/>
              </w:rPr>
              <w:t>Bahrain</w:t>
            </w:r>
          </w:p>
        </w:tc>
        <w:tc>
          <w:tcPr>
            <w:tcW w:w="1360" w:type="dxa"/>
            <w:vAlign w:val="bottom"/>
          </w:tcPr>
          <w:p>
            <w:pPr>
              <w:jc w:val="center"/>
              <w:ind w:left="839"/>
              <w:spacing w:after="0"/>
              <w:rPr>
                <w:sz w:val="20"/>
                <w:szCs w:val="20"/>
                <w:color w:val="auto"/>
              </w:rPr>
            </w:pPr>
            <w:r>
              <w:rPr>
                <w:rFonts w:ascii="Arial" w:cs="Arial" w:eastAsia="Arial" w:hAnsi="Arial"/>
                <w:sz w:val="16"/>
                <w:szCs w:val="16"/>
                <w:color w:val="auto"/>
                <w:w w:val="99"/>
              </w:rPr>
              <w:t>60%</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Romania S.R.L.</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Romania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Southern Africa (Proprietary)</w:t>
            </w: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Limited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rPr>
              <w:t>South Africa</w:t>
            </w:r>
          </w:p>
        </w:tc>
        <w:tc>
          <w:tcPr>
            <w:tcW w:w="13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Sabre Travel Network Taiwan Ltd.</w:t>
            </w:r>
          </w:p>
        </w:tc>
        <w:tc>
          <w:tcPr>
            <w:tcW w:w="3460" w:type="dxa"/>
            <w:vAlign w:val="bottom"/>
          </w:tcPr>
          <w:p>
            <w:pPr>
              <w:jc w:val="center"/>
              <w:ind w:right="79"/>
              <w:spacing w:after="0"/>
              <w:rPr>
                <w:sz w:val="20"/>
                <w:szCs w:val="20"/>
                <w:color w:val="auto"/>
              </w:rPr>
            </w:pPr>
            <w:r>
              <w:rPr>
                <w:rFonts w:ascii="Arial" w:cs="Arial" w:eastAsia="Arial" w:hAnsi="Arial"/>
                <w:sz w:val="16"/>
                <w:szCs w:val="16"/>
                <w:color w:val="auto"/>
                <w:w w:val="96"/>
              </w:rPr>
              <w:t>Taiwan</w:t>
            </w:r>
          </w:p>
        </w:tc>
        <w:tc>
          <w:tcPr>
            <w:tcW w:w="1360" w:type="dxa"/>
            <w:vAlign w:val="bottom"/>
          </w:tcPr>
          <w:p>
            <w:pPr>
              <w:jc w:val="center"/>
              <w:ind w:left="819"/>
              <w:spacing w:after="0"/>
              <w:rPr>
                <w:sz w:val="20"/>
                <w:szCs w:val="20"/>
                <w:color w:val="auto"/>
              </w:rPr>
            </w:pPr>
            <w:r>
              <w:rPr>
                <w:rFonts w:ascii="Arial" w:cs="Arial" w:eastAsia="Arial" w:hAnsi="Arial"/>
                <w:sz w:val="16"/>
                <w:szCs w:val="16"/>
                <w:color w:val="auto"/>
              </w:rPr>
              <w:t>4.39%</w:t>
            </w:r>
          </w:p>
        </w:tc>
      </w:tr>
    </w:tbl>
    <w:p>
      <w:pPr>
        <w:sectPr>
          <w:pgSz w:w="11900" w:h="16838" w:orient="portrait"/>
          <w:cols w:equalWidth="0" w:num="1">
            <w:col w:w="11220"/>
          </w:cols>
          <w:pgMar w:left="340" w:top="36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20"/>
                <w:szCs w:val="20"/>
                <w:color w:val="auto"/>
              </w:rPr>
            </w:pPr>
            <w:r>
              <w:rPr>
                <w:rFonts w:ascii="Arial" w:cs="Arial" w:eastAsia="Arial" w:hAnsi="Arial"/>
                <w:sz w:val="16"/>
                <w:szCs w:val="16"/>
                <w:color w:val="auto"/>
              </w:rPr>
              <w:t>Sabre Travel Technologies (Private) Limited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w w:val="97"/>
              </w:rPr>
              <w:t>India</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 UK Marketing Ltd.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rPr>
              <w:t>United Kingdom</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 North East Limited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rPr>
              <w:t>United Kingdom</w:t>
            </w: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 Ukraine LLC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Ukraine</w:t>
            </w: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 Vietnam JSC</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w w:val="98"/>
              </w:rPr>
              <w:t>Vietnam</w:t>
            </w: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 Zenon Cyprus Limited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w w:val="98"/>
              </w:rPr>
              <w:t>Cyprus</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SabreMark G.P., LLC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SabreMark Limited Partnership</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Switch Automated Booking Services Co WLL</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rPr>
              <w:t>Kuwait</w:t>
            </w:r>
          </w:p>
        </w:tc>
        <w:tc>
          <w:tcPr>
            <w:tcW w:w="13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TG India Holdings Company</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Cayman Islands</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TG India Management Company</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Cayman Islands</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Travelocity Global Technologies Private Limited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w w:val="97"/>
              </w:rPr>
              <w:t>India</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Common, Inc.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Europe</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rPr>
              <w:t>United Kingdom</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Holdings I, LLC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Holdings, Inc.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LLC</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LP</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Delaware</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TVL Travel Limited</w:t>
            </w:r>
          </w:p>
        </w:tc>
        <w:tc>
          <w:tcPr>
            <w:tcW w:w="3160" w:type="dxa"/>
            <w:vAlign w:val="bottom"/>
          </w:tcPr>
          <w:p>
            <w:pPr>
              <w:jc w:val="center"/>
              <w:ind w:right="19"/>
              <w:spacing w:after="0"/>
              <w:rPr>
                <w:sz w:val="20"/>
                <w:szCs w:val="20"/>
                <w:color w:val="auto"/>
              </w:rPr>
            </w:pPr>
            <w:r>
              <w:rPr>
                <w:rFonts w:ascii="Arial" w:cs="Arial" w:eastAsia="Arial" w:hAnsi="Arial"/>
                <w:sz w:val="16"/>
                <w:szCs w:val="16"/>
                <w:color w:val="auto"/>
              </w:rPr>
              <w:t>United Kingdom</w:t>
            </w:r>
          </w:p>
        </w:tc>
        <w:tc>
          <w:tcPr>
            <w:tcW w:w="13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Zuji Holdings Ltd.</w:t>
            </w:r>
          </w:p>
        </w:tc>
        <w:tc>
          <w:tcPr>
            <w:tcW w:w="3160" w:type="dxa"/>
            <w:vAlign w:val="bottom"/>
          </w:tcPr>
          <w:p>
            <w:pPr>
              <w:jc w:val="center"/>
              <w:ind w:right="39"/>
              <w:spacing w:after="0"/>
              <w:rPr>
                <w:sz w:val="20"/>
                <w:szCs w:val="20"/>
                <w:color w:val="auto"/>
              </w:rPr>
            </w:pPr>
            <w:r>
              <w:rPr>
                <w:rFonts w:ascii="Arial" w:cs="Arial" w:eastAsia="Arial" w:hAnsi="Arial"/>
                <w:sz w:val="16"/>
                <w:szCs w:val="16"/>
                <w:color w:val="auto"/>
              </w:rPr>
              <w:t>Cayman Islands</w:t>
            </w:r>
          </w:p>
        </w:tc>
        <w:tc>
          <w:tcPr>
            <w:tcW w:w="1380" w:type="dxa"/>
            <w:vAlign w:val="bottom"/>
          </w:tcPr>
          <w:p>
            <w:pPr>
              <w:spacing w:after="0"/>
              <w:rPr>
                <w:sz w:val="18"/>
                <w:szCs w:val="18"/>
                <w:color w:val="auto"/>
              </w:rPr>
            </w:pPr>
          </w:p>
        </w:tc>
      </w:tr>
    </w:tbl>
    <w:p>
      <w:pPr>
        <w:sectPr>
          <w:pgSz w:w="11900" w:h="16838" w:orient="portrait"/>
          <w:cols w:equalWidth="0" w:num="1">
            <w:col w:w="11220"/>
          </w:cols>
          <w:pgMar w:left="340" w:top="36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8"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Registration Statement (Form S-8 No. 333-287018) pertaining to the Sabre Corporation 2025 Omnibus Incentive Compensation Plan,</w:t>
      </w:r>
    </w:p>
    <w:p>
      <w:pPr>
        <w:spacing w:after="0" w:line="5" w:lineRule="exact"/>
        <w:rPr>
          <w:rFonts w:ascii="Arial" w:cs="Arial" w:eastAsia="Arial" w:hAnsi="Arial"/>
          <w:sz w:val="16"/>
          <w:szCs w:val="16"/>
          <w:color w:val="auto"/>
        </w:rPr>
      </w:pPr>
    </w:p>
    <w:p>
      <w:pPr>
        <w:ind w:left="340" w:right="340" w:hanging="332"/>
        <w:spacing w:after="0" w:line="244"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Registration Statement (Form S-8 No. 333-279071) pertaining to the Sabre Corporation 2024 Omnibus Incentive Compensation Plan and the Sabre Corporation 2024 Director Equity Compensation Plan,</w:t>
      </w:r>
    </w:p>
    <w:p>
      <w:pPr>
        <w:ind w:left="340" w:hanging="332"/>
        <w:spacing w:after="0" w:line="225"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S-3 No. 333-279069) and related Prospectus of Sabre Corporation,</w:t>
      </w:r>
    </w:p>
    <w:p>
      <w:pPr>
        <w:spacing w:after="0" w:line="12" w:lineRule="exact"/>
        <w:rPr>
          <w:rFonts w:ascii="Arial" w:cs="Arial" w:eastAsia="Arial" w:hAnsi="Arial"/>
          <w:sz w:val="20"/>
          <w:szCs w:val="20"/>
          <w:color w:val="auto"/>
        </w:rPr>
      </w:pPr>
    </w:p>
    <w:p>
      <w:pPr>
        <w:ind w:left="340" w:hanging="332"/>
        <w:spacing w:after="0" w:line="226"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333-271640) pertaining to the Sabre Corporation 2023 Omnibus Incentive Compensation Plan,</w:t>
      </w:r>
    </w:p>
    <w:p>
      <w:pPr>
        <w:spacing w:after="0" w:line="12" w:lineRule="exact"/>
        <w:rPr>
          <w:rFonts w:ascii="Arial" w:cs="Arial" w:eastAsia="Arial" w:hAnsi="Arial"/>
          <w:sz w:val="20"/>
          <w:szCs w:val="20"/>
          <w:color w:val="auto"/>
        </w:rPr>
      </w:pPr>
    </w:p>
    <w:p>
      <w:pPr>
        <w:ind w:left="340" w:hanging="332"/>
        <w:spacing w:after="0" w:line="212"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333-264638) pertaining to the Sabre Corporation 2022 Director Equity Compensation Plan,</w:t>
      </w:r>
    </w:p>
    <w:p>
      <w:pPr>
        <w:spacing w:after="0" w:line="12" w:lineRule="exact"/>
        <w:rPr>
          <w:rFonts w:ascii="Arial" w:cs="Arial" w:eastAsia="Arial" w:hAnsi="Arial"/>
          <w:sz w:val="20"/>
          <w:szCs w:val="20"/>
          <w:color w:val="auto"/>
        </w:rPr>
      </w:pPr>
    </w:p>
    <w:p>
      <w:pPr>
        <w:ind w:left="340" w:hanging="332"/>
        <w:spacing w:after="0" w:line="226"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333-255679) pertaining to the Sabre Corporation 2021 Omnibus Incentive Compensation Plan,</w:t>
      </w:r>
    </w:p>
    <w:p>
      <w:pPr>
        <w:spacing w:after="0" w:line="12" w:lineRule="exact"/>
        <w:rPr>
          <w:rFonts w:ascii="Arial" w:cs="Arial" w:eastAsia="Arial" w:hAnsi="Arial"/>
          <w:sz w:val="20"/>
          <w:szCs w:val="20"/>
          <w:color w:val="auto"/>
        </w:rPr>
      </w:pPr>
    </w:p>
    <w:p>
      <w:pPr>
        <w:ind w:left="340" w:right="320" w:hanging="332"/>
        <w:spacing w:after="0" w:line="227" w:lineRule="auto"/>
        <w:tabs>
          <w:tab w:leader="none" w:pos="352"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333-231014) pertaining to the Sabre Corporation 2019 Omnibus Incentive Compensation Plan and the Sabre Corporation 2019 Director Equity Compensation Plan,</w:t>
      </w:r>
    </w:p>
    <w:p>
      <w:pPr>
        <w:spacing w:after="0" w:line="1" w:lineRule="exact"/>
        <w:rPr>
          <w:rFonts w:ascii="Arial" w:cs="Arial" w:eastAsia="Arial" w:hAnsi="Arial"/>
          <w:sz w:val="20"/>
          <w:szCs w:val="20"/>
          <w:color w:val="auto"/>
        </w:rPr>
      </w:pPr>
    </w:p>
    <w:p>
      <w:pPr>
        <w:ind w:left="340" w:hanging="332"/>
        <w:spacing w:after="0" w:line="225"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333-211661) pertaining to the Sabre Corporation 2016 Omnibus Incentive Compensation Plan, and</w:t>
      </w:r>
    </w:p>
    <w:p>
      <w:pPr>
        <w:spacing w:after="0" w:line="15" w:lineRule="exact"/>
        <w:rPr>
          <w:rFonts w:ascii="Arial" w:cs="Arial" w:eastAsia="Arial" w:hAnsi="Arial"/>
          <w:sz w:val="20"/>
          <w:szCs w:val="20"/>
          <w:color w:val="auto"/>
        </w:rPr>
      </w:pPr>
    </w:p>
    <w:p>
      <w:pPr>
        <w:ind w:left="340" w:right="560" w:hanging="332"/>
        <w:spacing w:after="0" w:line="226" w:lineRule="auto"/>
        <w:tabs>
          <w:tab w:leader="none" w:pos="352" w:val="left"/>
        </w:tabs>
        <w:numPr>
          <w:ilvl w:val="0"/>
          <w:numId w:val="60"/>
        </w:numPr>
        <w:rPr>
          <w:rFonts w:ascii="Arial" w:cs="Arial" w:eastAsia="Arial" w:hAnsi="Arial"/>
          <w:sz w:val="20"/>
          <w:szCs w:val="20"/>
          <w:color w:val="auto"/>
        </w:rPr>
      </w:pPr>
      <w:r>
        <w:rPr>
          <w:rFonts w:ascii="Arial" w:cs="Arial" w:eastAsia="Arial" w:hAnsi="Arial"/>
          <w:sz w:val="16"/>
          <w:szCs w:val="16"/>
          <w:color w:val="auto"/>
        </w:rPr>
        <w:t>Registration Statement (Form S-8 No. 333-196056) pertaining to the Sovereign Holdings, Inc. Management Equity Incentive Plan, the Sovereign Holdings, Inc. 2012 Management Equity Incentive Plan, and the Sabre Corporation 2014 Omnibus Incentive Compensation Plan;</w:t>
      </w:r>
    </w:p>
    <w:p>
      <w:pPr>
        <w:spacing w:after="0" w:line="32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of our reports dated February 18, 2026, with respect to the consolidated financial statements and schedule of Sabre Corporation, and the effectiveness of internal control over financial reporting of Sabre Corporation, included in this Annual Report (Form 10-K) for the year ended December 31, 2025.</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18, 2026</w:t>
      </w:r>
    </w:p>
    <w:p>
      <w:pPr>
        <w:sectPr>
          <w:pgSz w:w="11900" w:h="16838" w:orient="portrait"/>
          <w:cols w:equalWidth="0" w:num="1">
            <w:col w:w="11240"/>
          </w:cols>
          <w:pgMar w:left="320" w:top="14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Kurt Ekert, certify that:</w:t>
      </w:r>
    </w:p>
    <w:p>
      <w:pPr>
        <w:spacing w:after="0" w:line="22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7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660" w:right="240" w:hanging="328"/>
        <w:spacing w:after="0" w:line="26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75"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304" w:lineRule="auto"/>
        <w:tabs>
          <w:tab w:leader="none" w:pos="1291"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86"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60" w:val="left"/>
          <w:tab w:leader="none" w:pos="6400" w:val="left"/>
          <w:tab w:leader="none" w:pos="6760" w:val="left"/>
        </w:tabs>
        <w:rPr>
          <w:sz w:val="20"/>
          <w:szCs w:val="20"/>
          <w:color w:val="auto"/>
        </w:rPr>
      </w:pPr>
      <w:r>
        <w:rPr>
          <w:rFonts w:ascii="Arial" w:cs="Arial" w:eastAsia="Arial" w:hAnsi="Arial"/>
          <w:sz w:val="16"/>
          <w:szCs w:val="16"/>
          <w:color w:val="auto"/>
        </w:rPr>
        <w:t>Date:</w:t>
        <w:tab/>
        <w:t>February 18, 2026</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20955</wp:posOffset>
            </wp:positionV>
            <wp:extent cx="28206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3">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100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75"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660" w:right="240" w:hanging="328"/>
        <w:spacing w:after="0" w:line="26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75"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304" w:lineRule="auto"/>
        <w:tabs>
          <w:tab w:leader="none" w:pos="129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8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00" w:val="left"/>
          <w:tab w:leader="none" w:pos="6380" w:val="left"/>
          <w:tab w:leader="none" w:pos="6760" w:val="left"/>
        </w:tabs>
        <w:rPr>
          <w:sz w:val="20"/>
          <w:szCs w:val="20"/>
          <w:color w:val="auto"/>
        </w:rPr>
      </w:pPr>
      <w:r>
        <w:rPr>
          <w:rFonts w:ascii="Arial" w:cs="Arial" w:eastAsia="Arial" w:hAnsi="Arial"/>
          <w:sz w:val="16"/>
          <w:szCs w:val="16"/>
          <w:color w:val="auto"/>
        </w:rPr>
        <w:t>Date:</w:t>
        <w:tab/>
        <w:t>February 18, 2026</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20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1003"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680" w:hanging="328"/>
        <w:spacing w:after="0" w:line="28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right="860" w:hanging="328"/>
        <w:spacing w:after="0" w:line="28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700" w:val="left"/>
          <w:tab w:leader="none" w:pos="5520" w:val="left"/>
          <w:tab w:leader="none" w:pos="5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18, 2026</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33686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680" w:hanging="328"/>
        <w:spacing w:after="0" w:line="28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right="860" w:hanging="328"/>
        <w:spacing w:after="0" w:line="28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40" w:val="left"/>
          <w:tab w:leader="none" w:pos="5520" w:val="left"/>
          <w:tab w:leader="none" w:pos="5900" w:val="left"/>
        </w:tabs>
        <w:rPr>
          <w:sz w:val="20"/>
          <w:szCs w:val="20"/>
          <w:color w:val="auto"/>
        </w:rPr>
      </w:pPr>
      <w:r>
        <w:rPr>
          <w:rFonts w:ascii="Arial" w:cs="Arial" w:eastAsia="Arial" w:hAnsi="Arial"/>
          <w:sz w:val="16"/>
          <w:szCs w:val="16"/>
          <w:color w:val="auto"/>
        </w:rPr>
        <w:t>Date:</w:t>
        <w:tab/>
        <w:t>February 18, 2026</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33686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6">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endash "/>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lvl w:ilvl="1">
      <w:lvlJc w:val="left"/>
      <w:lvlText w:val="%2."/>
      <w:numFmt w:val="lowerLetter"/>
      <w:start w:val="1"/>
    </w:lvl>
  </w:abstractNum>
  <w:abstractNum w:abstractNumId="8">
    <w:nsid w:val="3804823E"/>
    <w:multiLevelType w:val="hybridMultilevel"/>
    <w:lvl w:ilvl="0">
      <w:lvlJc w:val="left"/>
      <w:lvlText w:val="(%1)"/>
      <w:numFmt w:val="decimal"/>
      <w:start w:val="2"/>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2"/>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lvl w:ilvl="1">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3"/>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upperLetter"/>
      <w:start w:val="9"/>
    </w:lvl>
  </w:abstractNum>
  <w:abstractNum w:abstractNumId="41">
    <w:nsid w:val="70C6A529"/>
    <w:multiLevelType w:val="hybridMultilevel"/>
    <w:lvl w:ilvl="0">
      <w:lvlJc w:val="left"/>
      <w:lvlText w:val="%1."/>
      <w:numFmt w:val="upperLetter"/>
      <w:start w:val="35"/>
    </w:lvl>
  </w:abstractNum>
  <w:abstractNum w:abstractNumId="42">
    <w:nsid w:val="520EEDD1"/>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43">
    <w:nsid w:val="374A3FE6"/>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44">
    <w:nsid w:val="4F4EF005"/>
    <w:multiLevelType w:val="hybridMultilevel"/>
    <w:lvl w:ilvl="0">
      <w:lvlJc w:val="left"/>
      <w:lvlText w:val="%1."/>
      <w:numFmt w:val="decimal"/>
      <w:start w:val="2"/>
    </w:lvl>
  </w:abstractNum>
  <w:abstractNum w:abstractNumId="45">
    <w:nsid w:val="23F9C13C"/>
    <w:multiLevelType w:val="hybridMultilevel"/>
    <w:lvl w:ilvl="0">
      <w:lvlJc w:val="left"/>
      <w:lvlText w:val="%1."/>
      <w:numFmt w:val="decimal"/>
      <w:start w:val="4"/>
    </w:lvl>
  </w:abstractNum>
  <w:abstractNum w:abstractNumId="46">
    <w:nsid w:val="649BB77C"/>
    <w:multiLevelType w:val="hybridMultilevel"/>
    <w:lvl w:ilvl="0">
      <w:lvlJc w:val="left"/>
      <w:lvlText w:val="%1."/>
      <w:numFmt w:val="decimal"/>
      <w:start w:val="9"/>
    </w:lvl>
  </w:abstractNum>
  <w:abstractNum w:abstractNumId="47">
    <w:nsid w:val="275AC794"/>
    <w:multiLevelType w:val="hybridMultilevel"/>
    <w:lvl w:ilvl="0">
      <w:lvlJc w:val="left"/>
      <w:lvlText w:val="%1"/>
      <w:numFmt w:val="upperLetter"/>
      <w:start w:val="1"/>
    </w:lvl>
    <w:lvl w:ilvl="1">
      <w:lvlJc w:val="left"/>
      <w:lvlText w:val="%2."/>
      <w:numFmt w:val="decimal"/>
      <w:start w:val="1"/>
    </w:lvl>
  </w:abstractNum>
  <w:abstractNum w:abstractNumId="48">
    <w:nsid w:val="39386575"/>
    <w:multiLevelType w:val="hybridMultilevel"/>
    <w:lvl w:ilvl="0">
      <w:lvlJc w:val="left"/>
      <w:lvlText w:val="%1."/>
      <w:numFmt w:val="upperLetter"/>
      <w:start w:val="22"/>
    </w:lvl>
    <w:lvl w:ilvl="1">
      <w:lvlJc w:val="left"/>
      <w:lvlText w:val="%2"/>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lvl w:ilvl="1">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upperLetter"/>
      <w:start w:val="23"/>
    </w:lvl>
    <w:lvl w:ilvl="1">
      <w:lvlJc w:val="left"/>
      <w:lvlText w:val="•"/>
      <w:numFmt w:val="bullet"/>
      <w:start w:val="1"/>
    </w:lvl>
  </w:abstractNum>
  <w:abstractNum w:abstractNumId="57">
    <w:nsid w:val="10233C99"/>
    <w:multiLevelType w:val="hybridMultilevel"/>
    <w:lvl w:ilvl="0">
      <w:lvlJc w:val="left"/>
      <w:lvlText w:val="1"/>
      <w:numFmt w:val="bullet"/>
      <w:start w:val="1"/>
    </w:lvl>
  </w:abstractNum>
  <w:abstractNum w:abstractNumId="58">
    <w:nsid w:val="3F6AB60F"/>
    <w:multiLevelType w:val="hybridMultilevel"/>
    <w:lvl w:ilvl="0">
      <w:lvlJc w:val="left"/>
      <w:lvlText w:val="2"/>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47" Type="http://schemas.openxmlformats.org/officeDocument/2006/relationships/image" Target="media/image117.png"/><Relationship Id="rId164" Type="http://schemas.openxmlformats.org/officeDocument/2006/relationships/image" Target="media/image118.png"/><Relationship Id="rId182" Type="http://schemas.openxmlformats.org/officeDocument/2006/relationships/image" Target="media/image119.png"/><Relationship Id="rId202" Type="http://schemas.openxmlformats.org/officeDocument/2006/relationships/image" Target="media/image120.png"/><Relationship Id="rId220" Type="http://schemas.openxmlformats.org/officeDocument/2006/relationships/image" Target="media/image121.png"/><Relationship Id="rId236" Type="http://schemas.openxmlformats.org/officeDocument/2006/relationships/image" Target="media/image122.png"/><Relationship Id="rId240" Type="http://schemas.openxmlformats.org/officeDocument/2006/relationships/image" Target="media/image123.png"/><Relationship Id="rId241" Type="http://schemas.openxmlformats.org/officeDocument/2006/relationships/image" Target="media/image124.png"/><Relationship Id="rId242" Type="http://schemas.openxmlformats.org/officeDocument/2006/relationships/image" Target="media/image125.png"/><Relationship Id="rId243" Type="http://schemas.openxmlformats.org/officeDocument/2006/relationships/image" Target="media/image126.png"/><Relationship Id="rId244" Type="http://schemas.openxmlformats.org/officeDocument/2006/relationships/image" Target="media/image127.png"/><Relationship Id="rId245" Type="http://schemas.openxmlformats.org/officeDocument/2006/relationships/image" Target="media/image128.png"/><Relationship Id="rId246" Type="http://schemas.openxmlformats.org/officeDocument/2006/relationships/image" Target="media/image129.png"/><Relationship Id="rId122" Type="http://schemas.openxmlformats.org/officeDocument/2006/relationships/hyperlink" Target="https://www.sec.gov/Archives/edgar/data/1597033/000119312515019563/d857868dex21.htm" TargetMode="External"/><Relationship Id="rId123" Type="http://schemas.openxmlformats.org/officeDocument/2006/relationships/hyperlink" Target="https://www.sec.gov/Archives/edgar/data/1597033/000129993315000766/exhibit1.htm" TargetMode="External"/><Relationship Id="rId124" Type="http://schemas.openxmlformats.org/officeDocument/2006/relationships/hyperlink" Target="https://www.sec.gov/Archives/edgar/data/1597033/000119312519117126/d712381dex31.htm" TargetMode="External"/><Relationship Id="rId125" Type="http://schemas.openxmlformats.org/officeDocument/2006/relationships/hyperlink" Target="https://www.sec.gov/Archives/edgar/data/1597033/000159703324000125/a32eighthamendedandrestate.htm" TargetMode="External"/><Relationship Id="rId126" Type="http://schemas.openxmlformats.org/officeDocument/2006/relationships/hyperlink" Target="https://www.sec.gov/Archives/edgar/data/1597033/000119312523230673/d495101dex41.htm" TargetMode="External"/><Relationship Id="rId127" Type="http://schemas.openxmlformats.org/officeDocument/2006/relationships/hyperlink" Target="https://www.sec.gov/Archives/edgar/data/1597033/000119312523230673/d495101dex42.htm" TargetMode="External"/><Relationship Id="rId128" Type="http://schemas.openxmlformats.org/officeDocument/2006/relationships/hyperlink" Target="https://www.sec.gov/Archives/edgar/data/0001597033/000119312524063807/d808338dex42.htm" TargetMode="External"/><Relationship Id="rId129" Type="http://schemas.openxmlformats.org/officeDocument/2006/relationships/hyperlink" Target="https://www.sec.gov/Archives/edgar/data/0001597033/000119312524071471/d797803dex41.htm" TargetMode="External"/><Relationship Id="rId130" Type="http://schemas.openxmlformats.org/officeDocument/2006/relationships/hyperlink" Target="https://www.sec.gov/Archives/edgar/data/1597033/000159703325000027/exhibit46descriptionofsabr.htm" TargetMode="External"/><Relationship Id="rId131" Type="http://schemas.openxmlformats.org/officeDocument/2006/relationships/hyperlink" Target="https://www.sec.gov/Archives/edgar/data/1597033/000119312525135052/d13750dex41.htm" TargetMode="External"/><Relationship Id="rId132" Type="http://schemas.openxmlformats.org/officeDocument/2006/relationships/hyperlink" Target="https://www.sec.gov/Archives/edgar/data/0001597033/000119312524268887/d868588dex41.htm" TargetMode="External"/><Relationship Id="rId135" Type="http://schemas.openxmlformats.org/officeDocument/2006/relationships/hyperlink" Target="https://www.sec.gov/Archives/edgar/data/0001597033/000119312524268887/d868588dex43.htm" TargetMode="External"/><Relationship Id="rId136" Type="http://schemas.openxmlformats.org/officeDocument/2006/relationships/hyperlink" Target="https://www.sec.gov/Archives/edgar/data/1597033/000119312525316195/d55838dex41.htm" TargetMode="External"/><Relationship Id="rId137" Type="http://schemas.openxmlformats.org/officeDocument/2006/relationships/hyperlink" Target="https://www.sec.gov/Archives/edgar/data/1597033/000119312525316195/d55838dex43.htm" TargetMode="External"/><Relationship Id="rId138" Type="http://schemas.openxmlformats.org/officeDocument/2006/relationships/hyperlink" Target="https://www.sec.gov/Archives/edgar/data/1597033/000119312514015201/d652688dex103.htm" TargetMode="External"/><Relationship Id="rId139" Type="http://schemas.openxmlformats.org/officeDocument/2006/relationships/hyperlink" Target="https://www.sec.gov/Archives/edgar/data/1597033/000119312514015201/d652688dex104.htm" TargetMode="External"/><Relationship Id="rId140" Type="http://schemas.openxmlformats.org/officeDocument/2006/relationships/hyperlink" Target="https://www.sec.gov/Archives/edgar/data/1597033/000119312514015201/d652688dex105.htm" TargetMode="External"/><Relationship Id="rId141" Type="http://schemas.openxmlformats.org/officeDocument/2006/relationships/hyperlink" Target="https://www.sec.gov/Archives/edgar/data/1597033/000119312514015201/d652688dex109.htm" TargetMode="External"/><Relationship Id="rId142" Type="http://schemas.openxmlformats.org/officeDocument/2006/relationships/hyperlink" Target="https://www.sec.gov/Archives/edgar/data/1597033/000119312514015201/d652688dex1016.htm" TargetMode="External"/><Relationship Id="rId143" Type="http://schemas.openxmlformats.org/officeDocument/2006/relationships/hyperlink" Target="https://www.sec.gov/Archives/edgar/data/1597033/000119312514015201/d652688dex1017.htm" TargetMode="External"/><Relationship Id="rId144" Type="http://schemas.openxmlformats.org/officeDocument/2006/relationships/hyperlink" Target="https://www.sec.gov/Archives/edgar/data/1597033/000119312514015201/d652688dex1018.htm" TargetMode="External"/><Relationship Id="rId145" Type="http://schemas.openxmlformats.org/officeDocument/2006/relationships/hyperlink" Target="https://www.sec.gov/Archives/edgar/data/1597033/000119312514015201/d652688dex1020.htm" TargetMode="External"/><Relationship Id="rId146" Type="http://schemas.openxmlformats.org/officeDocument/2006/relationships/hyperlink" Target="https://www.sec.gov/Archives/edgar/data/1597033/000119312514015201/d652688dex1021.htm" TargetMode="External"/><Relationship Id="rId148" Type="http://schemas.openxmlformats.org/officeDocument/2006/relationships/hyperlink" Target="https://www.sec.gov/Archives/edgar/data/1597033/000119312514155070/d714044dex101.htm" TargetMode="External"/><Relationship Id="rId149" Type="http://schemas.openxmlformats.org/officeDocument/2006/relationships/hyperlink" Target="https://www.sec.gov/Archives/edgar/data/1597033/000119312514155070/d714044dex102.htm" TargetMode="External"/><Relationship Id="rId150" Type="http://schemas.openxmlformats.org/officeDocument/2006/relationships/hyperlink" Target="https://www.sec.gov/Archives/edgar/data/1597033/000159703318000023/formofindemnificationagree.htm" TargetMode="External"/><Relationship Id="rId151" Type="http://schemas.openxmlformats.org/officeDocument/2006/relationships/hyperlink" Target="https://www.sec.gov/Archives/edgar/data/1597033/000156459015003303/sabr-ex1049_20150331327.htm" TargetMode="External"/><Relationship Id="rId152" Type="http://schemas.openxmlformats.org/officeDocument/2006/relationships/hyperlink" Target="https://www.sec.gov/Archives/edgar/data/1597033/000156459015003303/sabr-ex1050_20150331328.htm" TargetMode="External"/><Relationship Id="rId153" Type="http://schemas.openxmlformats.org/officeDocument/2006/relationships/hyperlink" Target="https://www.sec.gov/Archives/edgar/data/1597033/000119312514116484/d652688dex1051.htm" TargetMode="External"/><Relationship Id="rId154" Type="http://schemas.openxmlformats.org/officeDocument/2006/relationships/hyperlink" Target="https://www.sec.gov/Archives/edgar/data/1597033/000119312514116484/d652688dex1052.htm" TargetMode="External"/><Relationship Id="rId155" Type="http://schemas.openxmlformats.org/officeDocument/2006/relationships/hyperlink" Target="https://www.sec.gov/Archives/edgar/data/1597033/000119312514122536/d652688dex1053.htm" TargetMode="External"/><Relationship Id="rId156" Type="http://schemas.openxmlformats.org/officeDocument/2006/relationships/hyperlink" Target="https://www.sec.gov/Archives/edgar/data/1597033/000119312515019572/d793574dex1057.htm" TargetMode="External"/><Relationship Id="rId157" Type="http://schemas.openxmlformats.org/officeDocument/2006/relationships/hyperlink" Target="https://www.sec.gov/Archives/edgar/data/1597033/000156459015001223/sabr-ex1058_20141231408.htm" TargetMode="External"/><Relationship Id="rId158" Type="http://schemas.openxmlformats.org/officeDocument/2006/relationships/hyperlink" Target="https://www.sec.gov/Archives/edgar/data/1597033/000159703315000084/ex101sabreexecdeferredcomp.htm" TargetMode="External"/><Relationship Id="rId159" Type="http://schemas.openxmlformats.org/officeDocument/2006/relationships/hyperlink" Target="https://www.sec.gov/Archives/edgar/data/1597033/000159703316000213/sabr8k052616-ex101.htm" TargetMode="External"/><Relationship Id="rId160" Type="http://schemas.openxmlformats.org/officeDocument/2006/relationships/hyperlink" Target="https://www.sec.gov/Archives/edgar/data/1597033/000159703317000104/exhibit1044rsuformofagreem.htm" TargetMode="External"/><Relationship Id="rId161" Type="http://schemas.openxmlformats.org/officeDocument/2006/relationships/hyperlink" Target="https://www.sec.gov/Archives/edgar/data/1597033/000159703317000104/exhibit1045nqsoformofagree.htm" TargetMode="External"/><Relationship Id="rId162" Type="http://schemas.openxmlformats.org/officeDocument/2006/relationships/hyperlink" Target="https://www.sec.gov/Archives/edgar/data/1597033/000159703316000199/sabr10q033116-ex1066.htm" TargetMode="External"/><Relationship Id="rId163" Type="http://schemas.openxmlformats.org/officeDocument/2006/relationships/hyperlink" Target="https://www.sec.gov/Archives/edgar/data/1597033/000159703316000199/sabr10q033116-ex1067.htm" TargetMode="External"/><Relationship Id="rId165" Type="http://schemas.openxmlformats.org/officeDocument/2006/relationships/hyperlink" Target="https://www.sec.gov/Archives/edgar/data/1597033/000159703317000184/sabreexecutiveseverancepla.htm" TargetMode="External"/><Relationship Id="rId166" Type="http://schemas.openxmlformats.org/officeDocument/2006/relationships/hyperlink" Target="https://www.sec.gov/Archives/edgar/data/1597033/000159703318000077/exhibit10372018annualgrant.htm" TargetMode="External"/><Relationship Id="rId167" Type="http://schemas.openxmlformats.org/officeDocument/2006/relationships/hyperlink" Target="https://www.sec.gov/Archives/edgar/data/1597033/000159703318000077/exhbit10382018annualgrant-.htm" TargetMode="External"/><Relationship Id="rId168" Type="http://schemas.openxmlformats.org/officeDocument/2006/relationships/hyperlink" Target="https://www.sec.gov/Archives/edgar/data/1597033/000159703318000077/exhibit10582016omnibusplan.htm" TargetMode="External"/><Relationship Id="rId169" Type="http://schemas.openxmlformats.org/officeDocument/2006/relationships/hyperlink" Target="https://www.sec.gov/Archives/edgar/data/1597033/000159703318000118/offcyclegrantrsuformofagre.htm" TargetMode="External"/><Relationship Id="rId170" Type="http://schemas.openxmlformats.org/officeDocument/2006/relationships/hyperlink" Target="https://www.sec.gov/Archives/edgar/data/1597033/000159703318000118/offcyclegrantnqsoformofagr.htm" TargetMode="External"/><Relationship Id="rId171" Type="http://schemas.openxmlformats.org/officeDocument/2006/relationships/hyperlink" Target="https://www.sec.gov/Archives/edgar/data/1597033/000159703319000065/exhibit10682016omnibusplan.htm" TargetMode="External"/><Relationship Id="rId172" Type="http://schemas.openxmlformats.org/officeDocument/2006/relationships/hyperlink" Target="https://www.sec.gov/Archives/edgar/data/1597033/000159703319000065/exhibit10692016omnibusplan.htm" TargetMode="External"/><Relationship Id="rId173" Type="http://schemas.openxmlformats.org/officeDocument/2006/relationships/hyperlink" Target="https://www.sec.gov/Archives/edgar/data/1597033/000159703319000065/exhibit10702016psu-2019ann.htm" TargetMode="External"/><Relationship Id="rId174" Type="http://schemas.openxmlformats.org/officeDocument/2006/relationships/hyperlink" Target="https://www.sec.gov/Archives/edgar/data/1597033/000159703319000065/exhibit1071formofchairmanb.htm" TargetMode="External"/><Relationship Id="rId175" Type="http://schemas.openxmlformats.org/officeDocument/2006/relationships/hyperlink" Target="https://www.sec.gov/Archives/edgar/data/1597033/000159703319000065/exhibit10722016omnibusplan.htm" TargetMode="External"/><Relationship Id="rId176" Type="http://schemas.openxmlformats.org/officeDocument/2006/relationships/hyperlink" Target="https://www.sec.gov/Archives/edgar/data/1597033/000119312519117126/d712381dex101.htm" TargetMode="External"/><Relationship Id="rId177" Type="http://schemas.openxmlformats.org/officeDocument/2006/relationships/hyperlink" Target="https://www.sec.gov/Archives/edgar/data/1597033/000119312519117126/d712381dex102.htm" TargetMode="External"/><Relationship Id="rId178" Type="http://schemas.openxmlformats.org/officeDocument/2006/relationships/hyperlink" Target="https://www.sec.gov/Archives/edgar/data/1597033/000159703319000092/exh1075executivestocko.htm" TargetMode="External"/><Relationship Id="rId179" Type="http://schemas.openxmlformats.org/officeDocument/2006/relationships/hyperlink" Target="https://www.sec.gov/Archives/edgar/data/1597033/000159703319000092/exh1076restrictedstock.htm" TargetMode="External"/><Relationship Id="rId180" Type="http://schemas.openxmlformats.org/officeDocument/2006/relationships/hyperlink" Target="https://www.sec.gov/Archives/edgar/data/1597033/000159703319000092/exh1077nonemployeedire.htm" TargetMode="External"/><Relationship Id="rId181" Type="http://schemas.openxmlformats.org/officeDocument/2006/relationships/hyperlink" Target="https://www.sec.gov/Archives/edgar/data/1597033/000159703320000026/exhibit1078paymentandt.htm" TargetMode="External"/><Relationship Id="rId183" Type="http://schemas.openxmlformats.org/officeDocument/2006/relationships/hyperlink" Target="https://www.sec.gov/Archives/edgar/data/1597033/000159703320000028/sabre2020cashltipaward.htm" TargetMode="External"/><Relationship Id="rId184" Type="http://schemas.openxmlformats.org/officeDocument/2006/relationships/hyperlink" Target="https://www.sec.gov/Archives/edgar/data/1597033/000159703320000097/exh1080q12020formofnon.htm" TargetMode="External"/><Relationship Id="rId185" Type="http://schemas.openxmlformats.org/officeDocument/2006/relationships/hyperlink" Target="https://www.sec.gov/Archives/edgar/data/1597033/000159703320000097/exh1081q12020formofexe.htm" TargetMode="External"/><Relationship Id="rId186" Type="http://schemas.openxmlformats.org/officeDocument/2006/relationships/hyperlink" Target="https://www.sec.gov/Archives/edgar/data/1597033/000159703320000097/exh1082q12020formofrsu.htm" TargetMode="External"/><Relationship Id="rId187" Type="http://schemas.openxmlformats.org/officeDocument/2006/relationships/hyperlink" Target="https://www.sec.gov/Archives/edgar/data/1597033/000159703320000097/exh1083q12020formofexe.htm" TargetMode="External"/><Relationship Id="rId188" Type="http://schemas.openxmlformats.org/officeDocument/2006/relationships/hyperlink" Target="https://www.sec.gov/Archives/edgar/data/1597033/000159703320000160/exh1084formofexecutive.htm" TargetMode="External"/><Relationship Id="rId189" Type="http://schemas.openxmlformats.org/officeDocument/2006/relationships/hyperlink" Target="https://www.sec.gov/Archives/edgar/data/1597033/000159703320000160/exh1085formofexecutive.htm" TargetMode="External"/><Relationship Id="rId190" Type="http://schemas.openxmlformats.org/officeDocument/2006/relationships/hyperlink" Target="https://www.sec.gov/Archives/edgar/data/1597033/000159703320000160/exh1086formofexecutive.htm" TargetMode="External"/><Relationship Id="rId191" Type="http://schemas.openxmlformats.org/officeDocument/2006/relationships/hyperlink" Target="https://www.sec.gov/Archives/edgar/data/1597033/000159703320000160/exh1087formofexecutive.htm" TargetMode="External"/><Relationship Id="rId192" Type="http://schemas.openxmlformats.org/officeDocument/2006/relationships/hyperlink" Target="https://www.sec.gov/Archives/edgar/data/1597033/000159703320000160/exh1088formofrestricte.htm" TargetMode="External"/><Relationship Id="rId193" Type="http://schemas.openxmlformats.org/officeDocument/2006/relationships/hyperlink" Target="https://www.sec.gov/Archives/edgar/data/1597033/000159703320000160/exh1089formofexecutive.htm" TargetMode="External"/><Relationship Id="rId194" Type="http://schemas.openxmlformats.org/officeDocument/2006/relationships/hyperlink" Target="https://www.sec.gov/Archives/edgar/data/1597033/000159703320000160/exh1090formofnon-emplo.htm" TargetMode="External"/><Relationship Id="rId195" Type="http://schemas.openxmlformats.org/officeDocument/2006/relationships/hyperlink" Target="https://www.sec.gov/Archives/edgar/data/1597033/000159703320000160/exh1091roshanmendis-sa.htm" TargetMode="External"/><Relationship Id="rId196" Type="http://schemas.openxmlformats.org/officeDocument/2006/relationships/hyperlink" Target="https://www.sec.gov/Archives/edgar/data/1597033/000159703320000198/exh1094letteragreement.htm" TargetMode="External"/><Relationship Id="rId197" Type="http://schemas.openxmlformats.org/officeDocument/2006/relationships/hyperlink" Target="https://www.sec.gov/Archives/edgar/data/1597033/000119312521140370/d181521dex101.htm" TargetMode="External"/><Relationship Id="rId198" Type="http://schemas.openxmlformats.org/officeDocument/2006/relationships/hyperlink" Target="https://www.sec.gov/Archives/edgar/data/1597033/000159703321000073/a10992021rsuformofagreement.htm" TargetMode="External"/><Relationship Id="rId199" Type="http://schemas.openxmlformats.org/officeDocument/2006/relationships/hyperlink" Target="https://www.sec.gov/Archives/edgar/data/1597033/000159703321000073/a101002021directorgrantagr.htm" TargetMode="External"/><Relationship Id="rId200" Type="http://schemas.openxmlformats.org/officeDocument/2006/relationships/hyperlink" Target="https://www.sec.gov/Archives/edgar/data/1597033/000159703321000073/a101012021annualgrantpsurf.htm" TargetMode="External"/><Relationship Id="rId201" Type="http://schemas.openxmlformats.org/officeDocument/2006/relationships/hyperlink" Target="https://www.sec.gov/Archives/edgar/data/1597033/000159703321000073/a101022021annualgrantpsuc3.htm" TargetMode="External"/><Relationship Id="rId203" Type="http://schemas.openxmlformats.org/officeDocument/2006/relationships/hyperlink" Target="https://www.sec.gov/Archives/edgar/data/1597033/000119312521251605/d169865dex11.htm" TargetMode="External"/><Relationship Id="rId204" Type="http://schemas.openxmlformats.org/officeDocument/2006/relationships/hyperlink" Target="https://www.sec.gov/Archives/edgar/data/1597033/000159703322000015/sabrecontractofemployment_.htm" TargetMode="External"/><Relationship Id="rId205" Type="http://schemas.openxmlformats.org/officeDocument/2006/relationships/hyperlink" Target="https://www.sec.gov/Archives/edgar/data/1597033/000119312522133575/d335287dex101.htm" TargetMode="External"/><Relationship Id="rId206" Type="http://schemas.openxmlformats.org/officeDocument/2006/relationships/hyperlink" Target="https://www.sec.gov/Archives/edgar/data/1597033/000119312522204189/d385896dex101.htm" TargetMode="External"/><Relationship Id="rId207" Type="http://schemas.openxmlformats.org/officeDocument/2006/relationships/hyperlink" Target="https://www.sec.gov/Archives/edgar/data/1597033/000159703322000053/exhibit10110.htm" TargetMode="External"/><Relationship Id="rId208" Type="http://schemas.openxmlformats.org/officeDocument/2006/relationships/hyperlink" Target="https://www.sec.gov/Archives/edgar/data/1597033/000159703322000053/exhibit10111.htm" TargetMode="External"/><Relationship Id="rId209" Type="http://schemas.openxmlformats.org/officeDocument/2006/relationships/hyperlink" Target="https://www.sec.gov/Archives/edgar/data/1597033/000159703322000093/a10114-offerletterxgarry.htm" TargetMode="External"/><Relationship Id="rId210" Type="http://schemas.openxmlformats.org/officeDocument/2006/relationships/hyperlink" Target="https://www.sec.gov/Archives/edgar/data/1597033/000119312523042021/d451065dex101.htm" TargetMode="External"/><Relationship Id="rId211" Type="http://schemas.openxmlformats.org/officeDocument/2006/relationships/hyperlink" Target="https://www.sec.gov/Archives/edgar/data/1597033/000119312523055196/d476097dex102.htm" TargetMode="External"/><Relationship Id="rId212" Type="http://schemas.openxmlformats.org/officeDocument/2006/relationships/hyperlink" Target="https://www.sec.gov/Archives/edgar/data/1597033/000119312523088020/d490456dex101.htm" TargetMode="External"/><Relationship Id="rId213" Type="http://schemas.openxmlformats.org/officeDocument/2006/relationships/hyperlink" Target="https://www.sec.gov/Archives/edgar/data/1597033/000119312523088020/d490456dex102.htm" TargetMode="External"/><Relationship Id="rId214" Type="http://schemas.openxmlformats.org/officeDocument/2006/relationships/hyperlink" Target="https://www.sec.gov/Archives/edgar/data/1597033/000119312523126997/d202354dex101.htm" TargetMode="External"/><Relationship Id="rId215" Type="http://schemas.openxmlformats.org/officeDocument/2006/relationships/hyperlink" Target="https://www.sec.gov/Archives/edgar/data/1597033/000159703323000073/a10123nonemployeedirectorr.htm" TargetMode="External"/><Relationship Id="rId216" Type="http://schemas.openxmlformats.org/officeDocument/2006/relationships/hyperlink" Target="https://www.sec.gov/Archives/edgar/data/1597033/000159703323000073/a10124executiverestrictedp.htm" TargetMode="External"/><Relationship Id="rId217" Type="http://schemas.openxmlformats.org/officeDocument/2006/relationships/hyperlink" Target="https://www.sec.gov/Archives/edgar/data/1597033/000159703323000073/a10125executiverestricteds.htm" TargetMode="External"/><Relationship Id="rId218" Type="http://schemas.openxmlformats.org/officeDocument/2006/relationships/hyperlink" Target="https://www.sec.gov/Archives/edgar/data/1597033/000119312523230673/d495101dex101.htm" TargetMode="External"/><Relationship Id="rId219" Type="http://schemas.openxmlformats.org/officeDocument/2006/relationships/hyperlink" Target="https://www.sec.gov/Archives/edgar/data/0001597033/000119312524086079/d766330dex101.htm" TargetMode="External"/><Relationship Id="rId221" Type="http://schemas.openxmlformats.org/officeDocument/2006/relationships/hyperlink" Target="https://www.sec.gov/Archives/edgar/data/1597033/000159703324000106/exhibit10143formofnon-empl.htm" TargetMode="External"/><Relationship Id="rId222" Type="http://schemas.openxmlformats.org/officeDocument/2006/relationships/hyperlink" Target="https://www.sec.gov/Archives/edgar/data/1597033/000159703324000106/exhibit10144formofexecutiv.htm" TargetMode="External"/><Relationship Id="rId223" Type="http://schemas.openxmlformats.org/officeDocument/2006/relationships/hyperlink" Target="https://www.sec.gov/Archives/edgar/data/1597033/000159703324000106/exhibit10145formofexecutiv.htm" TargetMode="External"/><Relationship Id="rId224" Type="http://schemas.openxmlformats.org/officeDocument/2006/relationships/hyperlink" Target="https://www.sec.gov/Archives/edgar/data/1597033/000159703324000125/a10146offerletterbyandbetw.htm" TargetMode="External"/><Relationship Id="rId225" Type="http://schemas.openxmlformats.org/officeDocument/2006/relationships/hyperlink" Target="https://www.sec.gov/Archives/edgar/data/0001597033/000119312524268887/d868588dex101.htm" TargetMode="External"/><Relationship Id="rId226" Type="http://schemas.openxmlformats.org/officeDocument/2006/relationships/hyperlink" Target="https://www.sec.gov/Archives/edgar/data/1597033/000119312524268887/d868588dex102.htm" TargetMode="External"/><Relationship Id="rId227" Type="http://schemas.openxmlformats.org/officeDocument/2006/relationships/hyperlink" Target="https://www.sec.gov/Archives/edgar/data/1597033/000119312525094664/d865521dex101.htm" TargetMode="External"/><Relationship Id="rId228" Type="http://schemas.openxmlformats.org/officeDocument/2006/relationships/hyperlink" Target="https://www.sec.gov/Archives/edgar/data/1597033/000159703325000061/a10148offerletterbyandbetw.htm" TargetMode="External"/><Relationship Id="rId229" Type="http://schemas.openxmlformats.org/officeDocument/2006/relationships/hyperlink" Target="https://www.sec.gov/Archives/edgar/data/1597033/000119312525100450/d600432dex21.htm" TargetMode="External"/><Relationship Id="rId230" Type="http://schemas.openxmlformats.org/officeDocument/2006/relationships/hyperlink" Target="https://www.sec.gov/Archives/edgar/data/1597033/000159703325000090/a10150formofexecutiverestr.htm" TargetMode="External"/><Relationship Id="rId231" Type="http://schemas.openxmlformats.org/officeDocument/2006/relationships/hyperlink" Target="https://www.sec.gov/Archives/edgar/data/1597033/000159703325000090/a10151formofexecutiverestr.htm" TargetMode="External"/><Relationship Id="rId232" Type="http://schemas.openxmlformats.org/officeDocument/2006/relationships/hyperlink" Target="https://www.sec.gov/Archives/edgar/data/1597033/000119312525135052/d13750dex101.htm" TargetMode="External"/><Relationship Id="rId233" Type="http://schemas.openxmlformats.org/officeDocument/2006/relationships/hyperlink" Target="https://www.sec.gov/Archives/edgar/data/1597033/000119312525316195/d55838dex101.htm" TargetMode="External"/><Relationship Id="rId234" Type="http://schemas.openxmlformats.org/officeDocument/2006/relationships/hyperlink" Target="https://www.sec.gov/Archives/edgar/data/1597033/000119312525316195/d55838dex102.htm" TargetMode="External"/><Relationship Id="rId235" Type="http://schemas.openxmlformats.org/officeDocument/2006/relationships/hyperlink" Target="https://www.sec.gov/Archives/edgar/data/1597033/000119312525316195/d55838dex103.htm" TargetMode="External"/><Relationship Id="rId237" Type="http://schemas.openxmlformats.org/officeDocument/2006/relationships/hyperlink" Target="https://www.sec.gov/Archives/edgar/data/1597033/000119312525316195/d55838dex104.htm" TargetMode="External"/><Relationship Id="rId238" Type="http://schemas.openxmlformats.org/officeDocument/2006/relationships/hyperlink" Target="https://www.sec.gov/Archives/edgar/data/1597033/000119312525316195/d55838dex105.htm" TargetMode="External"/><Relationship Id="rId239" Type="http://schemas.openxmlformats.org/officeDocument/2006/relationships/hyperlink" Target="https://www.sec.gov/Archives/edgar/data/1597033/000159703324000020/sabrecorpclawbackpolicy0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2026-02-18T07:09:06Z</dcterms:created>
  <dcterms:modified xsi:type="dcterms:W3CDTF">2026-02-18T07:09:06Z</dcterms:modified>
</cp:coreProperties>
</file>