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963295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989330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ind w:left="4580"/>
        <w:spacing w:after="0"/>
        <w:rPr>
          <w:sz w:val="20"/>
          <w:szCs w:val="20"/>
          <w:color w:val="auto"/>
        </w:rPr>
      </w:pPr>
      <w:r>
        <w:rPr>
          <w:rFonts w:ascii="Arial" w:cs="Arial" w:eastAsia="Arial" w:hAnsi="Arial"/>
          <w:sz w:val="18"/>
          <w:szCs w:val="18"/>
          <w:color w:val="auto"/>
        </w:rPr>
        <w:t>_____________________</w:t>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53"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w:t>
      </w:r>
    </w:p>
    <w:p>
      <w:pPr>
        <w:spacing w:after="0" w:line="238"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ind w:left="4020"/>
        <w:spacing w:after="0"/>
        <w:rPr>
          <w:sz w:val="20"/>
          <w:szCs w:val="20"/>
          <w:color w:val="auto"/>
        </w:rPr>
      </w:pPr>
      <w:r>
        <w:rPr>
          <w:rFonts w:ascii="Arial" w:cs="Arial" w:eastAsia="Arial" w:hAnsi="Arial"/>
          <w:sz w:val="22"/>
          <w:szCs w:val="22"/>
          <w:b w:val="1"/>
          <w:bCs w:val="1"/>
          <w:color w:val="auto"/>
        </w:rPr>
        <w:t>Pursuant to Section 13 or 15(d)</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February 18, 2026</w:t>
      </w:r>
    </w:p>
    <w:p>
      <w:pPr>
        <w:spacing w:after="0" w:line="18"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SABRE CORPORATION</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9" w:lineRule="exact"/>
        <w:rPr>
          <w:sz w:val="24"/>
          <w:szCs w:val="24"/>
          <w:color w:val="auto"/>
        </w:rPr>
      </w:pPr>
    </w:p>
    <w:tbl>
      <w:tblPr>
        <w:tblLayout w:type="fixed"/>
        <w:tblInd w:w="740" w:type="dxa"/>
        <w:tblCellMar>
          <w:top w:w="0" w:type="dxa"/>
          <w:left w:w="0" w:type="dxa"/>
          <w:bottom w:w="0" w:type="dxa"/>
          <w:right w:w="0" w:type="dxa"/>
        </w:tblCellMar>
      </w:tblPr>
      <w:tr>
        <w:trPr>
          <w:trHeight w:val="239"/>
        </w:trPr>
        <w:tc>
          <w:tcPr>
            <w:tcW w:w="3780" w:type="dxa"/>
            <w:vAlign w:val="bottom"/>
          </w:tcPr>
          <w:p>
            <w:pPr>
              <w:spacing w:after="0"/>
              <w:rPr>
                <w:sz w:val="20"/>
                <w:szCs w:val="20"/>
                <w:color w:val="auto"/>
              </w:rPr>
            </w:pPr>
          </w:p>
        </w:tc>
        <w:tc>
          <w:tcPr>
            <w:tcW w:w="3280" w:type="dxa"/>
            <w:vAlign w:val="bottom"/>
          </w:tcPr>
          <w:p>
            <w:pPr>
              <w:jc w:val="center"/>
              <w:ind w:right="937"/>
              <w:spacing w:after="0"/>
              <w:rPr>
                <w:sz w:val="20"/>
                <w:szCs w:val="20"/>
                <w:color w:val="auto"/>
              </w:rPr>
            </w:pPr>
            <w:r>
              <w:rPr>
                <w:rFonts w:ascii="Arial" w:cs="Arial" w:eastAsia="Arial" w:hAnsi="Arial"/>
                <w:sz w:val="18"/>
                <w:szCs w:val="18"/>
                <w:color w:val="auto"/>
                <w:w w:val="99"/>
              </w:rPr>
              <w:t>_____________________</w:t>
            </w:r>
          </w:p>
        </w:tc>
        <w:tc>
          <w:tcPr>
            <w:tcW w:w="2300" w:type="dxa"/>
            <w:vAlign w:val="bottom"/>
          </w:tcPr>
          <w:p>
            <w:pPr>
              <w:spacing w:after="0"/>
              <w:rPr>
                <w:sz w:val="20"/>
                <w:szCs w:val="20"/>
                <w:color w:val="auto"/>
              </w:rPr>
            </w:pPr>
          </w:p>
        </w:tc>
      </w:tr>
      <w:tr>
        <w:trPr>
          <w:trHeight w:val="239"/>
        </w:trPr>
        <w:tc>
          <w:tcPr>
            <w:tcW w:w="3780" w:type="dxa"/>
            <w:vAlign w:val="bottom"/>
          </w:tcPr>
          <w:p>
            <w:pPr>
              <w:jc w:val="center"/>
              <w:ind w:right="1620"/>
              <w:spacing w:after="0"/>
              <w:rPr>
                <w:sz w:val="20"/>
                <w:szCs w:val="20"/>
                <w:color w:val="auto"/>
              </w:rPr>
            </w:pPr>
            <w:r>
              <w:rPr>
                <w:rFonts w:ascii="Arial" w:cs="Arial" w:eastAsia="Arial" w:hAnsi="Arial"/>
                <w:sz w:val="18"/>
                <w:szCs w:val="18"/>
                <w:b w:val="1"/>
                <w:bCs w:val="1"/>
                <w:color w:val="auto"/>
              </w:rPr>
              <w:t>Delaware</w:t>
            </w:r>
          </w:p>
        </w:tc>
        <w:tc>
          <w:tcPr>
            <w:tcW w:w="3280" w:type="dxa"/>
            <w:vAlign w:val="bottom"/>
          </w:tcPr>
          <w:p>
            <w:pPr>
              <w:jc w:val="center"/>
              <w:ind w:right="937"/>
              <w:spacing w:after="0"/>
              <w:rPr>
                <w:sz w:val="20"/>
                <w:szCs w:val="20"/>
                <w:color w:val="auto"/>
              </w:rPr>
            </w:pPr>
            <w:r>
              <w:rPr>
                <w:rFonts w:ascii="Arial" w:cs="Arial" w:eastAsia="Arial" w:hAnsi="Arial"/>
                <w:sz w:val="18"/>
                <w:szCs w:val="18"/>
                <w:b w:val="1"/>
                <w:bCs w:val="1"/>
                <w:color w:val="auto"/>
                <w:w w:val="99"/>
              </w:rPr>
              <w:t>001-36422</w:t>
            </w:r>
          </w:p>
        </w:tc>
        <w:tc>
          <w:tcPr>
            <w:tcW w:w="2300" w:type="dxa"/>
            <w:vAlign w:val="bottom"/>
          </w:tcPr>
          <w:p>
            <w:pPr>
              <w:jc w:val="center"/>
              <w:ind w:left="1021"/>
              <w:spacing w:after="0"/>
              <w:rPr>
                <w:sz w:val="20"/>
                <w:szCs w:val="20"/>
                <w:color w:val="auto"/>
              </w:rPr>
            </w:pPr>
            <w:r>
              <w:rPr>
                <w:rFonts w:ascii="Arial" w:cs="Arial" w:eastAsia="Arial" w:hAnsi="Arial"/>
                <w:sz w:val="18"/>
                <w:szCs w:val="18"/>
                <w:b w:val="1"/>
                <w:bCs w:val="1"/>
                <w:color w:val="auto"/>
                <w:w w:val="99"/>
              </w:rPr>
              <w:t>20-8647322</w:t>
            </w:r>
          </w:p>
        </w:tc>
      </w:tr>
      <w:tr>
        <w:trPr>
          <w:trHeight w:val="144"/>
        </w:trPr>
        <w:tc>
          <w:tcPr>
            <w:tcW w:w="3780" w:type="dxa"/>
            <w:vAlign w:val="bottom"/>
          </w:tcPr>
          <w:p>
            <w:pPr>
              <w:jc w:val="center"/>
              <w:ind w:right="1640"/>
              <w:spacing w:after="0" w:line="145" w:lineRule="exact"/>
              <w:rPr>
                <w:sz w:val="20"/>
                <w:szCs w:val="20"/>
                <w:color w:val="auto"/>
              </w:rPr>
            </w:pPr>
            <w:r>
              <w:rPr>
                <w:rFonts w:ascii="Arial" w:cs="Arial" w:eastAsia="Arial" w:hAnsi="Arial"/>
                <w:sz w:val="14"/>
                <w:szCs w:val="14"/>
                <w:b w:val="1"/>
                <w:bCs w:val="1"/>
                <w:color w:val="auto"/>
              </w:rPr>
              <w:t>(State or other jurisdiction of</w:t>
            </w:r>
          </w:p>
        </w:tc>
        <w:tc>
          <w:tcPr>
            <w:tcW w:w="3280" w:type="dxa"/>
            <w:vAlign w:val="bottom"/>
          </w:tcPr>
          <w:p>
            <w:pPr>
              <w:jc w:val="center"/>
              <w:ind w:right="957"/>
              <w:spacing w:after="0" w:line="145" w:lineRule="exact"/>
              <w:rPr>
                <w:sz w:val="20"/>
                <w:szCs w:val="20"/>
                <w:color w:val="auto"/>
              </w:rPr>
            </w:pPr>
            <w:r>
              <w:rPr>
                <w:rFonts w:ascii="Arial" w:cs="Arial" w:eastAsia="Arial" w:hAnsi="Arial"/>
                <w:sz w:val="14"/>
                <w:szCs w:val="14"/>
                <w:b w:val="1"/>
                <w:bCs w:val="1"/>
                <w:color w:val="auto"/>
              </w:rPr>
              <w:t>(Commission</w:t>
            </w:r>
          </w:p>
        </w:tc>
        <w:tc>
          <w:tcPr>
            <w:tcW w:w="2300" w:type="dxa"/>
            <w:vAlign w:val="bottom"/>
          </w:tcPr>
          <w:p>
            <w:pPr>
              <w:jc w:val="center"/>
              <w:ind w:left="1001"/>
              <w:spacing w:after="0" w:line="145" w:lineRule="exact"/>
              <w:rPr>
                <w:sz w:val="20"/>
                <w:szCs w:val="20"/>
                <w:color w:val="auto"/>
              </w:rPr>
            </w:pPr>
            <w:r>
              <w:rPr>
                <w:rFonts w:ascii="Arial" w:cs="Arial" w:eastAsia="Arial" w:hAnsi="Arial"/>
                <w:sz w:val="14"/>
                <w:szCs w:val="14"/>
                <w:b w:val="1"/>
                <w:bCs w:val="1"/>
                <w:color w:val="auto"/>
              </w:rPr>
              <w:t>(IRS Employer</w:t>
            </w:r>
          </w:p>
        </w:tc>
      </w:tr>
      <w:tr>
        <w:trPr>
          <w:trHeight w:val="196"/>
        </w:trPr>
        <w:tc>
          <w:tcPr>
            <w:tcW w:w="3780" w:type="dxa"/>
            <w:vAlign w:val="bottom"/>
          </w:tcPr>
          <w:p>
            <w:pPr>
              <w:jc w:val="center"/>
              <w:ind w:right="1640"/>
              <w:spacing w:after="0"/>
              <w:rPr>
                <w:sz w:val="20"/>
                <w:szCs w:val="20"/>
                <w:color w:val="auto"/>
              </w:rPr>
            </w:pPr>
            <w:r>
              <w:rPr>
                <w:rFonts w:ascii="Arial" w:cs="Arial" w:eastAsia="Arial" w:hAnsi="Arial"/>
                <w:sz w:val="14"/>
                <w:szCs w:val="14"/>
                <w:b w:val="1"/>
                <w:bCs w:val="1"/>
                <w:color w:val="auto"/>
              </w:rPr>
              <w:t>incorporation or organization)</w:t>
            </w:r>
          </w:p>
        </w:tc>
        <w:tc>
          <w:tcPr>
            <w:tcW w:w="3280" w:type="dxa"/>
            <w:vAlign w:val="bottom"/>
          </w:tcPr>
          <w:p>
            <w:pPr>
              <w:jc w:val="center"/>
              <w:ind w:right="957"/>
              <w:spacing w:after="0"/>
              <w:rPr>
                <w:sz w:val="20"/>
                <w:szCs w:val="20"/>
                <w:color w:val="auto"/>
              </w:rPr>
            </w:pPr>
            <w:r>
              <w:rPr>
                <w:rFonts w:ascii="Arial" w:cs="Arial" w:eastAsia="Arial" w:hAnsi="Arial"/>
                <w:sz w:val="14"/>
                <w:szCs w:val="14"/>
                <w:b w:val="1"/>
                <w:bCs w:val="1"/>
                <w:color w:val="auto"/>
              </w:rPr>
              <w:t>File Number)</w:t>
            </w:r>
          </w:p>
        </w:tc>
        <w:tc>
          <w:tcPr>
            <w:tcW w:w="2300" w:type="dxa"/>
            <w:vAlign w:val="bottom"/>
          </w:tcPr>
          <w:p>
            <w:pPr>
              <w:jc w:val="center"/>
              <w:ind w:left="1001"/>
              <w:spacing w:after="0"/>
              <w:rPr>
                <w:sz w:val="20"/>
                <w:szCs w:val="20"/>
                <w:color w:val="auto"/>
              </w:rPr>
            </w:pPr>
            <w:r>
              <w:rPr>
                <w:rFonts w:ascii="Arial" w:cs="Arial" w:eastAsia="Arial" w:hAnsi="Arial"/>
                <w:sz w:val="14"/>
                <w:szCs w:val="14"/>
                <w:b w:val="1"/>
                <w:bCs w:val="1"/>
                <w:color w:val="auto"/>
              </w:rPr>
              <w:t>Identification No.)</w:t>
            </w:r>
          </w:p>
        </w:tc>
      </w:tr>
      <w:tr>
        <w:trPr>
          <w:trHeight w:val="689"/>
        </w:trPr>
        <w:tc>
          <w:tcPr>
            <w:tcW w:w="3780" w:type="dxa"/>
            <w:vAlign w:val="bottom"/>
          </w:tcPr>
          <w:p>
            <w:pPr>
              <w:jc w:val="center"/>
              <w:ind w:left="2080"/>
              <w:spacing w:after="0"/>
              <w:rPr>
                <w:sz w:val="20"/>
                <w:szCs w:val="20"/>
                <w:color w:val="auto"/>
              </w:rPr>
            </w:pPr>
            <w:r>
              <w:rPr>
                <w:rFonts w:ascii="Arial" w:cs="Arial" w:eastAsia="Arial" w:hAnsi="Arial"/>
                <w:sz w:val="18"/>
                <w:szCs w:val="18"/>
                <w:b w:val="1"/>
                <w:bCs w:val="1"/>
                <w:color w:val="auto"/>
              </w:rPr>
              <w:t>3150 Sabre Drive</w:t>
            </w:r>
          </w:p>
        </w:tc>
        <w:tc>
          <w:tcPr>
            <w:tcW w:w="32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80"/>
        </w:trPr>
        <w:tc>
          <w:tcPr>
            <w:tcW w:w="3780" w:type="dxa"/>
            <w:vAlign w:val="bottom"/>
          </w:tcPr>
          <w:p>
            <w:pPr>
              <w:ind w:left="2040"/>
              <w:spacing w:after="0" w:line="280" w:lineRule="exact"/>
              <w:rPr>
                <w:sz w:val="20"/>
                <w:szCs w:val="20"/>
                <w:color w:val="auto"/>
              </w:rPr>
            </w:pPr>
            <w:r>
              <w:rPr>
                <w:rFonts w:ascii="Arial" w:cs="Arial" w:eastAsia="Arial" w:hAnsi="Arial"/>
                <w:sz w:val="17"/>
                <w:szCs w:val="17"/>
                <w:b w:val="1"/>
                <w:bCs w:val="1"/>
                <w:color w:val="auto"/>
              </w:rPr>
              <w:t xml:space="preserve">Southlake, </w:t>
            </w:r>
            <w:r>
              <w:rPr>
                <w:rFonts w:ascii="Arial" w:cs="Arial" w:eastAsia="Arial" w:hAnsi="Arial"/>
                <w:sz w:val="32"/>
                <w:szCs w:val="32"/>
                <w:b w:val="1"/>
                <w:bCs w:val="1"/>
                <w:color w:val="auto"/>
                <w:vertAlign w:val="subscript"/>
              </w:rPr>
              <w:t>TX</w:t>
            </w:r>
          </w:p>
        </w:tc>
        <w:tc>
          <w:tcPr>
            <w:tcW w:w="3280" w:type="dxa"/>
            <w:vAlign w:val="bottom"/>
          </w:tcPr>
          <w:p>
            <w:pPr>
              <w:spacing w:after="0"/>
              <w:rPr>
                <w:sz w:val="24"/>
                <w:szCs w:val="24"/>
                <w:color w:val="auto"/>
              </w:rPr>
            </w:pPr>
          </w:p>
        </w:tc>
        <w:tc>
          <w:tcPr>
            <w:tcW w:w="2300" w:type="dxa"/>
            <w:vAlign w:val="bottom"/>
          </w:tcPr>
          <w:p>
            <w:pPr>
              <w:jc w:val="right"/>
              <w:ind w:right="361"/>
              <w:spacing w:after="0"/>
              <w:rPr>
                <w:sz w:val="20"/>
                <w:szCs w:val="20"/>
                <w:color w:val="auto"/>
              </w:rPr>
            </w:pPr>
            <w:r>
              <w:rPr>
                <w:rFonts w:ascii="Arial" w:cs="Arial" w:eastAsia="Arial" w:hAnsi="Arial"/>
                <w:sz w:val="18"/>
                <w:szCs w:val="18"/>
                <w:b w:val="1"/>
                <w:bCs w:val="1"/>
                <w:color w:val="auto"/>
              </w:rPr>
              <w:t>76092</w:t>
            </w:r>
          </w:p>
        </w:tc>
      </w:tr>
      <w:tr>
        <w:trPr>
          <w:trHeight w:val="196"/>
        </w:trPr>
        <w:tc>
          <w:tcPr>
            <w:tcW w:w="7060" w:type="dxa"/>
            <w:vAlign w:val="bottom"/>
            <w:gridSpan w:val="2"/>
          </w:tcPr>
          <w:p>
            <w:pPr>
              <w:jc w:val="center"/>
              <w:ind w:right="1037"/>
              <w:spacing w:after="0"/>
              <w:rPr>
                <w:sz w:val="20"/>
                <w:szCs w:val="20"/>
                <w:color w:val="auto"/>
              </w:rPr>
            </w:pPr>
            <w:r>
              <w:rPr>
                <w:rFonts w:ascii="Arial" w:cs="Arial" w:eastAsia="Arial" w:hAnsi="Arial"/>
                <w:sz w:val="14"/>
                <w:szCs w:val="14"/>
                <w:b w:val="1"/>
                <w:bCs w:val="1"/>
                <w:color w:val="auto"/>
              </w:rPr>
              <w:t>(Address of principal executive offices)</w:t>
            </w:r>
          </w:p>
        </w:tc>
        <w:tc>
          <w:tcPr>
            <w:tcW w:w="2300" w:type="dxa"/>
            <w:vAlign w:val="bottom"/>
          </w:tcPr>
          <w:p>
            <w:pPr>
              <w:jc w:val="center"/>
              <w:ind w:left="841"/>
              <w:spacing w:after="0"/>
              <w:rPr>
                <w:sz w:val="20"/>
                <w:szCs w:val="20"/>
                <w:color w:val="auto"/>
              </w:rPr>
            </w:pPr>
            <w:r>
              <w:rPr>
                <w:rFonts w:ascii="Arial" w:cs="Arial" w:eastAsia="Arial" w:hAnsi="Arial"/>
                <w:sz w:val="14"/>
                <w:szCs w:val="14"/>
                <w:b w:val="1"/>
                <w:bCs w:val="1"/>
                <w:color w:val="auto"/>
              </w:rPr>
              <w:t>(Zip Code)</w:t>
            </w:r>
          </w:p>
        </w:tc>
      </w:tr>
      <w:tr>
        <w:trPr>
          <w:trHeight w:val="533"/>
        </w:trPr>
        <w:tc>
          <w:tcPr>
            <w:tcW w:w="3780" w:type="dxa"/>
            <w:vAlign w:val="bottom"/>
          </w:tcPr>
          <w:p>
            <w:pPr>
              <w:spacing w:after="0"/>
              <w:rPr>
                <w:sz w:val="24"/>
                <w:szCs w:val="24"/>
                <w:color w:val="auto"/>
              </w:rPr>
            </w:pPr>
          </w:p>
        </w:tc>
        <w:tc>
          <w:tcPr>
            <w:tcW w:w="3280" w:type="dxa"/>
            <w:vAlign w:val="bottom"/>
          </w:tcPr>
          <w:p>
            <w:pPr>
              <w:jc w:val="center"/>
              <w:ind w:right="997"/>
              <w:spacing w:after="0"/>
              <w:rPr>
                <w:sz w:val="20"/>
                <w:szCs w:val="20"/>
                <w:color w:val="auto"/>
              </w:rPr>
            </w:pPr>
            <w:r>
              <w:rPr>
                <w:rFonts w:ascii="Arial" w:cs="Arial" w:eastAsia="Arial" w:hAnsi="Arial"/>
                <w:sz w:val="18"/>
                <w:szCs w:val="18"/>
                <w:b w:val="1"/>
                <w:bCs w:val="1"/>
                <w:color w:val="auto"/>
              </w:rPr>
              <w:t>(682) 605-1000</w:t>
            </w:r>
          </w:p>
        </w:tc>
        <w:tc>
          <w:tcPr>
            <w:tcW w:w="2300" w:type="dxa"/>
            <w:vAlign w:val="bottom"/>
          </w:tcPr>
          <w:p>
            <w:pPr>
              <w:spacing w:after="0"/>
              <w:rPr>
                <w:sz w:val="24"/>
                <w:szCs w:val="24"/>
                <w:color w:val="auto"/>
              </w:rPr>
            </w:pPr>
          </w:p>
        </w:tc>
      </w:tr>
    </w:tbl>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9" w:lineRule="exact"/>
        <w:rPr>
          <w:sz w:val="24"/>
          <w:szCs w:val="24"/>
          <w:color w:val="auto"/>
        </w:rPr>
      </w:pPr>
    </w:p>
    <w:p>
      <w:pPr>
        <w:ind w:left="4620"/>
        <w:spacing w:after="0"/>
        <w:rPr>
          <w:sz w:val="20"/>
          <w:szCs w:val="20"/>
          <w:color w:val="auto"/>
        </w:rPr>
      </w:pPr>
      <w:r>
        <w:rPr>
          <w:rFonts w:ascii="Arial" w:cs="Arial" w:eastAsia="Arial" w:hAnsi="Arial"/>
          <w:sz w:val="18"/>
          <w:szCs w:val="18"/>
          <w:color w:val="auto"/>
        </w:rPr>
        <w:t>____________________</w:t>
      </w:r>
    </w:p>
    <w:p>
      <w:pPr>
        <w:spacing w:after="0" w:line="234" w:lineRule="exact"/>
        <w:rPr>
          <w:sz w:val="24"/>
          <w:szCs w:val="24"/>
          <w:color w:val="auto"/>
        </w:rPr>
      </w:pPr>
    </w:p>
    <w:p>
      <w:pPr>
        <w:ind w:right="140"/>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3"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45"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45"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45"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240"/>
          </w:cols>
          <w:pgMar w:left="320" w:top="1440" w:right="339" w:bottom="1440" w:gutter="0" w:footer="0" w:header="0"/>
        </w:sectPr>
      </w:pPr>
    </w:p>
    <w:p>
      <w:pPr>
        <w:spacing w:after="0" w:line="50"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Title of each class</w:t>
      </w:r>
    </w:p>
    <w:p>
      <w:pPr>
        <w:spacing w:after="0" w:line="40"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Common Stock, $.01 par value</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jc w:val="center"/>
        <w:ind w:right="540"/>
        <w:spacing w:after="0"/>
        <w:rPr>
          <w:sz w:val="20"/>
          <w:szCs w:val="20"/>
          <w:color w:val="auto"/>
        </w:rPr>
      </w:pPr>
      <w:r>
        <w:rPr>
          <w:rFonts w:ascii="Arial" w:cs="Arial" w:eastAsia="Arial" w:hAnsi="Arial"/>
          <w:sz w:val="17"/>
          <w:szCs w:val="17"/>
          <w:b w:val="1"/>
          <w:bCs w:val="1"/>
          <w:color w:val="auto"/>
        </w:rPr>
        <w:t>Trading Symbol</w:t>
      </w:r>
    </w:p>
    <w:p>
      <w:pPr>
        <w:spacing w:after="0" w:line="51"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SABR</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Name of each exchange on which registered</w:t>
      </w:r>
    </w:p>
    <w:p>
      <w:pPr>
        <w:spacing w:after="0" w:line="5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The NASDAQ Stock Market LLC</w:t>
      </w:r>
    </w:p>
    <w:p>
      <w:pPr>
        <w:spacing w:after="0" w:line="200" w:lineRule="exact"/>
        <w:rPr>
          <w:sz w:val="24"/>
          <w:szCs w:val="24"/>
          <w:color w:val="auto"/>
        </w:rPr>
      </w:pPr>
    </w:p>
    <w:p>
      <w:pPr>
        <w:sectPr>
          <w:pgSz w:w="11900" w:h="16838" w:orient="portrait"/>
          <w:cols w:equalWidth="0" w:num="3">
            <w:col w:w="4060" w:space="720"/>
            <w:col w:w="1900" w:space="720"/>
            <w:col w:w="3840"/>
          </w:cols>
          <w:pgMar w:left="320" w:top="1440" w:right="339" w:bottom="1440" w:gutter="0" w:footer="0" w:header="0"/>
          <w:type w:val="continuous"/>
        </w:sectPr>
      </w:pPr>
    </w:p>
    <w:p>
      <w:pPr>
        <w:spacing w:after="0" w:line="102" w:lineRule="exact"/>
        <w:rPr>
          <w:sz w:val="24"/>
          <w:szCs w:val="24"/>
          <w:color w:val="auto"/>
        </w:rPr>
      </w:pPr>
    </w:p>
    <w:p>
      <w:pPr>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516255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of this chapter).</w:t>
      </w:r>
    </w:p>
    <w:p>
      <w:pPr>
        <w:spacing w:after="0" w:line="60" w:lineRule="exact"/>
        <w:rPr>
          <w:sz w:val="20"/>
          <w:szCs w:val="20"/>
          <w:color w:val="auto"/>
        </w:rPr>
      </w:pPr>
    </w:p>
    <w:p>
      <w:pPr>
        <w:ind w:left="7080"/>
        <w:spacing w:after="0"/>
        <w:rPr>
          <w:sz w:val="20"/>
          <w:szCs w:val="20"/>
          <w:color w:val="auto"/>
        </w:rPr>
      </w:pPr>
      <w:r>
        <w:rPr>
          <w:rFonts w:ascii="Arial" w:cs="Arial" w:eastAsia="Arial" w:hAnsi="Arial"/>
          <w:sz w:val="16"/>
          <w:szCs w:val="16"/>
          <w:color w:val="auto"/>
        </w:rPr>
        <w:t>Emerging growth company</w:t>
      </w:r>
    </w:p>
    <w:p>
      <w:pPr>
        <w:spacing w:after="0" w:line="231" w:lineRule="exact"/>
        <w:rPr>
          <w:sz w:val="20"/>
          <w:szCs w:val="20"/>
          <w:color w:val="auto"/>
        </w:rPr>
      </w:pPr>
    </w:p>
    <w:p>
      <w:pPr>
        <w:ind w:left="20"/>
        <w:spacing w:after="0"/>
        <w:rPr>
          <w:sz w:val="20"/>
          <w:szCs w:val="20"/>
          <w:color w:val="auto"/>
        </w:rPr>
      </w:pPr>
      <w:r>
        <w:rPr>
          <w:rFonts w:ascii="Arial" w:cs="Arial" w:eastAsia="Arial" w:hAnsi="Arial"/>
          <w:sz w:val="17"/>
          <w:szCs w:val="17"/>
          <w:color w:val="auto"/>
        </w:rPr>
        <w:t>If emerging growth company, indicate by check mark if the registrant has elected not to use the extended transition</w:t>
      </w:r>
    </w:p>
    <w:p>
      <w:pPr>
        <w:ind w:left="20" w:right="60"/>
        <w:spacing w:after="0" w:line="227" w:lineRule="auto"/>
        <w:rPr>
          <w:sz w:val="20"/>
          <w:szCs w:val="20"/>
          <w:color w:val="auto"/>
        </w:rPr>
      </w:pPr>
      <w:r>
        <w:rPr>
          <w:rFonts w:ascii="Arial" w:cs="Arial" w:eastAsia="Arial" w:hAnsi="Arial"/>
          <w:sz w:val="17"/>
          <w:szCs w:val="17"/>
          <w:color w:val="auto"/>
        </w:rPr>
        <w:t>period for complying with any new or revised financial accounting standards provided pursuant to Section 13(a)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1144905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387"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ectPr>
          <w:pgSz w:w="11900" w:h="16838" w:orient="portrait"/>
          <w:cols w:equalWidth="0" w:num="2">
            <w:col w:w="9140" w:space="720"/>
            <w:col w:w="279"/>
          </w:cols>
          <w:pgMar w:left="320" w:top="1440" w:right="1440" w:bottom="1440" w:gutter="0" w:footer="0" w:header="0"/>
        </w:sectPr>
      </w:pPr>
    </w:p>
    <w:bookmarkStart w:id="2" w:name="page3"/>
    <w:bookmarkEnd w:id="2"/>
    <w:p>
      <w:pPr>
        <w:spacing w:after="0" w:line="157"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6"/>
          <w:szCs w:val="16"/>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1" w:lineRule="exact"/>
        <w:rPr>
          <w:sz w:val="20"/>
          <w:szCs w:val="20"/>
          <w:color w:val="auto"/>
        </w:rPr>
      </w:pPr>
    </w:p>
    <w:p>
      <w:pPr>
        <w:ind w:right="20" w:firstLine="486"/>
        <w:spacing w:after="0" w:line="286" w:lineRule="auto"/>
        <w:rPr>
          <w:sz w:val="20"/>
          <w:szCs w:val="20"/>
          <w:color w:val="auto"/>
        </w:rPr>
      </w:pPr>
      <w:r>
        <w:rPr>
          <w:rFonts w:ascii="Arial" w:cs="Arial" w:eastAsia="Arial" w:hAnsi="Arial"/>
          <w:sz w:val="16"/>
          <w:szCs w:val="16"/>
          <w:color w:val="auto"/>
        </w:rPr>
        <w:t>On February 18, 2026, Sabre Corporation (“Sabre”) issued a press release and will hold a conference call regarding its financial results for the quarter and year ended December 31, 2025. A copy of the press release is attached as Exhibit 99.1.</w:t>
      </w:r>
    </w:p>
    <w:p>
      <w:pPr>
        <w:spacing w:after="0" w:line="156" w:lineRule="exact"/>
        <w:rPr>
          <w:sz w:val="20"/>
          <w:szCs w:val="20"/>
          <w:color w:val="auto"/>
        </w:rPr>
      </w:pPr>
    </w:p>
    <w:p>
      <w:pPr>
        <w:ind w:right="100" w:firstLine="486"/>
        <w:spacing w:after="0" w:line="275" w:lineRule="auto"/>
        <w:rPr>
          <w:sz w:val="20"/>
          <w:szCs w:val="20"/>
          <w:color w:val="auto"/>
        </w:rPr>
      </w:pPr>
      <w:r>
        <w:rPr>
          <w:rFonts w:ascii="Arial" w:cs="Arial" w:eastAsia="Arial" w:hAnsi="Arial"/>
          <w:sz w:val="16"/>
          <w:szCs w:val="16"/>
          <w:color w:val="auto"/>
        </w:rPr>
        <w:t>The information in this Item 2.02 of Form 8-K and the attached exhibit shall not be deemed “filed” for purposes of Section 18 of the Securities Exchange Act of 1934, as amended (the “Exchange Act”), nor shall it be deemed incorporated by reference in any filing under the Securities Act of 1933, as amended, or the Exchange Act, except as shall be expressly set forth by specific reference in such filing.</w:t>
      </w:r>
    </w:p>
    <w:p>
      <w:pPr>
        <w:spacing w:after="0" w:line="178" w:lineRule="exact"/>
        <w:rPr>
          <w:sz w:val="20"/>
          <w:szCs w:val="20"/>
          <w:color w:val="auto"/>
        </w:rPr>
      </w:pPr>
    </w:p>
    <w:p>
      <w:pPr>
        <w:ind w:right="740" w:firstLine="486"/>
        <w:spacing w:after="0" w:line="286" w:lineRule="auto"/>
        <w:rPr>
          <w:sz w:val="20"/>
          <w:szCs w:val="20"/>
          <w:color w:val="auto"/>
        </w:rPr>
      </w:pPr>
      <w:r>
        <w:rPr>
          <w:rFonts w:ascii="Arial" w:cs="Arial" w:eastAsia="Arial" w:hAnsi="Arial"/>
          <w:sz w:val="16"/>
          <w:szCs w:val="16"/>
          <w:color w:val="auto"/>
        </w:rPr>
        <w:t>Sabre makes reference to non-GAAP financial measures in the press release. A reconciliation of these non-GAAP financial measures to the comparable GAAP financial measures is contained in the attached press release.</w:t>
      </w:r>
    </w:p>
    <w:p>
      <w:pPr>
        <w:spacing w:after="0" w:line="345"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6"/>
          <w:szCs w:val="16"/>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3"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Exhibits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10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10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040" w:type="dxa"/>
            <w:vAlign w:val="bottom"/>
            <w:tcBorders>
              <w:top w:val="single" w:sz="8" w:color="auto"/>
            </w:tcBorders>
          </w:tcPr>
          <w:p>
            <w:pPr>
              <w:jc w:val="right"/>
              <w:ind w:right="584"/>
              <w:spacing w:after="0" w:line="169" w:lineRule="exact"/>
              <w:rPr>
                <w:sz w:val="20"/>
                <w:szCs w:val="20"/>
                <w:color w:val="auto"/>
              </w:rPr>
            </w:pPr>
            <w:r>
              <w:rPr>
                <w:rFonts w:ascii="Arial" w:cs="Arial" w:eastAsia="Arial" w:hAnsi="Arial"/>
                <w:sz w:val="16"/>
                <w:szCs w:val="16"/>
                <w:color w:val="auto"/>
              </w:rPr>
              <w:t>99.1</w:t>
            </w:r>
          </w:p>
        </w:tc>
        <w:tc>
          <w:tcPr>
            <w:tcW w:w="1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4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6"/>
                <w:szCs w:val="16"/>
                <w:color w:val="0000FF"/>
              </w:rPr>
              <w:t>Press Release dated February 18, 2026.</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040" w:type="dxa"/>
            <w:vAlign w:val="bottom"/>
          </w:tcPr>
          <w:p>
            <w:pPr>
              <w:ind w:left="20"/>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40" w:type="dxa"/>
            <w:vAlign w:val="bottom"/>
            <w:gridSpan w:val="2"/>
          </w:tcPr>
          <w:p>
            <w:pPr>
              <w:ind w:left="40"/>
              <w:spacing w:after="0"/>
              <w:rPr>
                <w:sz w:val="20"/>
                <w:szCs w:val="20"/>
                <w:color w:val="auto"/>
              </w:rPr>
            </w:pPr>
            <w:r>
              <w:rPr>
                <w:rFonts w:ascii="Arial" w:cs="Arial" w:eastAsia="Arial" w:hAnsi="Arial"/>
                <w:sz w:val="16"/>
                <w:szCs w:val="16"/>
                <w:color w:val="auto"/>
              </w:rPr>
              <w:t>Cover Page Interactive Data File - formatted as Inline XBRL.</w:t>
            </w:r>
          </w:p>
        </w:tc>
        <w:tc>
          <w:tcPr>
            <w:tcW w:w="0" w:type="dxa"/>
            <w:vAlign w:val="bottom"/>
          </w:tcPr>
          <w:p>
            <w:pPr>
              <w:spacing w:after="0"/>
              <w:rPr>
                <w:sz w:val="1"/>
                <w:szCs w:val="1"/>
                <w:color w:val="auto"/>
              </w:rPr>
            </w:pPr>
          </w:p>
        </w:tc>
      </w:tr>
    </w:tbl>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right="420" w:firstLine="486"/>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800" w:type="dxa"/>
            <w:vAlign w:val="bottom"/>
          </w:tcPr>
          <w:p>
            <w:pPr>
              <w:spacing w:after="0"/>
              <w:rPr>
                <w:sz w:val="18"/>
                <w:szCs w:val="18"/>
                <w:color w:val="auto"/>
              </w:rPr>
            </w:pPr>
          </w:p>
        </w:tc>
        <w:tc>
          <w:tcPr>
            <w:tcW w:w="7420" w:type="dxa"/>
            <w:vAlign w:val="bottom"/>
            <w:gridSpan w:val="2"/>
          </w:tcPr>
          <w:p>
            <w:pPr>
              <w:ind w:left="1760"/>
              <w:spacing w:after="0"/>
              <w:rPr>
                <w:sz w:val="20"/>
                <w:szCs w:val="20"/>
                <w:color w:val="auto"/>
              </w:rPr>
            </w:pPr>
            <w:r>
              <w:rPr>
                <w:rFonts w:ascii="Arial" w:cs="Arial" w:eastAsia="Arial" w:hAnsi="Arial"/>
                <w:sz w:val="16"/>
                <w:szCs w:val="16"/>
                <w:color w:val="auto"/>
              </w:rPr>
              <w:t>Sabre Corporation</w:t>
            </w:r>
          </w:p>
        </w:tc>
      </w:tr>
      <w:tr>
        <w:trPr>
          <w:trHeight w:val="486"/>
        </w:trPr>
        <w:tc>
          <w:tcPr>
            <w:tcW w:w="3800" w:type="dxa"/>
            <w:vAlign w:val="bottom"/>
          </w:tcPr>
          <w:p>
            <w:pPr>
              <w:spacing w:after="0"/>
              <w:rPr>
                <w:sz w:val="20"/>
                <w:szCs w:val="20"/>
                <w:color w:val="auto"/>
              </w:rPr>
            </w:pPr>
            <w:r>
              <w:rPr>
                <w:rFonts w:ascii="Arial" w:cs="Arial" w:eastAsia="Arial" w:hAnsi="Arial"/>
                <w:sz w:val="16"/>
                <w:szCs w:val="16"/>
                <w:color w:val="auto"/>
              </w:rPr>
              <w:t>Dated:   February 18, 2026</w:t>
            </w:r>
          </w:p>
        </w:tc>
        <w:tc>
          <w:tcPr>
            <w:tcW w:w="2580" w:type="dxa"/>
            <w:vAlign w:val="bottom"/>
          </w:tcPr>
          <w:p>
            <w:pPr>
              <w:ind w:left="1760"/>
              <w:spacing w:after="0"/>
              <w:rPr>
                <w:sz w:val="20"/>
                <w:szCs w:val="20"/>
                <w:color w:val="auto"/>
              </w:rPr>
            </w:pPr>
            <w:r>
              <w:rPr>
                <w:rFonts w:ascii="Arial" w:cs="Arial" w:eastAsia="Arial" w:hAnsi="Arial"/>
                <w:sz w:val="16"/>
                <w:szCs w:val="16"/>
                <w:color w:val="auto"/>
              </w:rPr>
              <w:t>By:</w:t>
            </w:r>
          </w:p>
        </w:tc>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Michael Randolfi</w:t>
            </w:r>
          </w:p>
        </w:tc>
      </w:tr>
      <w:tr>
        <w:trPr>
          <w:trHeight w:val="210"/>
        </w:trPr>
        <w:tc>
          <w:tcPr>
            <w:tcW w:w="3800" w:type="dxa"/>
            <w:vAlign w:val="bottom"/>
          </w:tcPr>
          <w:p>
            <w:pPr>
              <w:spacing w:after="0"/>
              <w:rPr>
                <w:sz w:val="18"/>
                <w:szCs w:val="18"/>
                <w:color w:val="auto"/>
              </w:rPr>
            </w:pPr>
          </w:p>
        </w:tc>
        <w:tc>
          <w:tcPr>
            <w:tcW w:w="2580" w:type="dxa"/>
            <w:vAlign w:val="bottom"/>
          </w:tcPr>
          <w:p>
            <w:pPr>
              <w:ind w:left="1760"/>
              <w:spacing w:after="0"/>
              <w:rPr>
                <w:sz w:val="20"/>
                <w:szCs w:val="20"/>
                <w:color w:val="auto"/>
              </w:rPr>
            </w:pPr>
            <w:r>
              <w:rPr>
                <w:rFonts w:ascii="Arial" w:cs="Arial" w:eastAsia="Arial" w:hAnsi="Arial"/>
                <w:sz w:val="16"/>
                <w:szCs w:val="16"/>
                <w:color w:val="auto"/>
              </w:rPr>
              <w:t>Name:</w:t>
            </w:r>
          </w:p>
        </w:tc>
        <w:tc>
          <w:tcPr>
            <w:tcW w:w="4840" w:type="dxa"/>
            <w:vAlign w:val="bottom"/>
          </w:tcPr>
          <w:p>
            <w:pPr>
              <w:ind w:left="20"/>
              <w:spacing w:after="0"/>
              <w:rPr>
                <w:sz w:val="20"/>
                <w:szCs w:val="20"/>
                <w:color w:val="auto"/>
              </w:rPr>
            </w:pPr>
            <w:r>
              <w:rPr>
                <w:rFonts w:ascii="Arial" w:cs="Arial" w:eastAsia="Arial" w:hAnsi="Arial"/>
                <w:sz w:val="16"/>
                <w:szCs w:val="16"/>
                <w:color w:val="auto"/>
              </w:rPr>
              <w:t>Michael Randolfi</w:t>
            </w:r>
          </w:p>
        </w:tc>
      </w:tr>
      <w:tr>
        <w:trPr>
          <w:trHeight w:val="215"/>
        </w:trPr>
        <w:tc>
          <w:tcPr>
            <w:tcW w:w="3800" w:type="dxa"/>
            <w:vAlign w:val="bottom"/>
          </w:tcPr>
          <w:p>
            <w:pPr>
              <w:spacing w:after="0"/>
              <w:rPr>
                <w:sz w:val="18"/>
                <w:szCs w:val="18"/>
                <w:color w:val="auto"/>
              </w:rPr>
            </w:pPr>
          </w:p>
        </w:tc>
        <w:tc>
          <w:tcPr>
            <w:tcW w:w="2580" w:type="dxa"/>
            <w:vAlign w:val="bottom"/>
          </w:tcPr>
          <w:p>
            <w:pPr>
              <w:ind w:left="1760"/>
              <w:spacing w:after="0"/>
              <w:rPr>
                <w:sz w:val="20"/>
                <w:szCs w:val="20"/>
                <w:color w:val="auto"/>
              </w:rPr>
            </w:pPr>
            <w:r>
              <w:rPr>
                <w:rFonts w:ascii="Arial" w:cs="Arial" w:eastAsia="Arial" w:hAnsi="Arial"/>
                <w:sz w:val="16"/>
                <w:szCs w:val="16"/>
                <w:color w:val="auto"/>
              </w:rPr>
              <w:t>Title:</w:t>
            </w:r>
          </w:p>
        </w:tc>
        <w:tc>
          <w:tcPr>
            <w:tcW w:w="4840" w:type="dxa"/>
            <w:vAlign w:val="bottom"/>
          </w:tcPr>
          <w:p>
            <w:pPr>
              <w:ind w:left="20"/>
              <w:spacing w:after="0"/>
              <w:rPr>
                <w:sz w:val="20"/>
                <w:szCs w:val="20"/>
                <w:color w:val="auto"/>
              </w:rPr>
            </w:pPr>
            <w:r>
              <w:rPr>
                <w:rFonts w:ascii="Arial" w:cs="Arial" w:eastAsia="Arial" w:hAnsi="Arial"/>
                <w:sz w:val="16"/>
                <w:szCs w:val="16"/>
                <w:color w:val="auto"/>
              </w:rPr>
              <w:t>Executive Vice President and Chief Financial Officer</w:t>
            </w:r>
          </w:p>
        </w:tc>
      </w:tr>
    </w:tbl>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3174365</wp:posOffset>
            </wp:positionH>
            <wp:positionV relativeFrom="page">
              <wp:posOffset>911860</wp:posOffset>
            </wp:positionV>
            <wp:extent cx="1200150" cy="411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20015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520"/>
        <w:spacing w:after="0"/>
        <w:rPr>
          <w:sz w:val="20"/>
          <w:szCs w:val="20"/>
          <w:color w:val="auto"/>
        </w:rPr>
      </w:pPr>
      <w:r>
        <w:rPr>
          <w:rFonts w:ascii="Arial" w:cs="Arial" w:eastAsia="Arial" w:hAnsi="Arial"/>
          <w:sz w:val="25"/>
          <w:szCs w:val="25"/>
          <w:b w:val="1"/>
          <w:bCs w:val="1"/>
          <w:color w:val="auto"/>
        </w:rPr>
        <w:t>Sabre reports full year 2025 results</w:t>
      </w:r>
    </w:p>
    <w:p>
      <w:pPr>
        <w:spacing w:after="0" w:line="243" w:lineRule="exact"/>
        <w:rPr>
          <w:sz w:val="20"/>
          <w:szCs w:val="20"/>
          <w:color w:val="auto"/>
        </w:rPr>
      </w:pPr>
    </w:p>
    <w:p>
      <w:pPr>
        <w:ind w:left="40"/>
        <w:spacing w:after="0"/>
        <w:rPr>
          <w:sz w:val="20"/>
          <w:szCs w:val="20"/>
          <w:color w:val="auto"/>
        </w:rPr>
      </w:pPr>
      <w:r>
        <w:rPr>
          <w:rFonts w:ascii="Arial" w:cs="Arial" w:eastAsia="Arial" w:hAnsi="Arial"/>
          <w:sz w:val="25"/>
          <w:szCs w:val="25"/>
          <w:i w:val="1"/>
          <w:iCs w:val="1"/>
          <w:color w:val="auto"/>
        </w:rPr>
        <w:t>Company meets fourth quarter guidance for revenue and Pro Forma Adjusted EBITDA; advances AI</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i w:val="1"/>
          <w:iCs w:val="1"/>
          <w:color w:val="auto"/>
        </w:rPr>
        <w:t>strategic initiatives</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Highlights:</w:t>
      </w:r>
    </w:p>
    <w:p>
      <w:pPr>
        <w:spacing w:after="0" w:line="67" w:lineRule="exact"/>
        <w:rPr>
          <w:sz w:val="20"/>
          <w:szCs w:val="20"/>
          <w:color w:val="auto"/>
        </w:rPr>
      </w:pPr>
    </w:p>
    <w:p>
      <w:pPr>
        <w:ind w:left="640" w:hanging="308"/>
        <w:spacing w:after="0"/>
        <w:tabs>
          <w:tab w:leader="none" w:pos="64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Repaid &gt;$1 billion of debt and reduced net leverage</w:t>
      </w:r>
    </w:p>
    <w:p>
      <w:pPr>
        <w:spacing w:after="0" w:line="80" w:lineRule="exact"/>
        <w:rPr>
          <w:rFonts w:ascii="Arial" w:cs="Arial" w:eastAsia="Arial" w:hAnsi="Arial"/>
          <w:sz w:val="20"/>
          <w:szCs w:val="20"/>
          <w:b w:val="1"/>
          <w:bCs w:val="1"/>
          <w:color w:val="auto"/>
        </w:rPr>
      </w:pPr>
    </w:p>
    <w:p>
      <w:pPr>
        <w:ind w:left="640" w:hanging="308"/>
        <w:spacing w:after="0"/>
        <w:tabs>
          <w:tab w:leader="none" w:pos="64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Improved debt maturity profile with over 90% of debt maturing in 2029 or later</w:t>
      </w:r>
    </w:p>
    <w:p>
      <w:pPr>
        <w:spacing w:after="0" w:line="80" w:lineRule="exact"/>
        <w:rPr>
          <w:rFonts w:ascii="Arial" w:cs="Arial" w:eastAsia="Arial" w:hAnsi="Arial"/>
          <w:sz w:val="20"/>
          <w:szCs w:val="20"/>
          <w:b w:val="1"/>
          <w:bCs w:val="1"/>
          <w:color w:val="auto"/>
        </w:rPr>
      </w:pPr>
    </w:p>
    <w:p>
      <w:pPr>
        <w:ind w:left="660" w:hanging="328"/>
        <w:spacing w:after="0" w:line="316" w:lineRule="auto"/>
        <w:tabs>
          <w:tab w:leader="none" w:pos="648"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Ended year with strong cash balance of $910 million, $98 million of which is restricted for debt repayments in Q1'26</w:t>
      </w:r>
    </w:p>
    <w:p>
      <w:pPr>
        <w:spacing w:after="0" w:line="1" w:lineRule="exact"/>
        <w:rPr>
          <w:rFonts w:ascii="Arial" w:cs="Arial" w:eastAsia="Arial" w:hAnsi="Arial"/>
          <w:sz w:val="20"/>
          <w:szCs w:val="20"/>
          <w:b w:val="1"/>
          <w:bCs w:val="1"/>
          <w:color w:val="auto"/>
        </w:rPr>
      </w:pPr>
    </w:p>
    <w:p>
      <w:pPr>
        <w:ind w:left="660" w:right="20" w:hanging="328"/>
        <w:spacing w:after="0" w:line="324" w:lineRule="auto"/>
        <w:tabs>
          <w:tab w:leader="none" w:pos="648"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Commercial momentum with positive air distribution bookings growth for 2025, and growth of 4% in Q4'25 with 7% in December</w:t>
      </w:r>
    </w:p>
    <w:p>
      <w:pPr>
        <w:ind w:left="640" w:hanging="308"/>
        <w:spacing w:after="0"/>
        <w:tabs>
          <w:tab w:leader="none" w:pos="64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Generated a two percentage point year-on-year improvement in operating margin</w:t>
      </w:r>
    </w:p>
    <w:p>
      <w:pPr>
        <w:spacing w:after="0" w:line="67" w:lineRule="exact"/>
        <w:rPr>
          <w:rFonts w:ascii="Arial" w:cs="Arial" w:eastAsia="Arial" w:hAnsi="Arial"/>
          <w:sz w:val="20"/>
          <w:szCs w:val="20"/>
          <w:b w:val="1"/>
          <w:bCs w:val="1"/>
          <w:color w:val="auto"/>
        </w:rPr>
      </w:pPr>
    </w:p>
    <w:p>
      <w:pPr>
        <w:ind w:left="660" w:hanging="328"/>
        <w:spacing w:after="0" w:line="324" w:lineRule="auto"/>
        <w:tabs>
          <w:tab w:leader="none" w:pos="648"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Announced agentic APIs and a proprietary MCP (model context protocol) server designed to power how travel is expected to be searched, booked, and serviced in the future</w:t>
      </w:r>
    </w:p>
    <w:p>
      <w:pPr>
        <w:ind w:left="640" w:hanging="308"/>
        <w:spacing w:after="0"/>
        <w:tabs>
          <w:tab w:leader="none" w:pos="64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Expanded Sabre's AI platform through strategic partnerships, with:</w:t>
      </w:r>
    </w:p>
    <w:p>
      <w:pPr>
        <w:spacing w:after="0" w:line="67" w:lineRule="exact"/>
        <w:rPr>
          <w:rFonts w:ascii="Arial" w:cs="Arial" w:eastAsia="Arial" w:hAnsi="Arial"/>
          <w:sz w:val="20"/>
          <w:szCs w:val="20"/>
          <w:b w:val="1"/>
          <w:bCs w:val="1"/>
          <w:color w:val="auto"/>
        </w:rPr>
      </w:pPr>
    </w:p>
    <w:p>
      <w:pPr>
        <w:ind w:left="1300" w:hanging="320"/>
        <w:spacing w:after="0"/>
        <w:tabs>
          <w:tab w:leader="none" w:pos="1300" w:val="left"/>
        </w:tabs>
        <w:numPr>
          <w:ilvl w:val="1"/>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PayPal and Mindtrip to deliver the industry's first end-to-end agentic AI experience for travel</w:t>
      </w:r>
    </w:p>
    <w:p>
      <w:pPr>
        <w:spacing w:after="0" w:line="43" w:lineRule="exact"/>
        <w:rPr>
          <w:rFonts w:ascii="Arial" w:cs="Arial" w:eastAsia="Arial" w:hAnsi="Arial"/>
          <w:sz w:val="20"/>
          <w:szCs w:val="20"/>
          <w:b w:val="1"/>
          <w:bCs w:val="1"/>
          <w:color w:val="auto"/>
        </w:rPr>
      </w:pPr>
    </w:p>
    <w:p>
      <w:pPr>
        <w:ind w:left="1300" w:hanging="320"/>
        <w:spacing w:after="0" w:line="230" w:lineRule="exact"/>
        <w:tabs>
          <w:tab w:leader="none" w:pos="1300" w:val="left"/>
        </w:tabs>
        <w:numPr>
          <w:ilvl w:val="1"/>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BizTrip to develop new AI</w:t>
      </w:r>
      <w:r>
        <w:rPr>
          <w:rFonts w:ascii="MS PGothic" w:cs="MS PGothic" w:eastAsia="MS PGothic" w:hAnsi="MS PGothic"/>
          <w:sz w:val="20"/>
          <w:szCs w:val="20"/>
          <w:color w:val="auto"/>
          <w:strike w:val="1"/>
        </w:rPr>
        <w:t>‑</w:t>
      </w:r>
      <w:r>
        <w:rPr>
          <w:rFonts w:ascii="Arial" w:cs="Arial" w:eastAsia="Arial" w:hAnsi="Arial"/>
          <w:sz w:val="20"/>
          <w:szCs w:val="20"/>
          <w:b w:val="1"/>
          <w:bCs w:val="1"/>
          <w:color w:val="auto"/>
        </w:rPr>
        <w:t>powered corporate travel assistants</w:t>
      </w:r>
    </w:p>
    <w:p>
      <w:pPr>
        <w:spacing w:after="0" w:line="117" w:lineRule="exact"/>
        <w:rPr>
          <w:rFonts w:ascii="Arial" w:cs="Arial" w:eastAsia="Arial" w:hAnsi="Arial"/>
          <w:sz w:val="20"/>
          <w:szCs w:val="20"/>
          <w:b w:val="1"/>
          <w:bCs w:val="1"/>
          <w:color w:val="auto"/>
        </w:rPr>
      </w:pPr>
    </w:p>
    <w:p>
      <w:pPr>
        <w:ind w:left="1300" w:hanging="320"/>
        <w:spacing w:after="0"/>
        <w:tabs>
          <w:tab w:leader="none" w:pos="1300" w:val="left"/>
        </w:tabs>
        <w:numPr>
          <w:ilvl w:val="1"/>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Virgin Australia utilizing Sabre's all-in-one generative AI chat solution</w:t>
      </w:r>
    </w:p>
    <w:p>
      <w:pPr>
        <w:spacing w:after="0" w:line="80" w:lineRule="exact"/>
        <w:rPr>
          <w:rFonts w:ascii="Arial" w:cs="Arial" w:eastAsia="Arial" w:hAnsi="Arial"/>
          <w:sz w:val="20"/>
          <w:szCs w:val="20"/>
          <w:b w:val="1"/>
          <w:bCs w:val="1"/>
          <w:color w:val="auto"/>
        </w:rPr>
      </w:pPr>
    </w:p>
    <w:p>
      <w:pPr>
        <w:ind w:left="640" w:hanging="308"/>
        <w:spacing w:after="0"/>
        <w:tabs>
          <w:tab w:leader="none" w:pos="64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Leading competitive set with 42 NDC connections, an increase of 15 during 2025</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2025 Financial Results:</w:t>
      </w:r>
    </w:p>
    <w:p>
      <w:pPr>
        <w:spacing w:after="0" w:line="81" w:lineRule="exact"/>
        <w:rPr>
          <w:sz w:val="20"/>
          <w:szCs w:val="20"/>
          <w:color w:val="auto"/>
        </w:rPr>
      </w:pPr>
    </w:p>
    <w:p>
      <w:pPr>
        <w:ind w:left="640" w:hanging="308"/>
        <w:spacing w:after="0"/>
        <w:tabs>
          <w:tab w:leader="none" w:pos="64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Revenue totaled $667 million in Q4 and $2,771 million for the full year</w:t>
      </w:r>
    </w:p>
    <w:p>
      <w:pPr>
        <w:spacing w:after="0" w:line="80" w:lineRule="exact"/>
        <w:rPr>
          <w:rFonts w:ascii="Arial" w:cs="Arial" w:eastAsia="Arial" w:hAnsi="Arial"/>
          <w:sz w:val="20"/>
          <w:szCs w:val="20"/>
          <w:b w:val="1"/>
          <w:bCs w:val="1"/>
          <w:color w:val="auto"/>
        </w:rPr>
      </w:pPr>
    </w:p>
    <w:p>
      <w:pPr>
        <w:ind w:left="640" w:hanging="308"/>
        <w:spacing w:after="0"/>
        <w:tabs>
          <w:tab w:leader="none" w:pos="64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Operating income totaled $21 million in Q4 and $295 million for the full year</w:t>
      </w:r>
    </w:p>
    <w:p>
      <w:pPr>
        <w:spacing w:after="0" w:line="67" w:lineRule="exact"/>
        <w:rPr>
          <w:rFonts w:ascii="Arial" w:cs="Arial" w:eastAsia="Arial" w:hAnsi="Arial"/>
          <w:sz w:val="20"/>
          <w:szCs w:val="20"/>
          <w:b w:val="1"/>
          <w:bCs w:val="1"/>
          <w:color w:val="auto"/>
        </w:rPr>
      </w:pPr>
    </w:p>
    <w:p>
      <w:pPr>
        <w:ind w:left="660" w:hanging="328"/>
        <w:spacing w:after="0" w:line="324" w:lineRule="auto"/>
        <w:tabs>
          <w:tab w:leader="none" w:pos="648"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Net loss attributable to common stockholders totaled $103 million in Q4 and net income attributable to common stockholders totaled $525 million for the full year</w:t>
      </w:r>
    </w:p>
    <w:p>
      <w:pPr>
        <w:ind w:left="640" w:hanging="308"/>
        <w:spacing w:after="0"/>
        <w:tabs>
          <w:tab w:leader="none" w:pos="64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Adjusted EBITDA</w:t>
      </w:r>
      <w:r>
        <w:rPr>
          <w:rFonts w:ascii="Arial" w:cs="Arial" w:eastAsia="Arial" w:hAnsi="Arial"/>
          <w:sz w:val="25"/>
          <w:szCs w:val="25"/>
          <w:b w:val="1"/>
          <w:bCs w:val="1"/>
          <w:color w:val="auto"/>
          <w:vertAlign w:val="superscript"/>
        </w:rPr>
        <w:t>(1)</w:t>
      </w:r>
      <w:r>
        <w:rPr>
          <w:rFonts w:ascii="Arial" w:cs="Arial" w:eastAsia="Arial" w:hAnsi="Arial"/>
          <w:sz w:val="20"/>
          <w:szCs w:val="20"/>
          <w:b w:val="1"/>
          <w:bCs w:val="1"/>
          <w:color w:val="auto"/>
        </w:rPr>
        <w:t xml:space="preserve"> of $110 million in Q4 and $500 million for the full year</w:t>
      </w:r>
    </w:p>
    <w:p>
      <w:pPr>
        <w:spacing w:after="0" w:line="43" w:lineRule="exact"/>
        <w:rPr>
          <w:rFonts w:ascii="Arial" w:cs="Arial" w:eastAsia="Arial" w:hAnsi="Arial"/>
          <w:sz w:val="20"/>
          <w:szCs w:val="20"/>
          <w:b w:val="1"/>
          <w:bCs w:val="1"/>
          <w:color w:val="auto"/>
        </w:rPr>
      </w:pPr>
    </w:p>
    <w:p>
      <w:pPr>
        <w:ind w:left="640" w:hanging="308"/>
        <w:spacing w:after="0"/>
        <w:tabs>
          <w:tab w:leader="none" w:pos="64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Normalized Adjusted EBITDA</w:t>
      </w:r>
      <w:r>
        <w:rPr>
          <w:rFonts w:ascii="Arial" w:cs="Arial" w:eastAsia="Arial" w:hAnsi="Arial"/>
          <w:sz w:val="25"/>
          <w:szCs w:val="25"/>
          <w:b w:val="1"/>
          <w:bCs w:val="1"/>
          <w:color w:val="auto"/>
          <w:vertAlign w:val="superscript"/>
        </w:rPr>
        <w:t>(1)</w:t>
      </w:r>
      <w:r>
        <w:rPr>
          <w:rFonts w:ascii="Arial" w:cs="Arial" w:eastAsia="Arial" w:hAnsi="Arial"/>
          <w:sz w:val="20"/>
          <w:szCs w:val="20"/>
          <w:b w:val="1"/>
          <w:bCs w:val="1"/>
          <w:color w:val="auto"/>
        </w:rPr>
        <w:t xml:space="preserve"> of $119 million in Q4 and $536 million for the full year</w:t>
      </w:r>
    </w:p>
    <w:p>
      <w:pPr>
        <w:spacing w:after="0" w:line="235" w:lineRule="exact"/>
        <w:rPr>
          <w:sz w:val="20"/>
          <w:szCs w:val="20"/>
          <w:color w:val="auto"/>
        </w:rPr>
      </w:pPr>
    </w:p>
    <w:p>
      <w:pPr>
        <w:spacing w:after="0" w:line="356" w:lineRule="auto"/>
        <w:rPr>
          <w:sz w:val="20"/>
          <w:szCs w:val="20"/>
          <w:color w:val="auto"/>
        </w:rPr>
      </w:pPr>
      <w:r>
        <w:rPr>
          <w:rFonts w:ascii="Arial" w:cs="Arial" w:eastAsia="Arial" w:hAnsi="Arial"/>
          <w:sz w:val="20"/>
          <w:szCs w:val="20"/>
          <w:color w:val="auto"/>
        </w:rPr>
        <w:t>SOUTHLAKE, Texas – February 18, 2026 – Sabre Corporation ("Sabre" or the "Company") (NASDAQ: SABR) today announced financial results for the quarter and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0" w:right="339" w:bottom="1440" w:gutter="0" w:footer="0" w:header="0"/>
        </w:sectPr>
      </w:pPr>
    </w:p>
    <w:bookmarkStart w:id="4" w:name="page5"/>
    <w:bookmarkEnd w:id="4"/>
    <w:p>
      <w:pPr>
        <w:spacing w:after="0" w:line="258" w:lineRule="exact"/>
        <w:rPr>
          <w:sz w:val="20"/>
          <w:szCs w:val="20"/>
          <w:color w:val="auto"/>
        </w:rPr>
      </w:pPr>
    </w:p>
    <w:p>
      <w:pPr>
        <w:jc w:val="both"/>
        <w:spacing w:after="0" w:line="330" w:lineRule="auto"/>
        <w:rPr>
          <w:sz w:val="20"/>
          <w:szCs w:val="20"/>
          <w:color w:val="auto"/>
        </w:rPr>
      </w:pPr>
      <w:r>
        <w:rPr>
          <w:rFonts w:ascii="Arial" w:cs="Arial" w:eastAsia="Arial" w:hAnsi="Arial"/>
          <w:sz w:val="20"/>
          <w:szCs w:val="20"/>
          <w:color w:val="auto"/>
        </w:rPr>
        <w:t>"Sabre ended the year with strong momentum and we believe is well-positioned for accelerating performance ahead. Despite a challenging 2025, we strengthened our balance sheet, and generated full-year positive Pro Forma Free Cash Flow. We also made progress advancing Sabre's leadership position in developing AI solutions for the travel industry," said Kurt Ekert, President and CEO.</w:t>
      </w:r>
    </w:p>
    <w:p>
      <w:pPr>
        <w:spacing w:after="0" w:line="207" w:lineRule="exact"/>
        <w:rPr>
          <w:sz w:val="20"/>
          <w:szCs w:val="20"/>
          <w:color w:val="auto"/>
        </w:rPr>
      </w:pPr>
    </w:p>
    <w:p>
      <w:pPr>
        <w:jc w:val="both"/>
        <w:spacing w:after="0" w:line="330" w:lineRule="auto"/>
        <w:rPr>
          <w:sz w:val="20"/>
          <w:szCs w:val="20"/>
          <w:color w:val="auto"/>
        </w:rPr>
      </w:pPr>
      <w:r>
        <w:rPr>
          <w:rFonts w:ascii="Arial" w:cs="Arial" w:eastAsia="Arial" w:hAnsi="Arial"/>
          <w:sz w:val="20"/>
          <w:szCs w:val="20"/>
          <w:color w:val="auto"/>
        </w:rPr>
        <w:t>Ekert continued, "With an improving travel industry backdrop in early 2026, and continued growth from our SabreMosaic Marketplace, we expect a meaningful acceleration in year-on-year volume and revenue growth. Our commitment to innovation positions us well to drive consistent long-term growth and value creation, and we believe our leadership position in agentic AI, could drive additional revenue growth in the future."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Q4 2025 Financial Summary</w:t>
      </w: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color w:val="auto"/>
        </w:rPr>
        <w:t>Fourth quarter revenue totaled $667 million, compared to $645 million in the fourth quarter of 2024.</w:t>
      </w:r>
    </w:p>
    <w:p>
      <w:pPr>
        <w:spacing w:after="0" w:line="81" w:lineRule="exact"/>
        <w:rPr>
          <w:sz w:val="20"/>
          <w:szCs w:val="20"/>
          <w:color w:val="auto"/>
        </w:rPr>
      </w:pPr>
    </w:p>
    <w:p>
      <w:pPr>
        <w:jc w:val="both"/>
        <w:ind w:left="660" w:hanging="328"/>
        <w:spacing w:after="0" w:line="319"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Distribution revenue increased by $27 million, or 5%, to $527 million, driven by a $20 million increase in transaction-based revenue primarily due to an increase in distribution bookings and favorable travel supplier mix and rate impacts as well as a $7 million increase in other revenue.</w:t>
      </w:r>
    </w:p>
    <w:p>
      <w:pPr>
        <w:ind w:left="1300" w:hanging="320"/>
        <w:spacing w:after="0"/>
        <w:tabs>
          <w:tab w:leader="none" w:pos="1300" w:val="left"/>
        </w:tabs>
        <w:numPr>
          <w:ilvl w:val="1"/>
          <w:numId w:val="5"/>
        </w:numPr>
        <w:rPr>
          <w:rFonts w:ascii="Arial" w:cs="Arial" w:eastAsia="Arial" w:hAnsi="Arial"/>
          <w:sz w:val="20"/>
          <w:szCs w:val="20"/>
          <w:color w:val="auto"/>
        </w:rPr>
      </w:pPr>
      <w:r>
        <w:rPr>
          <w:rFonts w:ascii="Arial" w:cs="Arial" w:eastAsia="Arial" w:hAnsi="Arial"/>
          <w:sz w:val="20"/>
          <w:szCs w:val="20"/>
          <w:color w:val="auto"/>
        </w:rPr>
        <w:t>Total bookings, net of cancellations, totaled 83 million, an increase of 3% from fourth quarter 2024 levels.</w:t>
      </w:r>
    </w:p>
    <w:p>
      <w:pPr>
        <w:spacing w:after="0" w:line="80" w:lineRule="exact"/>
        <w:rPr>
          <w:rFonts w:ascii="Arial" w:cs="Arial" w:eastAsia="Arial" w:hAnsi="Arial"/>
          <w:sz w:val="20"/>
          <w:szCs w:val="20"/>
          <w:color w:val="auto"/>
        </w:rPr>
      </w:pPr>
    </w:p>
    <w:p>
      <w:pPr>
        <w:ind w:left="1300" w:hanging="320"/>
        <w:spacing w:after="0"/>
        <w:tabs>
          <w:tab w:leader="none" w:pos="1300" w:val="left"/>
        </w:tabs>
        <w:numPr>
          <w:ilvl w:val="1"/>
          <w:numId w:val="5"/>
        </w:numPr>
        <w:rPr>
          <w:rFonts w:ascii="Arial" w:cs="Arial" w:eastAsia="Arial" w:hAnsi="Arial"/>
          <w:sz w:val="20"/>
          <w:szCs w:val="20"/>
          <w:b w:val="1"/>
          <w:bCs w:val="1"/>
          <w:color w:val="auto"/>
        </w:rPr>
      </w:pPr>
      <w:r>
        <w:rPr>
          <w:rFonts w:ascii="Arial" w:cs="Arial" w:eastAsia="Arial" w:hAnsi="Arial"/>
          <w:sz w:val="20"/>
          <w:szCs w:val="20"/>
          <w:color w:val="auto"/>
        </w:rPr>
        <w:t>Average booking fee totaled $6.31, a 2% improvement versus $6.17 in the fourth quarter of 2024.</w:t>
      </w:r>
    </w:p>
    <w:p>
      <w:pPr>
        <w:spacing w:after="0" w:line="80" w:lineRule="exact"/>
        <w:rPr>
          <w:rFonts w:ascii="Arial" w:cs="Arial" w:eastAsia="Arial" w:hAnsi="Arial"/>
          <w:sz w:val="20"/>
          <w:szCs w:val="20"/>
          <w:b w:val="1"/>
          <w:bCs w:val="1"/>
          <w:color w:val="auto"/>
        </w:rPr>
      </w:pPr>
    </w:p>
    <w:p>
      <w:pPr>
        <w:ind w:left="660" w:hanging="328"/>
        <w:spacing w:after="0" w:line="356"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IT Solutions revenue declined by $5 million, or 4%, to $140 million primarily due to revenue recorded in the prior year that did not reoccur.</w:t>
      </w:r>
    </w:p>
    <w:p>
      <w:pPr>
        <w:spacing w:after="0" w:line="168" w:lineRule="exact"/>
        <w:rPr>
          <w:sz w:val="20"/>
          <w:szCs w:val="20"/>
          <w:color w:val="auto"/>
        </w:rPr>
      </w:pPr>
    </w:p>
    <w:p>
      <w:pPr>
        <w:jc w:val="both"/>
        <w:spacing w:after="0" w:line="330" w:lineRule="auto"/>
        <w:rPr>
          <w:sz w:val="20"/>
          <w:szCs w:val="20"/>
          <w:color w:val="auto"/>
        </w:rPr>
      </w:pPr>
      <w:r>
        <w:rPr>
          <w:rFonts w:ascii="Arial" w:cs="Arial" w:eastAsia="Arial" w:hAnsi="Arial"/>
          <w:sz w:val="20"/>
          <w:szCs w:val="20"/>
          <w:color w:val="auto"/>
        </w:rPr>
        <w:t>Operating income totaled $21 million versus $46 million in the fourth quarter of 2024. The decrease in operating income was driven by a restructuring charge associated with the inflation offset program accrued in the current period that will be implemented in 2026 and increased incentive expenses. These items were partially offset by lower labor and professional services, and the items impacting revenue described above.</w:t>
      </w:r>
    </w:p>
    <w:p>
      <w:pPr>
        <w:spacing w:after="0" w:line="207" w:lineRule="exact"/>
        <w:rPr>
          <w:sz w:val="20"/>
          <w:szCs w:val="20"/>
          <w:color w:val="auto"/>
        </w:rPr>
      </w:pPr>
    </w:p>
    <w:p>
      <w:pPr>
        <w:jc w:val="both"/>
        <w:spacing w:after="0" w:line="340" w:lineRule="auto"/>
        <w:rPr>
          <w:sz w:val="20"/>
          <w:szCs w:val="20"/>
          <w:color w:val="auto"/>
        </w:rPr>
      </w:pPr>
      <w:r>
        <w:rPr>
          <w:rFonts w:ascii="Arial" w:cs="Arial" w:eastAsia="Arial" w:hAnsi="Arial"/>
          <w:sz w:val="20"/>
          <w:szCs w:val="20"/>
          <w:color w:val="auto"/>
        </w:rPr>
        <w:t>Net loss attributable to common stockholders totaled $103 million, versus a loss of $75 million in the fourth quarter of 2024. The increase in net loss attributable to common stockholders was primarily driven by the items impacting operating income described above, a reduction in income tax benefit of $8 million, a loss on the extinguishment of debt of $5 million as a result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spacing w:after="0" w:line="15" w:lineRule="exact"/>
        <w:rPr>
          <w:sz w:val="20"/>
          <w:szCs w:val="20"/>
          <w:color w:val="auto"/>
        </w:rPr>
      </w:pPr>
    </w:p>
    <w:p>
      <w:pPr>
        <w:jc w:val="both"/>
        <w:spacing w:after="0" w:line="356" w:lineRule="auto"/>
        <w:rPr>
          <w:sz w:val="20"/>
          <w:szCs w:val="20"/>
          <w:color w:val="auto"/>
        </w:rPr>
      </w:pPr>
      <w:r>
        <w:rPr>
          <w:rFonts w:ascii="Arial" w:cs="Arial" w:eastAsia="Arial" w:hAnsi="Arial"/>
          <w:sz w:val="20"/>
          <w:szCs w:val="20"/>
          <w:color w:val="auto"/>
        </w:rPr>
        <w:t>the refinancing activity that occurred in the quarter, and an increase in interest expense. These items were partially offset by an $8 million decrease in debt modification costs.</w:t>
      </w:r>
    </w:p>
    <w:p>
      <w:pPr>
        <w:spacing w:after="0" w:line="168"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Normalized Adjusted EBITDA</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was $119 million, an improvement versus Normalized Adjusted EBITDA</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of $108 million in the fourth quarter of 2024. The improvement in Normalized Adjusted EBITDA</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was driven by the items impacting revenue described above and a decrease in labor and professional services, partially offset by increased incentive expenses.</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With regards to Sabre's fourth quarter 2025 cash flows (versus prior year):</w:t>
      </w:r>
    </w:p>
    <w:p>
      <w:pPr>
        <w:spacing w:after="0" w:line="67" w:lineRule="exact"/>
        <w:rPr>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Cash provided by operating activities totaled $139 million (vs. $76 million)</w:t>
      </w:r>
    </w:p>
    <w:p>
      <w:pPr>
        <w:spacing w:after="0" w:line="80" w:lineRule="exact"/>
        <w:rPr>
          <w:rFonts w:ascii="Arial" w:cs="Arial" w:eastAsia="Arial" w:hAnsi="Arial"/>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Cash used in investing activities totaled $23 million (vs. $15 million)</w:t>
      </w:r>
    </w:p>
    <w:p>
      <w:pPr>
        <w:spacing w:after="0" w:line="80" w:lineRule="exact"/>
        <w:rPr>
          <w:rFonts w:ascii="Arial" w:cs="Arial" w:eastAsia="Arial" w:hAnsi="Arial"/>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Cash provided by financing activities totaled $119 million (vs. used in $6 million)</w:t>
      </w:r>
    </w:p>
    <w:p>
      <w:pPr>
        <w:spacing w:after="0" w:line="67" w:lineRule="exact"/>
        <w:rPr>
          <w:rFonts w:ascii="Arial" w:cs="Arial" w:eastAsia="Arial" w:hAnsi="Arial"/>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Capitalized expenditures totaled $23 million (vs. $15 million)</w:t>
      </w:r>
    </w:p>
    <w:p>
      <w:pPr>
        <w:spacing w:after="0" w:line="324"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Free Cash Flow</w:t>
      </w:r>
      <w:r>
        <w:rPr>
          <w:rFonts w:ascii="Arial" w:cs="Arial" w:eastAsia="Arial" w:hAnsi="Arial"/>
          <w:sz w:val="24"/>
          <w:szCs w:val="24"/>
          <w:color w:val="auto"/>
          <w:vertAlign w:val="superscript"/>
        </w:rPr>
        <w:t>1</w:t>
      </w:r>
      <w:r>
        <w:rPr>
          <w:rFonts w:ascii="Arial" w:cs="Arial" w:eastAsia="Arial" w:hAnsi="Arial"/>
          <w:sz w:val="19"/>
          <w:szCs w:val="19"/>
          <w:color w:val="auto"/>
        </w:rPr>
        <w:t xml:space="preserve"> for the quarter was $116 million, versus Free Cash Flow</w:t>
      </w:r>
      <w:r>
        <w:rPr>
          <w:rFonts w:ascii="Arial" w:cs="Arial" w:eastAsia="Arial" w:hAnsi="Arial"/>
          <w:sz w:val="24"/>
          <w:szCs w:val="24"/>
          <w:color w:val="auto"/>
          <w:vertAlign w:val="superscript"/>
        </w:rPr>
        <w:t>1</w:t>
      </w:r>
      <w:r>
        <w:rPr>
          <w:rFonts w:ascii="Arial" w:cs="Arial" w:eastAsia="Arial" w:hAnsi="Arial"/>
          <w:sz w:val="19"/>
          <w:szCs w:val="19"/>
          <w:color w:val="auto"/>
        </w:rPr>
        <w:t xml:space="preserve"> of $61 million in the fourth quarter of 2024. Pro Forma Free Cash Flow</w:t>
      </w:r>
      <w:r>
        <w:rPr>
          <w:rFonts w:ascii="Arial" w:cs="Arial" w:eastAsia="Arial" w:hAnsi="Arial"/>
          <w:sz w:val="24"/>
          <w:szCs w:val="24"/>
          <w:color w:val="auto"/>
          <w:vertAlign w:val="superscript"/>
        </w:rPr>
        <w:t>1</w:t>
      </w:r>
      <w:r>
        <w:rPr>
          <w:rFonts w:ascii="Arial" w:cs="Arial" w:eastAsia="Arial" w:hAnsi="Arial"/>
          <w:sz w:val="19"/>
          <w:szCs w:val="19"/>
          <w:color w:val="auto"/>
        </w:rPr>
        <w:t xml:space="preserve"> was $116 million in the quarter. Fourth quarter 2025 Free Cash Flow</w:t>
      </w:r>
      <w:r>
        <w:rPr>
          <w:rFonts w:ascii="Arial" w:cs="Arial" w:eastAsia="Arial" w:hAnsi="Arial"/>
          <w:sz w:val="24"/>
          <w:szCs w:val="24"/>
          <w:color w:val="auto"/>
          <w:vertAlign w:val="superscript"/>
        </w:rPr>
        <w:t>1</w:t>
      </w:r>
      <w:r>
        <w:rPr>
          <w:rFonts w:ascii="Arial" w:cs="Arial" w:eastAsia="Arial" w:hAnsi="Arial"/>
          <w:sz w:val="19"/>
          <w:szCs w:val="19"/>
          <w:color w:val="auto"/>
        </w:rPr>
        <w:t xml:space="preserve"> includes $19 million of refinancing disbursements and interest paid earlier than previously expected due to refinancing activity that occurred during the quarter.</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Full Year 2025 Financial Summary</w:t>
      </w: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color w:val="auto"/>
        </w:rPr>
        <w:t>Full year revenue totaled $2.8 billion, compared to $2.7 billion in 2024.</w:t>
      </w:r>
    </w:p>
    <w:p>
      <w:pPr>
        <w:spacing w:after="0" w:line="81" w:lineRule="exact"/>
        <w:rPr>
          <w:sz w:val="20"/>
          <w:szCs w:val="20"/>
          <w:color w:val="auto"/>
        </w:rPr>
      </w:pPr>
    </w:p>
    <w:p>
      <w:pPr>
        <w:ind w:left="660" w:right="20" w:hanging="328"/>
        <w:spacing w:after="0" w:line="316"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Distribution revenue increased by $43 million, or 2%, to $2.2 billion driven by a $29 million increase in other revenue, and a $14 million increase in transaction-based revenue due to favorable rate impacts and an increase in volumes.</w:t>
      </w:r>
    </w:p>
    <w:p>
      <w:pPr>
        <w:spacing w:after="0" w:line="1" w:lineRule="exact"/>
        <w:rPr>
          <w:rFonts w:ascii="Arial" w:cs="Arial" w:eastAsia="Arial" w:hAnsi="Arial"/>
          <w:sz w:val="20"/>
          <w:szCs w:val="20"/>
          <w:color w:val="auto"/>
        </w:rPr>
      </w:pPr>
    </w:p>
    <w:p>
      <w:pPr>
        <w:ind w:left="1300" w:hanging="320"/>
        <w:spacing w:after="0"/>
        <w:tabs>
          <w:tab w:leader="none" w:pos="1300" w:val="left"/>
        </w:tabs>
        <w:numPr>
          <w:ilvl w:val="1"/>
          <w:numId w:val="7"/>
        </w:numPr>
        <w:rPr>
          <w:rFonts w:ascii="Arial" w:cs="Arial" w:eastAsia="Arial" w:hAnsi="Arial"/>
          <w:sz w:val="20"/>
          <w:szCs w:val="20"/>
          <w:color w:val="auto"/>
        </w:rPr>
      </w:pPr>
      <w:r>
        <w:rPr>
          <w:rFonts w:ascii="Arial" w:cs="Arial" w:eastAsia="Arial" w:hAnsi="Arial"/>
          <w:sz w:val="20"/>
          <w:szCs w:val="20"/>
          <w:color w:val="auto"/>
        </w:rPr>
        <w:t>Total bookings, net of cancellations, totaled 365 million, an increase of 1% from 2024 levels.</w:t>
      </w:r>
    </w:p>
    <w:p>
      <w:pPr>
        <w:spacing w:after="0" w:line="80" w:lineRule="exact"/>
        <w:rPr>
          <w:rFonts w:ascii="Arial" w:cs="Arial" w:eastAsia="Arial" w:hAnsi="Arial"/>
          <w:sz w:val="20"/>
          <w:szCs w:val="20"/>
          <w:color w:val="auto"/>
        </w:rPr>
      </w:pPr>
    </w:p>
    <w:p>
      <w:pPr>
        <w:ind w:left="1300" w:hanging="320"/>
        <w:spacing w:after="0"/>
        <w:tabs>
          <w:tab w:leader="none" w:pos="1300" w:val="left"/>
        </w:tabs>
        <w:numPr>
          <w:ilvl w:val="1"/>
          <w:numId w:val="7"/>
        </w:numPr>
        <w:rPr>
          <w:rFonts w:ascii="Arial" w:cs="Arial" w:eastAsia="Arial" w:hAnsi="Arial"/>
          <w:sz w:val="20"/>
          <w:szCs w:val="20"/>
          <w:color w:val="auto"/>
        </w:rPr>
      </w:pPr>
      <w:r>
        <w:rPr>
          <w:rFonts w:ascii="Arial" w:cs="Arial" w:eastAsia="Arial" w:hAnsi="Arial"/>
          <w:sz w:val="20"/>
          <w:szCs w:val="20"/>
          <w:color w:val="auto"/>
        </w:rPr>
        <w:t>Average booking fee totaled $6.07, a 1% improvement versus $5.98 in 2024.</w:t>
      </w:r>
    </w:p>
    <w:p>
      <w:pPr>
        <w:spacing w:after="0" w:line="80" w:lineRule="exact"/>
        <w:rPr>
          <w:rFonts w:ascii="Arial" w:cs="Arial" w:eastAsia="Arial" w:hAnsi="Arial"/>
          <w:sz w:val="20"/>
          <w:szCs w:val="20"/>
          <w:color w:val="auto"/>
        </w:rPr>
      </w:pPr>
    </w:p>
    <w:p>
      <w:pPr>
        <w:jc w:val="both"/>
        <w:ind w:left="660" w:hanging="328"/>
        <w:spacing w:after="0" w:line="333" w:lineRule="auto"/>
        <w:tabs>
          <w:tab w:leader="none" w:pos="648" w:val="left"/>
        </w:tabs>
        <w:numPr>
          <w:ilvl w:val="0"/>
          <w:numId w:val="7"/>
        </w:numPr>
        <w:rPr>
          <w:rFonts w:ascii="Arial" w:cs="Arial" w:eastAsia="Arial" w:hAnsi="Arial"/>
          <w:sz w:val="20"/>
          <w:szCs w:val="20"/>
          <w:b w:val="1"/>
          <w:bCs w:val="1"/>
          <w:color w:val="auto"/>
        </w:rPr>
      </w:pPr>
      <w:r>
        <w:rPr>
          <w:rFonts w:ascii="Arial" w:cs="Arial" w:eastAsia="Arial" w:hAnsi="Arial"/>
          <w:sz w:val="20"/>
          <w:szCs w:val="20"/>
          <w:color w:val="auto"/>
        </w:rPr>
        <w:t>IT Solutions revenue decreased by $17 million, or 3%, to $554 million driven by a $15 million decrease due to the impact of de-migrations from carriers who de-migrated prior to 2024, a $9 million decrease in other revenue, partially offset by a $7 million increase in volume growth.</w:t>
      </w:r>
    </w:p>
    <w:p>
      <w:pPr>
        <w:spacing w:after="0" w:line="204" w:lineRule="exact"/>
        <w:rPr>
          <w:sz w:val="20"/>
          <w:szCs w:val="20"/>
          <w:color w:val="auto"/>
        </w:rPr>
      </w:pPr>
    </w:p>
    <w:p>
      <w:pPr>
        <w:jc w:val="both"/>
        <w:spacing w:after="0" w:line="333" w:lineRule="auto"/>
        <w:rPr>
          <w:sz w:val="20"/>
          <w:szCs w:val="20"/>
          <w:color w:val="auto"/>
        </w:rPr>
      </w:pPr>
      <w:r>
        <w:rPr>
          <w:rFonts w:ascii="Arial" w:cs="Arial" w:eastAsia="Arial" w:hAnsi="Arial"/>
          <w:sz w:val="20"/>
          <w:szCs w:val="20"/>
          <w:color w:val="auto"/>
        </w:rPr>
        <w:t>Operating income was $295 million, an improvement versus $242 million in 2024. The improvement in operating income was driven by lower labor and professional services, the items impacting revenue described above, a decrease in technology expenses, and lower depreciation and amortization. These impacts were partially offset by increased incentive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spacing w:after="0" w:line="15" w:lineRule="exact"/>
        <w:rPr>
          <w:sz w:val="20"/>
          <w:szCs w:val="20"/>
          <w:color w:val="auto"/>
        </w:rPr>
      </w:pPr>
    </w:p>
    <w:p>
      <w:pPr>
        <w:jc w:val="both"/>
        <w:spacing w:after="0" w:line="356" w:lineRule="auto"/>
        <w:rPr>
          <w:sz w:val="20"/>
          <w:szCs w:val="20"/>
          <w:color w:val="auto"/>
        </w:rPr>
      </w:pPr>
      <w:r>
        <w:rPr>
          <w:rFonts w:ascii="Arial" w:cs="Arial" w:eastAsia="Arial" w:hAnsi="Arial"/>
          <w:sz w:val="20"/>
          <w:szCs w:val="20"/>
          <w:color w:val="auto"/>
        </w:rPr>
        <w:t>expenses and a restructuring charge associated with the inflation offset program accrued in the fourth quarter of 2025 that will be implemented in 2026.</w:t>
      </w:r>
    </w:p>
    <w:p>
      <w:pPr>
        <w:spacing w:after="0" w:line="168" w:lineRule="exact"/>
        <w:rPr>
          <w:sz w:val="20"/>
          <w:szCs w:val="20"/>
          <w:color w:val="auto"/>
        </w:rPr>
      </w:pPr>
    </w:p>
    <w:p>
      <w:pPr>
        <w:jc w:val="both"/>
        <w:spacing w:after="0" w:line="347" w:lineRule="auto"/>
        <w:rPr>
          <w:sz w:val="20"/>
          <w:szCs w:val="20"/>
          <w:color w:val="auto"/>
        </w:rPr>
      </w:pPr>
      <w:r>
        <w:rPr>
          <w:rFonts w:ascii="Arial" w:cs="Arial" w:eastAsia="Arial" w:hAnsi="Arial"/>
          <w:sz w:val="19"/>
          <w:szCs w:val="19"/>
          <w:color w:val="auto"/>
        </w:rPr>
        <w:t>Loss from continuing operations totaled $255 million, an improvement versus a loss of $272 million in the fourth quarter of 2024. The improvement in net loss from continuing operations was driven by the improvement in operating income described above, $18 million of transition services agreement income, net, associated with the Hospitality Solutions disposition in the current year, a decrease of $8 million in debt modification costs, and a $5 million decrease in interest expense. These items were partially offset by a loss on the extinguishment of debt of $91 million as a result of refinancing activity that occurred during 2025 versus a loss on the extinguishment of debt of $38 million during 2024 and an increase of $12 million of income tax expense.</w:t>
      </w:r>
    </w:p>
    <w:p>
      <w:pPr>
        <w:spacing w:after="0" w:line="197" w:lineRule="exact"/>
        <w:rPr>
          <w:sz w:val="20"/>
          <w:szCs w:val="20"/>
          <w:color w:val="auto"/>
        </w:rPr>
      </w:pPr>
    </w:p>
    <w:p>
      <w:pPr>
        <w:jc w:val="both"/>
        <w:ind w:right="20"/>
        <w:spacing w:after="0" w:line="333" w:lineRule="auto"/>
        <w:rPr>
          <w:sz w:val="20"/>
          <w:szCs w:val="20"/>
          <w:color w:val="auto"/>
        </w:rPr>
      </w:pPr>
      <w:r>
        <w:rPr>
          <w:rFonts w:ascii="Arial" w:cs="Arial" w:eastAsia="Arial" w:hAnsi="Arial"/>
          <w:sz w:val="20"/>
          <w:szCs w:val="20"/>
          <w:color w:val="auto"/>
        </w:rPr>
        <w:t>Net income attributable to common stockholders totaled $525 million versus a net loss of $279 million in 2024. The increase in net income attributable to common stockholders was primarily driven by the gain on sale recognized from the disposition of Hospitality Solutions and the items impacting net loss from continuing operations described above.</w:t>
      </w:r>
    </w:p>
    <w:p>
      <w:pPr>
        <w:spacing w:after="0" w:line="204"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Normalized Adjusted EBITDA</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was $536 million, an improvement versus Normalized Adjusted EBITDA</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of $485 million in 2024. The improvement in Normalized Adjusted EBITDA</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was driven by the items impacting revenue described above and a decrease in labor and professional services, a decrease in technology expenses, and a decrease in general and administrative expenses due to a sales tax refund in 2025. These impacts were partially offset by increased incentive expenses.</w:t>
      </w: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color w:val="auto"/>
        </w:rPr>
        <w:t>With regard to Sabre's full year 2025 cash flows (versus prior year):</w:t>
      </w:r>
    </w:p>
    <w:p>
      <w:pPr>
        <w:spacing w:after="0" w:line="81" w:lineRule="exact"/>
        <w:rPr>
          <w:sz w:val="20"/>
          <w:szCs w:val="20"/>
          <w:color w:val="auto"/>
        </w:rPr>
      </w:pP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Cash used in operating activities totaled $109 million (vs. used in $70 million)</w:t>
      </w:r>
    </w:p>
    <w:p>
      <w:pPr>
        <w:spacing w:after="0" w:line="67" w:lineRule="exact"/>
        <w:rPr>
          <w:rFonts w:ascii="Arial" w:cs="Arial" w:eastAsia="Arial" w:hAnsi="Arial"/>
          <w:sz w:val="20"/>
          <w:szCs w:val="20"/>
          <w:color w:val="auto"/>
        </w:rPr>
      </w:pP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Cash used in investing activities totaled $74 million (vs. $25 million)</w:t>
      </w:r>
    </w:p>
    <w:p>
      <w:pPr>
        <w:spacing w:after="0" w:line="80" w:lineRule="exact"/>
        <w:rPr>
          <w:rFonts w:ascii="Arial" w:cs="Arial" w:eastAsia="Arial" w:hAnsi="Arial"/>
          <w:sz w:val="20"/>
          <w:szCs w:val="20"/>
          <w:color w:val="auto"/>
        </w:rPr>
      </w:pP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Cash used in financing activities totaled $686 million (vs. provided by $40 million)</w:t>
      </w:r>
    </w:p>
    <w:p>
      <w:pPr>
        <w:spacing w:after="0" w:line="80" w:lineRule="exact"/>
        <w:rPr>
          <w:rFonts w:ascii="Arial" w:cs="Arial" w:eastAsia="Arial" w:hAnsi="Arial"/>
          <w:sz w:val="20"/>
          <w:szCs w:val="20"/>
          <w:color w:val="auto"/>
        </w:rPr>
      </w:pP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Capitalized expenditures totaled $83 million (vs. $80 million)</w:t>
      </w:r>
    </w:p>
    <w:p>
      <w:pPr>
        <w:spacing w:after="0" w:line="310" w:lineRule="exact"/>
        <w:rPr>
          <w:sz w:val="20"/>
          <w:szCs w:val="20"/>
          <w:color w:val="auto"/>
        </w:rPr>
      </w:pPr>
    </w:p>
    <w:p>
      <w:pPr>
        <w:jc w:val="both"/>
        <w:spacing w:after="0" w:line="309" w:lineRule="auto"/>
        <w:rPr>
          <w:sz w:val="20"/>
          <w:szCs w:val="20"/>
          <w:color w:val="auto"/>
        </w:rPr>
      </w:pPr>
      <w:r>
        <w:rPr>
          <w:rFonts w:ascii="Arial" w:cs="Arial" w:eastAsia="Arial" w:hAnsi="Arial"/>
          <w:sz w:val="20"/>
          <w:szCs w:val="20"/>
          <w:color w:val="auto"/>
        </w:rPr>
        <w:t>Free Cash Flow</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for the full year was negative $192 million, versus Free Cash Flow of negative $9 million in 2024. Free Cash Flow includes the impact of $227 million of payment-in-kind interest that was recorded to cash flow from operations in conjunction with the refinancing activity in the second quarter of 2025 and $19 million of refinancing disbursements and interest paid earlier than previously expected due to refinancing activity that occurred during the fourth quarter of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7" w:name="page8"/>
    <w:bookmarkEnd w:id="7"/>
    <w:p>
      <w:pPr>
        <w:spacing w:after="0" w:line="258" w:lineRule="exact"/>
        <w:rPr>
          <w:sz w:val="20"/>
          <w:szCs w:val="20"/>
          <w:color w:val="auto"/>
        </w:rPr>
      </w:pPr>
    </w:p>
    <w:p>
      <w:pPr>
        <w:ind w:right="20"/>
        <w:spacing w:after="0" w:line="296" w:lineRule="auto"/>
        <w:rPr>
          <w:sz w:val="20"/>
          <w:szCs w:val="20"/>
          <w:color w:val="auto"/>
        </w:rPr>
      </w:pPr>
      <w:r>
        <w:rPr>
          <w:rFonts w:ascii="Arial" w:cs="Arial" w:eastAsia="Arial" w:hAnsi="Arial"/>
          <w:sz w:val="20"/>
          <w:szCs w:val="20"/>
          <w:color w:val="auto"/>
        </w:rPr>
        <w:t>Pro Forma Free Cash Flow</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was $57 million in 2025. This includes $19 million of refinancing disbursements and interest paid earlier than previously expected due to refinancing activity that occurred during the fourth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8" w:name="page9"/>
    <w:bookmarkEnd w:id="8"/>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Results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00" w:type="dxa"/>
            <w:vAlign w:val="bottom"/>
          </w:tcPr>
          <w:p>
            <w:pPr>
              <w:spacing w:after="0"/>
              <w:rPr>
                <w:sz w:val="16"/>
                <w:szCs w:val="16"/>
                <w:color w:val="auto"/>
              </w:rPr>
            </w:pPr>
          </w:p>
        </w:tc>
        <w:tc>
          <w:tcPr>
            <w:tcW w:w="320" w:type="dxa"/>
            <w:vAlign w:val="bottom"/>
            <w:tcBorders>
              <w:bottom w:val="single" w:sz="8" w:color="800000"/>
            </w:tcBorders>
          </w:tcPr>
          <w:p>
            <w:pPr>
              <w:spacing w:after="0"/>
              <w:rPr>
                <w:sz w:val="16"/>
                <w:szCs w:val="16"/>
                <w:color w:val="auto"/>
              </w:rPr>
            </w:pPr>
          </w:p>
        </w:tc>
        <w:tc>
          <w:tcPr>
            <w:tcW w:w="2700" w:type="dxa"/>
            <w:vAlign w:val="bottom"/>
            <w:tcBorders>
              <w:bottom w:val="single" w:sz="8" w:color="800000"/>
            </w:tcBorders>
            <w:gridSpan w:val="3"/>
          </w:tcPr>
          <w:p>
            <w:pPr>
              <w:jc w:val="right"/>
              <w:spacing w:after="0"/>
              <w:rPr>
                <w:sz w:val="20"/>
                <w:szCs w:val="20"/>
                <w:color w:val="auto"/>
              </w:rPr>
            </w:pPr>
            <w:r>
              <w:rPr>
                <w:rFonts w:ascii="Arial" w:cs="Arial" w:eastAsia="Arial" w:hAnsi="Arial"/>
                <w:sz w:val="13"/>
                <w:szCs w:val="13"/>
                <w:b w:val="1"/>
                <w:bCs w:val="1"/>
                <w:color w:val="auto"/>
              </w:rPr>
              <w:t>Three Months Ended December 31,</w:t>
            </w:r>
          </w:p>
        </w:tc>
        <w:tc>
          <w:tcPr>
            <w:tcW w:w="740" w:type="dxa"/>
            <w:vAlign w:val="bottom"/>
            <w:tcBorders>
              <w:bottom w:val="single" w:sz="8" w:color="800000"/>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800000"/>
            </w:tcBorders>
          </w:tcPr>
          <w:p>
            <w:pPr>
              <w:spacing w:after="0"/>
              <w:rPr>
                <w:sz w:val="16"/>
                <w:szCs w:val="16"/>
                <w:color w:val="auto"/>
              </w:rPr>
            </w:pPr>
          </w:p>
        </w:tc>
        <w:tc>
          <w:tcPr>
            <w:tcW w:w="2640" w:type="dxa"/>
            <w:vAlign w:val="bottom"/>
            <w:tcBorders>
              <w:bottom w:val="single" w:sz="8" w:color="800000"/>
            </w:tcBorders>
            <w:gridSpan w:val="3"/>
          </w:tcPr>
          <w:p>
            <w:pPr>
              <w:jc w:val="right"/>
              <w:ind w:right="153"/>
              <w:spacing w:after="0"/>
              <w:rPr>
                <w:sz w:val="20"/>
                <w:szCs w:val="20"/>
                <w:color w:val="auto"/>
              </w:rPr>
            </w:pPr>
            <w:r>
              <w:rPr>
                <w:rFonts w:ascii="Arial" w:cs="Arial" w:eastAsia="Arial" w:hAnsi="Arial"/>
                <w:sz w:val="13"/>
                <w:szCs w:val="13"/>
                <w:b w:val="1"/>
                <w:bCs w:val="1"/>
                <w:color w:val="auto"/>
              </w:rPr>
              <w:t>Year Ended December 31,</w:t>
            </w:r>
          </w:p>
        </w:tc>
        <w:tc>
          <w:tcPr>
            <w:tcW w:w="860" w:type="dxa"/>
            <w:vAlign w:val="bottom"/>
            <w:tcBorders>
              <w:bottom w:val="single" w:sz="8" w:color="800000"/>
            </w:tcBorders>
          </w:tcPr>
          <w:p>
            <w:pPr>
              <w:spacing w:after="0"/>
              <w:rPr>
                <w:sz w:val="16"/>
                <w:szCs w:val="16"/>
                <w:color w:val="auto"/>
              </w:rPr>
            </w:pPr>
          </w:p>
        </w:tc>
        <w:tc>
          <w:tcPr>
            <w:tcW w:w="0" w:type="dxa"/>
            <w:vAlign w:val="bottom"/>
          </w:tcPr>
          <w:p>
            <w:pPr>
              <w:spacing w:after="0"/>
              <w:rPr>
                <w:sz w:val="1"/>
                <w:szCs w:val="1"/>
                <w:color w:val="auto"/>
              </w:rPr>
            </w:pPr>
          </w:p>
        </w:tc>
      </w:tr>
      <w:tr>
        <w:trPr>
          <w:trHeight w:val="279"/>
        </w:trPr>
        <w:tc>
          <w:tcPr>
            <w:tcW w:w="3400" w:type="dxa"/>
            <w:vAlign w:val="bottom"/>
          </w:tcPr>
          <w:p>
            <w:pPr>
              <w:ind w:left="20"/>
              <w:spacing w:after="0"/>
              <w:rPr>
                <w:sz w:val="20"/>
                <w:szCs w:val="20"/>
                <w:color w:val="auto"/>
              </w:rPr>
            </w:pPr>
            <w:r>
              <w:rPr>
                <w:rFonts w:ascii="Arial" w:cs="Arial" w:eastAsia="Arial" w:hAnsi="Arial"/>
                <w:sz w:val="13"/>
                <w:szCs w:val="13"/>
                <w:color w:val="auto"/>
              </w:rPr>
              <w:t>Financial Highlights</w:t>
            </w:r>
          </w:p>
        </w:tc>
        <w:tc>
          <w:tcPr>
            <w:tcW w:w="320" w:type="dxa"/>
            <w:vAlign w:val="bottom"/>
          </w:tcPr>
          <w:p>
            <w:pPr>
              <w:spacing w:after="0"/>
              <w:rPr>
                <w:sz w:val="24"/>
                <w:szCs w:val="24"/>
                <w:color w:val="auto"/>
              </w:rPr>
            </w:pPr>
          </w:p>
        </w:tc>
        <w:tc>
          <w:tcPr>
            <w:tcW w:w="1080" w:type="dxa"/>
            <w:vAlign w:val="bottom"/>
            <w:vMerge w:val="restart"/>
          </w:tcPr>
          <w:p>
            <w:pPr>
              <w:jc w:val="right"/>
              <w:ind w:right="513"/>
              <w:spacing w:after="0"/>
              <w:rPr>
                <w:sz w:val="20"/>
                <w:szCs w:val="20"/>
                <w:color w:val="auto"/>
              </w:rPr>
            </w:pPr>
            <w:r>
              <w:rPr>
                <w:rFonts w:ascii="Arial" w:cs="Arial" w:eastAsia="Arial" w:hAnsi="Arial"/>
                <w:sz w:val="13"/>
                <w:szCs w:val="13"/>
                <w:b w:val="1"/>
                <w:bCs w:val="1"/>
                <w:color w:val="auto"/>
              </w:rPr>
              <w:t>2025</w:t>
            </w:r>
          </w:p>
        </w:tc>
        <w:tc>
          <w:tcPr>
            <w:tcW w:w="380" w:type="dxa"/>
            <w:vAlign w:val="bottom"/>
          </w:tcPr>
          <w:p>
            <w:pPr>
              <w:spacing w:after="0"/>
              <w:rPr>
                <w:sz w:val="24"/>
                <w:szCs w:val="24"/>
                <w:color w:val="auto"/>
              </w:rPr>
            </w:pPr>
          </w:p>
        </w:tc>
        <w:tc>
          <w:tcPr>
            <w:tcW w:w="1240" w:type="dxa"/>
            <w:vAlign w:val="bottom"/>
            <w:vMerge w:val="restart"/>
          </w:tcPr>
          <w:p>
            <w:pPr>
              <w:jc w:val="right"/>
              <w:ind w:right="673"/>
              <w:spacing w:after="0"/>
              <w:rPr>
                <w:sz w:val="20"/>
                <w:szCs w:val="20"/>
                <w:color w:val="auto"/>
              </w:rPr>
            </w:pPr>
            <w:r>
              <w:rPr>
                <w:rFonts w:ascii="Arial" w:cs="Arial" w:eastAsia="Arial" w:hAnsi="Arial"/>
                <w:sz w:val="13"/>
                <w:szCs w:val="13"/>
                <w:b w:val="1"/>
                <w:bCs w:val="1"/>
                <w:color w:val="auto"/>
              </w:rPr>
              <w:t>2024</w:t>
            </w:r>
          </w:p>
        </w:tc>
        <w:tc>
          <w:tcPr>
            <w:tcW w:w="8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 Change</w:t>
            </w:r>
          </w:p>
        </w:tc>
        <w:tc>
          <w:tcPr>
            <w:tcW w:w="320" w:type="dxa"/>
            <w:vAlign w:val="bottom"/>
          </w:tcPr>
          <w:p>
            <w:pPr>
              <w:spacing w:after="0"/>
              <w:rPr>
                <w:sz w:val="24"/>
                <w:szCs w:val="24"/>
                <w:color w:val="auto"/>
              </w:rPr>
            </w:pPr>
          </w:p>
        </w:tc>
        <w:tc>
          <w:tcPr>
            <w:tcW w:w="1100" w:type="dxa"/>
            <w:vAlign w:val="bottom"/>
            <w:vMerge w:val="restart"/>
          </w:tcPr>
          <w:p>
            <w:pPr>
              <w:jc w:val="right"/>
              <w:ind w:right="513"/>
              <w:spacing w:after="0"/>
              <w:rPr>
                <w:sz w:val="20"/>
                <w:szCs w:val="20"/>
                <w:color w:val="auto"/>
              </w:rPr>
            </w:pPr>
            <w:r>
              <w:rPr>
                <w:rFonts w:ascii="Arial" w:cs="Arial" w:eastAsia="Arial" w:hAnsi="Arial"/>
                <w:sz w:val="13"/>
                <w:szCs w:val="13"/>
                <w:b w:val="1"/>
                <w:bCs w:val="1"/>
                <w:color w:val="auto"/>
              </w:rPr>
              <w:t>2025</w:t>
            </w:r>
          </w:p>
        </w:tc>
        <w:tc>
          <w:tcPr>
            <w:tcW w:w="380" w:type="dxa"/>
            <w:vAlign w:val="bottom"/>
          </w:tcPr>
          <w:p>
            <w:pPr>
              <w:spacing w:after="0"/>
              <w:rPr>
                <w:sz w:val="24"/>
                <w:szCs w:val="24"/>
                <w:color w:val="auto"/>
              </w:rPr>
            </w:pPr>
          </w:p>
        </w:tc>
        <w:tc>
          <w:tcPr>
            <w:tcW w:w="1160" w:type="dxa"/>
            <w:vAlign w:val="bottom"/>
            <w:vMerge w:val="restart"/>
          </w:tcPr>
          <w:p>
            <w:pPr>
              <w:jc w:val="right"/>
              <w:ind w:right="573"/>
              <w:spacing w:after="0"/>
              <w:rPr>
                <w:sz w:val="20"/>
                <w:szCs w:val="20"/>
                <w:color w:val="auto"/>
              </w:rPr>
            </w:pPr>
            <w:r>
              <w:rPr>
                <w:rFonts w:ascii="Arial" w:cs="Arial" w:eastAsia="Arial" w:hAnsi="Arial"/>
                <w:sz w:val="13"/>
                <w:szCs w:val="13"/>
                <w:b w:val="1"/>
                <w:bCs w:val="1"/>
                <w:color w:val="auto"/>
              </w:rPr>
              <w:t>2024</w:t>
            </w:r>
          </w:p>
        </w:tc>
        <w:tc>
          <w:tcPr>
            <w:tcW w:w="860" w:type="dxa"/>
            <w:vAlign w:val="bottom"/>
          </w:tcPr>
          <w:p>
            <w:pPr>
              <w:jc w:val="right"/>
              <w:ind w:right="33"/>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88"/>
        </w:trPr>
        <w:tc>
          <w:tcPr>
            <w:tcW w:w="3400" w:type="dxa"/>
            <w:vAlign w:val="bottom"/>
            <w:tcBorders>
              <w:bottom w:val="single" w:sz="8" w:color="800000"/>
            </w:tcBorders>
          </w:tcPr>
          <w:p>
            <w:pPr>
              <w:ind w:left="20"/>
              <w:spacing w:after="0"/>
              <w:rPr>
                <w:sz w:val="20"/>
                <w:szCs w:val="20"/>
                <w:color w:val="auto"/>
              </w:rPr>
            </w:pPr>
            <w:r>
              <w:rPr>
                <w:rFonts w:ascii="Arial" w:cs="Arial" w:eastAsia="Arial" w:hAnsi="Arial"/>
                <w:sz w:val="13"/>
                <w:szCs w:val="13"/>
                <w:color w:val="auto"/>
              </w:rPr>
              <w:t>(in thousands, except for EPS; unaudited):</w:t>
            </w:r>
          </w:p>
        </w:tc>
        <w:tc>
          <w:tcPr>
            <w:tcW w:w="320" w:type="dxa"/>
            <w:vAlign w:val="bottom"/>
            <w:tcBorders>
              <w:bottom w:val="single" w:sz="8" w:color="800000"/>
            </w:tcBorders>
          </w:tcPr>
          <w:p>
            <w:pPr>
              <w:spacing w:after="0"/>
              <w:rPr>
                <w:sz w:val="16"/>
                <w:szCs w:val="16"/>
                <w:color w:val="auto"/>
              </w:rPr>
            </w:pPr>
          </w:p>
        </w:tc>
        <w:tc>
          <w:tcPr>
            <w:tcW w:w="1080" w:type="dxa"/>
            <w:vAlign w:val="bottom"/>
            <w:tcBorders>
              <w:bottom w:val="single" w:sz="8" w:color="800000"/>
            </w:tcBorders>
            <w:vMerge w:val="continue"/>
          </w:tcPr>
          <w:p>
            <w:pPr>
              <w:spacing w:after="0"/>
              <w:rPr>
                <w:sz w:val="16"/>
                <w:szCs w:val="16"/>
                <w:color w:val="auto"/>
              </w:rPr>
            </w:pPr>
          </w:p>
        </w:tc>
        <w:tc>
          <w:tcPr>
            <w:tcW w:w="380" w:type="dxa"/>
            <w:vAlign w:val="bottom"/>
            <w:tcBorders>
              <w:bottom w:val="single" w:sz="8" w:color="800000"/>
            </w:tcBorders>
          </w:tcPr>
          <w:p>
            <w:pPr>
              <w:spacing w:after="0"/>
              <w:rPr>
                <w:sz w:val="16"/>
                <w:szCs w:val="16"/>
                <w:color w:val="auto"/>
              </w:rPr>
            </w:pPr>
          </w:p>
        </w:tc>
        <w:tc>
          <w:tcPr>
            <w:tcW w:w="1240" w:type="dxa"/>
            <w:vAlign w:val="bottom"/>
            <w:tcBorders>
              <w:bottom w:val="single" w:sz="8" w:color="800000"/>
            </w:tcBorders>
            <w:vMerge w:val="continue"/>
          </w:tcPr>
          <w:p>
            <w:pPr>
              <w:spacing w:after="0"/>
              <w:rPr>
                <w:sz w:val="16"/>
                <w:szCs w:val="16"/>
                <w:color w:val="auto"/>
              </w:rPr>
            </w:pPr>
          </w:p>
        </w:tc>
        <w:tc>
          <w:tcPr>
            <w:tcW w:w="860" w:type="dxa"/>
            <w:vAlign w:val="bottom"/>
            <w:tcBorders>
              <w:bottom w:val="single" w:sz="8" w:color="800000"/>
            </w:tcBorders>
            <w:gridSpan w:val="2"/>
          </w:tcPr>
          <w:p>
            <w:pPr>
              <w:jc w:val="center"/>
              <w:ind w:right="220"/>
              <w:spacing w:after="0"/>
              <w:rPr>
                <w:sz w:val="20"/>
                <w:szCs w:val="20"/>
                <w:color w:val="auto"/>
              </w:rPr>
            </w:pPr>
            <w:r>
              <w:rPr>
                <w:rFonts w:ascii="Arial" w:cs="Arial" w:eastAsia="Arial" w:hAnsi="Arial"/>
                <w:sz w:val="13"/>
                <w:szCs w:val="13"/>
                <w:b w:val="1"/>
                <w:bCs w:val="1"/>
                <w:color w:val="auto"/>
              </w:rPr>
              <w:t>(B/W)</w:t>
            </w:r>
          </w:p>
        </w:tc>
        <w:tc>
          <w:tcPr>
            <w:tcW w:w="320" w:type="dxa"/>
            <w:vAlign w:val="bottom"/>
            <w:tcBorders>
              <w:bottom w:val="single" w:sz="8" w:color="800000"/>
            </w:tcBorders>
          </w:tcPr>
          <w:p>
            <w:pPr>
              <w:spacing w:after="0"/>
              <w:rPr>
                <w:sz w:val="16"/>
                <w:szCs w:val="16"/>
                <w:color w:val="auto"/>
              </w:rPr>
            </w:pPr>
          </w:p>
        </w:tc>
        <w:tc>
          <w:tcPr>
            <w:tcW w:w="1100" w:type="dxa"/>
            <w:vAlign w:val="bottom"/>
            <w:tcBorders>
              <w:bottom w:val="single" w:sz="8" w:color="800000"/>
            </w:tcBorders>
            <w:vMerge w:val="continue"/>
          </w:tcPr>
          <w:p>
            <w:pPr>
              <w:spacing w:after="0"/>
              <w:rPr>
                <w:sz w:val="16"/>
                <w:szCs w:val="16"/>
                <w:color w:val="auto"/>
              </w:rPr>
            </w:pPr>
          </w:p>
        </w:tc>
        <w:tc>
          <w:tcPr>
            <w:tcW w:w="380" w:type="dxa"/>
            <w:vAlign w:val="bottom"/>
            <w:tcBorders>
              <w:bottom w:val="single" w:sz="8" w:color="800000"/>
            </w:tcBorders>
          </w:tcPr>
          <w:p>
            <w:pPr>
              <w:spacing w:after="0"/>
              <w:rPr>
                <w:sz w:val="16"/>
                <w:szCs w:val="16"/>
                <w:color w:val="auto"/>
              </w:rPr>
            </w:pPr>
          </w:p>
        </w:tc>
        <w:tc>
          <w:tcPr>
            <w:tcW w:w="1160" w:type="dxa"/>
            <w:vAlign w:val="bottom"/>
            <w:tcBorders>
              <w:bottom w:val="single" w:sz="8" w:color="800000"/>
            </w:tcBorders>
            <w:vMerge w:val="continue"/>
          </w:tcPr>
          <w:p>
            <w:pPr>
              <w:spacing w:after="0"/>
              <w:rPr>
                <w:sz w:val="16"/>
                <w:szCs w:val="16"/>
                <w:color w:val="auto"/>
              </w:rPr>
            </w:pPr>
          </w:p>
        </w:tc>
        <w:tc>
          <w:tcPr>
            <w:tcW w:w="860" w:type="dxa"/>
            <w:vAlign w:val="bottom"/>
            <w:tcBorders>
              <w:bottom w:val="single" w:sz="8" w:color="800000"/>
            </w:tcBorders>
          </w:tcPr>
          <w:p>
            <w:pPr>
              <w:jc w:val="right"/>
              <w:ind w:right="193"/>
              <w:spacing w:after="0"/>
              <w:rPr>
                <w:sz w:val="20"/>
                <w:szCs w:val="20"/>
                <w:color w:val="auto"/>
              </w:rPr>
            </w:pPr>
            <w:r>
              <w:rPr>
                <w:rFonts w:ascii="Arial" w:cs="Arial" w:eastAsia="Arial" w:hAnsi="Arial"/>
                <w:sz w:val="13"/>
                <w:szCs w:val="13"/>
                <w:b w:val="1"/>
                <w:bCs w:val="1"/>
                <w:color w:val="auto"/>
              </w:rPr>
              <w:t>(B/W)</w:t>
            </w:r>
          </w:p>
        </w:tc>
        <w:tc>
          <w:tcPr>
            <w:tcW w:w="0" w:type="dxa"/>
            <w:vAlign w:val="bottom"/>
          </w:tcPr>
          <w:p>
            <w:pPr>
              <w:spacing w:after="0"/>
              <w:rPr>
                <w:sz w:val="1"/>
                <w:szCs w:val="1"/>
                <w:color w:val="auto"/>
              </w:rPr>
            </w:pPr>
          </w:p>
        </w:tc>
      </w:tr>
      <w:tr>
        <w:trPr>
          <w:trHeight w:val="184"/>
        </w:trPr>
        <w:tc>
          <w:tcPr>
            <w:tcW w:w="3400" w:type="dxa"/>
            <w:vAlign w:val="bottom"/>
            <w:shd w:val="clear" w:color="auto" w:fill="F2DCDB"/>
          </w:tcPr>
          <w:p>
            <w:pPr>
              <w:ind w:left="20"/>
              <w:spacing w:after="0"/>
              <w:rPr>
                <w:sz w:val="20"/>
                <w:szCs w:val="20"/>
                <w:color w:val="auto"/>
              </w:rPr>
            </w:pPr>
            <w:r>
              <w:rPr>
                <w:rFonts w:ascii="Arial" w:cs="Arial" w:eastAsia="Arial" w:hAnsi="Arial"/>
                <w:sz w:val="13"/>
                <w:szCs w:val="13"/>
                <w:color w:val="auto"/>
              </w:rPr>
              <w:t>Total Company:</w:t>
            </w:r>
          </w:p>
        </w:tc>
        <w:tc>
          <w:tcPr>
            <w:tcW w:w="320" w:type="dxa"/>
            <w:vAlign w:val="bottom"/>
            <w:shd w:val="clear" w:color="auto" w:fill="F2DCDB"/>
          </w:tcPr>
          <w:p>
            <w:pPr>
              <w:spacing w:after="0"/>
              <w:rPr>
                <w:sz w:val="15"/>
                <w:szCs w:val="15"/>
                <w:color w:val="auto"/>
              </w:rPr>
            </w:pPr>
          </w:p>
        </w:tc>
        <w:tc>
          <w:tcPr>
            <w:tcW w:w="1080" w:type="dxa"/>
            <w:vAlign w:val="bottom"/>
            <w:shd w:val="clear" w:color="auto" w:fill="F2DCDB"/>
          </w:tcPr>
          <w:p>
            <w:pPr>
              <w:spacing w:after="0"/>
              <w:rPr>
                <w:sz w:val="15"/>
                <w:szCs w:val="15"/>
                <w:color w:val="auto"/>
              </w:rPr>
            </w:pPr>
          </w:p>
        </w:tc>
        <w:tc>
          <w:tcPr>
            <w:tcW w:w="380" w:type="dxa"/>
            <w:vAlign w:val="bottom"/>
            <w:shd w:val="clear" w:color="auto" w:fill="F2DCDB"/>
          </w:tcPr>
          <w:p>
            <w:pPr>
              <w:spacing w:after="0"/>
              <w:rPr>
                <w:sz w:val="15"/>
                <w:szCs w:val="15"/>
                <w:color w:val="auto"/>
              </w:rPr>
            </w:pPr>
          </w:p>
        </w:tc>
        <w:tc>
          <w:tcPr>
            <w:tcW w:w="1240" w:type="dxa"/>
            <w:vAlign w:val="bottom"/>
            <w:shd w:val="clear" w:color="auto" w:fill="F2DCDB"/>
          </w:tcPr>
          <w:p>
            <w:pPr>
              <w:spacing w:after="0"/>
              <w:rPr>
                <w:sz w:val="15"/>
                <w:szCs w:val="15"/>
                <w:color w:val="auto"/>
              </w:rPr>
            </w:pPr>
          </w:p>
        </w:tc>
        <w:tc>
          <w:tcPr>
            <w:tcW w:w="740" w:type="dxa"/>
            <w:vAlign w:val="bottom"/>
            <w:shd w:val="clear" w:color="auto" w:fill="F2DCDB"/>
          </w:tcPr>
          <w:p>
            <w:pPr>
              <w:spacing w:after="0"/>
              <w:rPr>
                <w:sz w:val="15"/>
                <w:szCs w:val="15"/>
                <w:color w:val="auto"/>
              </w:rPr>
            </w:pPr>
          </w:p>
        </w:tc>
        <w:tc>
          <w:tcPr>
            <w:tcW w:w="120" w:type="dxa"/>
            <w:vAlign w:val="bottom"/>
            <w:shd w:val="clear" w:color="auto" w:fill="F2DCDB"/>
          </w:tcPr>
          <w:p>
            <w:pPr>
              <w:spacing w:after="0"/>
              <w:rPr>
                <w:sz w:val="15"/>
                <w:szCs w:val="15"/>
                <w:color w:val="auto"/>
              </w:rPr>
            </w:pPr>
          </w:p>
        </w:tc>
        <w:tc>
          <w:tcPr>
            <w:tcW w:w="320" w:type="dxa"/>
            <w:vAlign w:val="bottom"/>
            <w:shd w:val="clear" w:color="auto" w:fill="F2DCDB"/>
          </w:tcPr>
          <w:p>
            <w:pPr>
              <w:spacing w:after="0"/>
              <w:rPr>
                <w:sz w:val="15"/>
                <w:szCs w:val="15"/>
                <w:color w:val="auto"/>
              </w:rPr>
            </w:pPr>
          </w:p>
        </w:tc>
        <w:tc>
          <w:tcPr>
            <w:tcW w:w="1100" w:type="dxa"/>
            <w:vAlign w:val="bottom"/>
            <w:shd w:val="clear" w:color="auto" w:fill="F2DCDB"/>
          </w:tcPr>
          <w:p>
            <w:pPr>
              <w:spacing w:after="0"/>
              <w:rPr>
                <w:sz w:val="15"/>
                <w:szCs w:val="15"/>
                <w:color w:val="auto"/>
              </w:rPr>
            </w:pPr>
          </w:p>
        </w:tc>
        <w:tc>
          <w:tcPr>
            <w:tcW w:w="380" w:type="dxa"/>
            <w:vAlign w:val="bottom"/>
            <w:shd w:val="clear" w:color="auto" w:fill="F2DCDB"/>
          </w:tcPr>
          <w:p>
            <w:pPr>
              <w:spacing w:after="0"/>
              <w:rPr>
                <w:sz w:val="15"/>
                <w:szCs w:val="15"/>
                <w:color w:val="auto"/>
              </w:rPr>
            </w:pPr>
          </w:p>
        </w:tc>
        <w:tc>
          <w:tcPr>
            <w:tcW w:w="1160" w:type="dxa"/>
            <w:vAlign w:val="bottom"/>
            <w:shd w:val="clear" w:color="auto" w:fill="F2DCDB"/>
          </w:tcPr>
          <w:p>
            <w:pPr>
              <w:spacing w:after="0"/>
              <w:rPr>
                <w:sz w:val="15"/>
                <w:szCs w:val="15"/>
                <w:color w:val="auto"/>
              </w:rPr>
            </w:pPr>
          </w:p>
        </w:tc>
        <w:tc>
          <w:tcPr>
            <w:tcW w:w="860" w:type="dxa"/>
            <w:vAlign w:val="bottom"/>
            <w:shd w:val="clear" w:color="auto" w:fill="F2DCDB"/>
          </w:tcPr>
          <w:p>
            <w:pPr>
              <w:spacing w:after="0"/>
              <w:rPr>
                <w:sz w:val="15"/>
                <w:szCs w:val="15"/>
                <w:color w:val="auto"/>
              </w:rPr>
            </w:pPr>
          </w:p>
        </w:tc>
        <w:tc>
          <w:tcPr>
            <w:tcW w:w="0" w:type="dxa"/>
            <w:vAlign w:val="bottom"/>
          </w:tcPr>
          <w:p>
            <w:pPr>
              <w:spacing w:after="0"/>
              <w:rPr>
                <w:sz w:val="1"/>
                <w:szCs w:val="1"/>
                <w:color w:val="auto"/>
              </w:rPr>
            </w:pPr>
          </w:p>
        </w:tc>
      </w:tr>
      <w:tr>
        <w:trPr>
          <w:trHeight w:val="279"/>
        </w:trPr>
        <w:tc>
          <w:tcPr>
            <w:tcW w:w="3400" w:type="dxa"/>
            <w:vAlign w:val="bottom"/>
          </w:tcPr>
          <w:p>
            <w:pPr>
              <w:ind w:left="20"/>
              <w:spacing w:after="0"/>
              <w:rPr>
                <w:sz w:val="20"/>
                <w:szCs w:val="20"/>
                <w:color w:val="auto"/>
              </w:rPr>
            </w:pPr>
            <w:r>
              <w:rPr>
                <w:rFonts w:ascii="Arial" w:cs="Arial" w:eastAsia="Arial" w:hAnsi="Arial"/>
                <w:sz w:val="13"/>
                <w:szCs w:val="13"/>
                <w:b w:val="1"/>
                <w:bCs w:val="1"/>
                <w:color w:val="auto"/>
              </w:rPr>
              <w:t>Revenue</w:t>
            </w:r>
          </w:p>
        </w:tc>
        <w:tc>
          <w:tcPr>
            <w:tcW w:w="32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73"/>
              <w:spacing w:after="0"/>
              <w:rPr>
                <w:sz w:val="20"/>
                <w:szCs w:val="20"/>
                <w:color w:val="auto"/>
              </w:rPr>
            </w:pPr>
            <w:r>
              <w:rPr>
                <w:rFonts w:ascii="Arial" w:cs="Arial" w:eastAsia="Arial" w:hAnsi="Arial"/>
                <w:sz w:val="13"/>
                <w:szCs w:val="13"/>
                <w:color w:val="auto"/>
              </w:rPr>
              <w:t>666,525</w:t>
            </w:r>
          </w:p>
        </w:tc>
        <w:tc>
          <w:tcPr>
            <w:tcW w:w="38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333"/>
              <w:spacing w:after="0"/>
              <w:rPr>
                <w:sz w:val="20"/>
                <w:szCs w:val="20"/>
                <w:color w:val="auto"/>
              </w:rPr>
            </w:pPr>
            <w:r>
              <w:rPr>
                <w:rFonts w:ascii="Arial" w:cs="Arial" w:eastAsia="Arial" w:hAnsi="Arial"/>
                <w:sz w:val="13"/>
                <w:szCs w:val="13"/>
                <w:color w:val="auto"/>
              </w:rPr>
              <w:t>644,862</w:t>
            </w:r>
          </w:p>
        </w:tc>
        <w:tc>
          <w:tcPr>
            <w:tcW w:w="74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4"/>
                <w:szCs w:val="24"/>
                <w:color w:val="auto"/>
              </w:rPr>
            </w:pPr>
          </w:p>
        </w:tc>
        <w:tc>
          <w:tcPr>
            <w:tcW w:w="32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73"/>
              <w:spacing w:after="0"/>
              <w:rPr>
                <w:sz w:val="20"/>
                <w:szCs w:val="20"/>
                <w:color w:val="auto"/>
              </w:rPr>
            </w:pPr>
            <w:r>
              <w:rPr>
                <w:rFonts w:ascii="Arial" w:cs="Arial" w:eastAsia="Arial" w:hAnsi="Arial"/>
                <w:sz w:val="13"/>
                <w:szCs w:val="13"/>
                <w:color w:val="auto"/>
              </w:rPr>
              <w:t>2,770,983</w:t>
            </w:r>
          </w:p>
        </w:tc>
        <w:tc>
          <w:tcPr>
            <w:tcW w:w="38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233"/>
              <w:spacing w:after="0"/>
              <w:rPr>
                <w:sz w:val="20"/>
                <w:szCs w:val="20"/>
                <w:color w:val="auto"/>
              </w:rPr>
            </w:pPr>
            <w:r>
              <w:rPr>
                <w:rFonts w:ascii="Arial" w:cs="Arial" w:eastAsia="Arial" w:hAnsi="Arial"/>
                <w:sz w:val="13"/>
                <w:szCs w:val="13"/>
                <w:color w:val="auto"/>
              </w:rPr>
              <w:t>2,744,845</w:t>
            </w: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89"/>
        </w:trPr>
        <w:tc>
          <w:tcPr>
            <w:tcW w:w="3400" w:type="dxa"/>
            <w:vAlign w:val="bottom"/>
          </w:tcPr>
          <w:p>
            <w:pPr>
              <w:ind w:left="140"/>
              <w:spacing w:after="0"/>
              <w:rPr>
                <w:sz w:val="20"/>
                <w:szCs w:val="20"/>
                <w:color w:val="auto"/>
              </w:rPr>
            </w:pPr>
            <w:r>
              <w:rPr>
                <w:rFonts w:ascii="Arial" w:cs="Arial" w:eastAsia="Arial" w:hAnsi="Arial"/>
                <w:sz w:val="13"/>
                <w:szCs w:val="13"/>
                <w:b w:val="1"/>
                <w:bCs w:val="1"/>
                <w:color w:val="auto"/>
              </w:rPr>
              <w:t>Distribution Revenue</w:t>
            </w:r>
          </w:p>
        </w:tc>
        <w:tc>
          <w:tcPr>
            <w:tcW w:w="32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73"/>
              <w:spacing w:after="0"/>
              <w:rPr>
                <w:sz w:val="20"/>
                <w:szCs w:val="20"/>
                <w:color w:val="auto"/>
              </w:rPr>
            </w:pPr>
            <w:r>
              <w:rPr>
                <w:rFonts w:ascii="Arial" w:cs="Arial" w:eastAsia="Arial" w:hAnsi="Arial"/>
                <w:sz w:val="13"/>
                <w:szCs w:val="13"/>
                <w:color w:val="auto"/>
              </w:rPr>
              <w:t>526,801</w:t>
            </w:r>
          </w:p>
        </w:tc>
        <w:tc>
          <w:tcPr>
            <w:tcW w:w="38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333"/>
              <w:spacing w:after="0"/>
              <w:rPr>
                <w:sz w:val="20"/>
                <w:szCs w:val="20"/>
                <w:color w:val="auto"/>
              </w:rPr>
            </w:pPr>
            <w:r>
              <w:rPr>
                <w:rFonts w:ascii="Arial" w:cs="Arial" w:eastAsia="Arial" w:hAnsi="Arial"/>
                <w:sz w:val="13"/>
                <w:szCs w:val="13"/>
                <w:color w:val="auto"/>
              </w:rPr>
              <w:t>499,771</w:t>
            </w:r>
          </w:p>
        </w:tc>
        <w:tc>
          <w:tcPr>
            <w:tcW w:w="740" w:type="dxa"/>
            <w:vAlign w:val="bottom"/>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6"/>
                <w:szCs w:val="16"/>
                <w:color w:val="auto"/>
              </w:rPr>
            </w:pPr>
          </w:p>
        </w:tc>
        <w:tc>
          <w:tcPr>
            <w:tcW w:w="32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73"/>
              <w:spacing w:after="0"/>
              <w:rPr>
                <w:sz w:val="20"/>
                <w:szCs w:val="20"/>
                <w:color w:val="auto"/>
              </w:rPr>
            </w:pPr>
            <w:r>
              <w:rPr>
                <w:rFonts w:ascii="Arial" w:cs="Arial" w:eastAsia="Arial" w:hAnsi="Arial"/>
                <w:sz w:val="13"/>
                <w:szCs w:val="13"/>
                <w:color w:val="auto"/>
              </w:rPr>
              <w:t>2,216,990</w:t>
            </w:r>
          </w:p>
        </w:tc>
        <w:tc>
          <w:tcPr>
            <w:tcW w:w="38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233"/>
              <w:spacing w:after="0"/>
              <w:rPr>
                <w:sz w:val="20"/>
                <w:szCs w:val="20"/>
                <w:color w:val="auto"/>
              </w:rPr>
            </w:pPr>
            <w:r>
              <w:rPr>
                <w:rFonts w:ascii="Arial" w:cs="Arial" w:eastAsia="Arial" w:hAnsi="Arial"/>
                <w:sz w:val="13"/>
                <w:szCs w:val="13"/>
                <w:color w:val="auto"/>
              </w:rPr>
              <w:t>2,173,619</w:t>
            </w: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89"/>
        </w:trPr>
        <w:tc>
          <w:tcPr>
            <w:tcW w:w="3400" w:type="dxa"/>
            <w:vAlign w:val="bottom"/>
          </w:tcPr>
          <w:p>
            <w:pPr>
              <w:ind w:left="140"/>
              <w:spacing w:after="0"/>
              <w:rPr>
                <w:sz w:val="20"/>
                <w:szCs w:val="20"/>
                <w:color w:val="auto"/>
              </w:rPr>
            </w:pPr>
            <w:r>
              <w:rPr>
                <w:rFonts w:ascii="Arial" w:cs="Arial" w:eastAsia="Arial" w:hAnsi="Arial"/>
                <w:sz w:val="13"/>
                <w:szCs w:val="13"/>
                <w:b w:val="1"/>
                <w:bCs w:val="1"/>
                <w:color w:val="auto"/>
              </w:rPr>
              <w:t>IT Solutions Revenue</w:t>
            </w:r>
          </w:p>
        </w:tc>
        <w:tc>
          <w:tcPr>
            <w:tcW w:w="32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73"/>
              <w:spacing w:after="0"/>
              <w:rPr>
                <w:sz w:val="20"/>
                <w:szCs w:val="20"/>
                <w:color w:val="auto"/>
              </w:rPr>
            </w:pPr>
            <w:r>
              <w:rPr>
                <w:rFonts w:ascii="Arial" w:cs="Arial" w:eastAsia="Arial" w:hAnsi="Arial"/>
                <w:sz w:val="13"/>
                <w:szCs w:val="13"/>
                <w:color w:val="auto"/>
              </w:rPr>
              <w:t>139,724</w:t>
            </w:r>
          </w:p>
        </w:tc>
        <w:tc>
          <w:tcPr>
            <w:tcW w:w="38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333"/>
              <w:spacing w:after="0"/>
              <w:rPr>
                <w:sz w:val="20"/>
                <w:szCs w:val="20"/>
                <w:color w:val="auto"/>
              </w:rPr>
            </w:pPr>
            <w:r>
              <w:rPr>
                <w:rFonts w:ascii="Arial" w:cs="Arial" w:eastAsia="Arial" w:hAnsi="Arial"/>
                <w:sz w:val="13"/>
                <w:szCs w:val="13"/>
                <w:color w:val="auto"/>
              </w:rPr>
              <w:t>145,091</w:t>
            </w:r>
          </w:p>
        </w:tc>
        <w:tc>
          <w:tcPr>
            <w:tcW w:w="74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6"/>
                <w:szCs w:val="16"/>
                <w:color w:val="auto"/>
              </w:rPr>
            </w:pPr>
          </w:p>
        </w:tc>
        <w:tc>
          <w:tcPr>
            <w:tcW w:w="32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73"/>
              <w:spacing w:after="0"/>
              <w:rPr>
                <w:sz w:val="20"/>
                <w:szCs w:val="20"/>
                <w:color w:val="auto"/>
              </w:rPr>
            </w:pPr>
            <w:r>
              <w:rPr>
                <w:rFonts w:ascii="Arial" w:cs="Arial" w:eastAsia="Arial" w:hAnsi="Arial"/>
                <w:sz w:val="13"/>
                <w:szCs w:val="13"/>
                <w:color w:val="auto"/>
              </w:rPr>
              <w:t>553,993</w:t>
            </w:r>
          </w:p>
        </w:tc>
        <w:tc>
          <w:tcPr>
            <w:tcW w:w="38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233"/>
              <w:spacing w:after="0"/>
              <w:rPr>
                <w:sz w:val="20"/>
                <w:szCs w:val="20"/>
                <w:color w:val="auto"/>
              </w:rPr>
            </w:pPr>
            <w:r>
              <w:rPr>
                <w:rFonts w:ascii="Arial" w:cs="Arial" w:eastAsia="Arial" w:hAnsi="Arial"/>
                <w:sz w:val="13"/>
                <w:szCs w:val="13"/>
                <w:color w:val="auto"/>
              </w:rPr>
              <w:t>571,226</w:t>
            </w:r>
          </w:p>
        </w:tc>
        <w:tc>
          <w:tcPr>
            <w:tcW w:w="860" w:type="dxa"/>
            <w:vAlign w:val="bottom"/>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89"/>
        </w:trPr>
        <w:tc>
          <w:tcPr>
            <w:tcW w:w="3400" w:type="dxa"/>
            <w:vAlign w:val="bottom"/>
          </w:tcPr>
          <w:p>
            <w:pPr>
              <w:ind w:left="20"/>
              <w:spacing w:after="0"/>
              <w:rPr>
                <w:sz w:val="20"/>
                <w:szCs w:val="20"/>
                <w:color w:val="auto"/>
              </w:rPr>
            </w:pPr>
            <w:r>
              <w:rPr>
                <w:rFonts w:ascii="Arial" w:cs="Arial" w:eastAsia="Arial" w:hAnsi="Arial"/>
                <w:sz w:val="13"/>
                <w:szCs w:val="13"/>
                <w:b w:val="1"/>
                <w:bCs w:val="1"/>
                <w:color w:val="auto"/>
              </w:rPr>
              <w:t>Operating Income</w:t>
            </w:r>
          </w:p>
        </w:tc>
        <w:tc>
          <w:tcPr>
            <w:tcW w:w="32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73"/>
              <w:spacing w:after="0"/>
              <w:rPr>
                <w:sz w:val="20"/>
                <w:szCs w:val="20"/>
                <w:color w:val="auto"/>
              </w:rPr>
            </w:pPr>
            <w:r>
              <w:rPr>
                <w:rFonts w:ascii="Arial" w:cs="Arial" w:eastAsia="Arial" w:hAnsi="Arial"/>
                <w:sz w:val="13"/>
                <w:szCs w:val="13"/>
                <w:color w:val="auto"/>
              </w:rPr>
              <w:t>21,341</w:t>
            </w:r>
          </w:p>
        </w:tc>
        <w:tc>
          <w:tcPr>
            <w:tcW w:w="38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333"/>
              <w:spacing w:after="0"/>
              <w:rPr>
                <w:sz w:val="20"/>
                <w:szCs w:val="20"/>
                <w:color w:val="auto"/>
              </w:rPr>
            </w:pPr>
            <w:r>
              <w:rPr>
                <w:rFonts w:ascii="Arial" w:cs="Arial" w:eastAsia="Arial" w:hAnsi="Arial"/>
                <w:sz w:val="13"/>
                <w:szCs w:val="13"/>
                <w:color w:val="auto"/>
              </w:rPr>
              <w:t>46,091</w:t>
            </w:r>
          </w:p>
        </w:tc>
        <w:tc>
          <w:tcPr>
            <w:tcW w:w="740" w:type="dxa"/>
            <w:vAlign w:val="bottom"/>
          </w:tcPr>
          <w:p>
            <w:pPr>
              <w:jc w:val="right"/>
              <w:spacing w:after="0"/>
              <w:rPr>
                <w:sz w:val="20"/>
                <w:szCs w:val="20"/>
                <w:color w:val="auto"/>
              </w:rPr>
            </w:pPr>
            <w:r>
              <w:rPr>
                <w:rFonts w:ascii="Arial" w:cs="Arial" w:eastAsia="Arial" w:hAnsi="Arial"/>
                <w:sz w:val="13"/>
                <w:szCs w:val="13"/>
                <w:color w:val="auto"/>
              </w:rPr>
              <w:t>(54)</w:t>
            </w:r>
          </w:p>
        </w:tc>
        <w:tc>
          <w:tcPr>
            <w:tcW w:w="120" w:type="dxa"/>
            <w:vAlign w:val="bottom"/>
          </w:tcPr>
          <w:p>
            <w:pPr>
              <w:spacing w:after="0"/>
              <w:rPr>
                <w:sz w:val="16"/>
                <w:szCs w:val="16"/>
                <w:color w:val="auto"/>
              </w:rPr>
            </w:pPr>
          </w:p>
        </w:tc>
        <w:tc>
          <w:tcPr>
            <w:tcW w:w="32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73"/>
              <w:spacing w:after="0"/>
              <w:rPr>
                <w:sz w:val="20"/>
                <w:szCs w:val="20"/>
                <w:color w:val="auto"/>
              </w:rPr>
            </w:pPr>
            <w:r>
              <w:rPr>
                <w:rFonts w:ascii="Arial" w:cs="Arial" w:eastAsia="Arial" w:hAnsi="Arial"/>
                <w:sz w:val="13"/>
                <w:szCs w:val="13"/>
                <w:color w:val="auto"/>
              </w:rPr>
              <w:t>295,495</w:t>
            </w:r>
          </w:p>
        </w:tc>
        <w:tc>
          <w:tcPr>
            <w:tcW w:w="38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233"/>
              <w:spacing w:after="0"/>
              <w:rPr>
                <w:sz w:val="20"/>
                <w:szCs w:val="20"/>
                <w:color w:val="auto"/>
              </w:rPr>
            </w:pPr>
            <w:r>
              <w:rPr>
                <w:rFonts w:ascii="Arial" w:cs="Arial" w:eastAsia="Arial" w:hAnsi="Arial"/>
                <w:sz w:val="13"/>
                <w:szCs w:val="13"/>
                <w:color w:val="auto"/>
              </w:rPr>
              <w:t>241,849</w:t>
            </w: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89"/>
        </w:trPr>
        <w:tc>
          <w:tcPr>
            <w:tcW w:w="3400" w:type="dxa"/>
            <w:vAlign w:val="bottom"/>
          </w:tcPr>
          <w:p>
            <w:pPr>
              <w:ind w:left="20"/>
              <w:spacing w:after="0"/>
              <w:rPr>
                <w:sz w:val="20"/>
                <w:szCs w:val="20"/>
                <w:color w:val="auto"/>
              </w:rPr>
            </w:pPr>
            <w:r>
              <w:rPr>
                <w:rFonts w:ascii="Arial" w:cs="Arial" w:eastAsia="Arial" w:hAnsi="Arial"/>
                <w:sz w:val="13"/>
                <w:szCs w:val="13"/>
                <w:b w:val="1"/>
                <w:bCs w:val="1"/>
                <w:color w:val="auto"/>
              </w:rPr>
              <w:t>Operating Margin</w:t>
            </w:r>
          </w:p>
        </w:tc>
        <w:tc>
          <w:tcPr>
            <w:tcW w:w="320" w:type="dxa"/>
            <w:vAlign w:val="bottom"/>
          </w:tcPr>
          <w:p>
            <w:pPr>
              <w:spacing w:after="0"/>
              <w:rPr>
                <w:sz w:val="16"/>
                <w:szCs w:val="16"/>
                <w:color w:val="auto"/>
              </w:rPr>
            </w:pPr>
          </w:p>
        </w:tc>
        <w:tc>
          <w:tcPr>
            <w:tcW w:w="1080" w:type="dxa"/>
            <w:vAlign w:val="bottom"/>
          </w:tcPr>
          <w:p>
            <w:pPr>
              <w:jc w:val="right"/>
              <w:ind w:right="13"/>
              <w:spacing w:after="0"/>
              <w:rPr>
                <w:sz w:val="20"/>
                <w:szCs w:val="20"/>
                <w:color w:val="auto"/>
              </w:rPr>
            </w:pPr>
            <w:r>
              <w:rPr>
                <w:rFonts w:ascii="Arial" w:cs="Arial" w:eastAsia="Arial" w:hAnsi="Arial"/>
                <w:sz w:val="13"/>
                <w:szCs w:val="13"/>
                <w:color w:val="auto"/>
              </w:rPr>
              <w:t>3.2 %</w:t>
            </w:r>
          </w:p>
        </w:tc>
        <w:tc>
          <w:tcPr>
            <w:tcW w:w="380" w:type="dxa"/>
            <w:vAlign w:val="bottom"/>
          </w:tcPr>
          <w:p>
            <w:pPr>
              <w:spacing w:after="0"/>
              <w:rPr>
                <w:sz w:val="16"/>
                <w:szCs w:val="16"/>
                <w:color w:val="auto"/>
              </w:rPr>
            </w:pPr>
          </w:p>
        </w:tc>
        <w:tc>
          <w:tcPr>
            <w:tcW w:w="1240" w:type="dxa"/>
            <w:vAlign w:val="bottom"/>
          </w:tcPr>
          <w:p>
            <w:pPr>
              <w:jc w:val="right"/>
              <w:ind w:right="173"/>
              <w:spacing w:after="0"/>
              <w:rPr>
                <w:sz w:val="20"/>
                <w:szCs w:val="20"/>
                <w:color w:val="auto"/>
              </w:rPr>
            </w:pPr>
            <w:r>
              <w:rPr>
                <w:rFonts w:ascii="Arial" w:cs="Arial" w:eastAsia="Arial" w:hAnsi="Arial"/>
                <w:sz w:val="13"/>
                <w:szCs w:val="13"/>
                <w:color w:val="auto"/>
              </w:rPr>
              <w:t>7.1 %</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10.7 %</w:t>
            </w:r>
          </w:p>
        </w:tc>
        <w:tc>
          <w:tcPr>
            <w:tcW w:w="380" w:type="dxa"/>
            <w:vAlign w:val="bottom"/>
          </w:tcPr>
          <w:p>
            <w:pPr>
              <w:spacing w:after="0"/>
              <w:rPr>
                <w:sz w:val="16"/>
                <w:szCs w:val="16"/>
                <w:color w:val="auto"/>
              </w:rPr>
            </w:pPr>
          </w:p>
        </w:tc>
        <w:tc>
          <w:tcPr>
            <w:tcW w:w="1160" w:type="dxa"/>
            <w:vAlign w:val="bottom"/>
          </w:tcPr>
          <w:p>
            <w:pPr>
              <w:jc w:val="right"/>
              <w:ind w:right="53"/>
              <w:spacing w:after="0"/>
              <w:rPr>
                <w:sz w:val="20"/>
                <w:szCs w:val="20"/>
                <w:color w:val="auto"/>
              </w:rPr>
            </w:pPr>
            <w:r>
              <w:rPr>
                <w:rFonts w:ascii="Arial" w:cs="Arial" w:eastAsia="Arial" w:hAnsi="Arial"/>
                <w:sz w:val="13"/>
                <w:szCs w:val="13"/>
                <w:color w:val="auto"/>
              </w:rPr>
              <w:t>8.8 %</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400" w:type="dxa"/>
            <w:vAlign w:val="bottom"/>
          </w:tcPr>
          <w:p>
            <w:pPr>
              <w:ind w:left="20"/>
              <w:spacing w:after="0" w:line="139" w:lineRule="exact"/>
              <w:rPr>
                <w:sz w:val="20"/>
                <w:szCs w:val="20"/>
                <w:color w:val="auto"/>
              </w:rPr>
            </w:pPr>
            <w:r>
              <w:rPr>
                <w:rFonts w:ascii="Arial" w:cs="Arial" w:eastAsia="Arial" w:hAnsi="Arial"/>
                <w:sz w:val="13"/>
                <w:szCs w:val="13"/>
                <w:b w:val="1"/>
                <w:bCs w:val="1"/>
                <w:color w:val="auto"/>
              </w:rPr>
              <w:t>Net income (loss) attributable to common</w:t>
            </w:r>
          </w:p>
        </w:tc>
        <w:tc>
          <w:tcPr>
            <w:tcW w:w="320" w:type="dxa"/>
            <w:vAlign w:val="bottom"/>
            <w:vMerge w:val="restart"/>
          </w:tcPr>
          <w:p>
            <w:pPr>
              <w:jc w:val="right"/>
              <w:ind w:right="153"/>
              <w:spacing w:after="0"/>
              <w:rPr>
                <w:sz w:val="20"/>
                <w:szCs w:val="20"/>
                <w:color w:val="auto"/>
              </w:rPr>
            </w:pPr>
            <w:r>
              <w:rPr>
                <w:rFonts w:ascii="Arial" w:cs="Arial" w:eastAsia="Arial" w:hAnsi="Arial"/>
                <w:sz w:val="13"/>
                <w:szCs w:val="13"/>
                <w:color w:val="auto"/>
              </w:rPr>
              <w:t>$</w:t>
            </w:r>
          </w:p>
        </w:tc>
        <w:tc>
          <w:tcPr>
            <w:tcW w:w="1080" w:type="dxa"/>
            <w:vAlign w:val="bottom"/>
            <w:vMerge w:val="restart"/>
          </w:tcPr>
          <w:p>
            <w:pPr>
              <w:jc w:val="right"/>
              <w:ind w:right="133"/>
              <w:spacing w:after="0"/>
              <w:rPr>
                <w:sz w:val="20"/>
                <w:szCs w:val="20"/>
                <w:color w:val="auto"/>
              </w:rPr>
            </w:pPr>
            <w:r>
              <w:rPr>
                <w:rFonts w:ascii="Arial" w:cs="Arial" w:eastAsia="Arial" w:hAnsi="Arial"/>
                <w:sz w:val="13"/>
                <w:szCs w:val="13"/>
                <w:color w:val="auto"/>
              </w:rPr>
              <w:t>(103,099)</w:t>
            </w:r>
          </w:p>
        </w:tc>
        <w:tc>
          <w:tcPr>
            <w:tcW w:w="380" w:type="dxa"/>
            <w:vAlign w:val="bottom"/>
            <w:vMerge w:val="restart"/>
          </w:tcPr>
          <w:p>
            <w:pPr>
              <w:jc w:val="right"/>
              <w:ind w:right="153"/>
              <w:spacing w:after="0"/>
              <w:rPr>
                <w:sz w:val="20"/>
                <w:szCs w:val="20"/>
                <w:color w:val="auto"/>
              </w:rPr>
            </w:pPr>
            <w:r>
              <w:rPr>
                <w:rFonts w:ascii="Arial" w:cs="Arial" w:eastAsia="Arial" w:hAnsi="Arial"/>
                <w:sz w:val="13"/>
                <w:szCs w:val="13"/>
                <w:color w:val="auto"/>
              </w:rPr>
              <w:t>$</w:t>
            </w:r>
          </w:p>
        </w:tc>
        <w:tc>
          <w:tcPr>
            <w:tcW w:w="1240" w:type="dxa"/>
            <w:vAlign w:val="bottom"/>
            <w:vMerge w:val="restart"/>
          </w:tcPr>
          <w:p>
            <w:pPr>
              <w:jc w:val="right"/>
              <w:ind w:right="293"/>
              <w:spacing w:after="0"/>
              <w:rPr>
                <w:sz w:val="20"/>
                <w:szCs w:val="20"/>
                <w:color w:val="auto"/>
              </w:rPr>
            </w:pPr>
            <w:r>
              <w:rPr>
                <w:rFonts w:ascii="Arial" w:cs="Arial" w:eastAsia="Arial" w:hAnsi="Arial"/>
                <w:sz w:val="13"/>
                <w:szCs w:val="13"/>
                <w:color w:val="auto"/>
              </w:rPr>
              <w:t>(74,698)</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(38)</w:t>
            </w:r>
          </w:p>
        </w:tc>
        <w:tc>
          <w:tcPr>
            <w:tcW w:w="120" w:type="dxa"/>
            <w:vAlign w:val="bottom"/>
          </w:tcPr>
          <w:p>
            <w:pPr>
              <w:spacing w:after="0"/>
              <w:rPr>
                <w:sz w:val="12"/>
                <w:szCs w:val="12"/>
                <w:color w:val="auto"/>
              </w:rPr>
            </w:pPr>
          </w:p>
        </w:tc>
        <w:tc>
          <w:tcPr>
            <w:tcW w:w="320" w:type="dxa"/>
            <w:vAlign w:val="bottom"/>
            <w:vMerge w:val="restart"/>
          </w:tcPr>
          <w:p>
            <w:pPr>
              <w:jc w:val="right"/>
              <w:ind w:right="153"/>
              <w:spacing w:after="0"/>
              <w:rPr>
                <w:sz w:val="20"/>
                <w:szCs w:val="20"/>
                <w:color w:val="auto"/>
              </w:rPr>
            </w:pPr>
            <w:r>
              <w:rPr>
                <w:rFonts w:ascii="Arial" w:cs="Arial" w:eastAsia="Arial" w:hAnsi="Arial"/>
                <w:sz w:val="13"/>
                <w:szCs w:val="13"/>
                <w:color w:val="auto"/>
              </w:rPr>
              <w:t>$</w:t>
            </w:r>
          </w:p>
        </w:tc>
        <w:tc>
          <w:tcPr>
            <w:tcW w:w="1100" w:type="dxa"/>
            <w:vAlign w:val="bottom"/>
            <w:vMerge w:val="restart"/>
          </w:tcPr>
          <w:p>
            <w:pPr>
              <w:jc w:val="right"/>
              <w:ind w:right="173"/>
              <w:spacing w:after="0"/>
              <w:rPr>
                <w:sz w:val="20"/>
                <w:szCs w:val="20"/>
                <w:color w:val="auto"/>
              </w:rPr>
            </w:pPr>
            <w:r>
              <w:rPr>
                <w:rFonts w:ascii="Arial" w:cs="Arial" w:eastAsia="Arial" w:hAnsi="Arial"/>
                <w:sz w:val="13"/>
                <w:szCs w:val="13"/>
                <w:color w:val="auto"/>
              </w:rPr>
              <w:t>524,617</w:t>
            </w:r>
          </w:p>
        </w:tc>
        <w:tc>
          <w:tcPr>
            <w:tcW w:w="380" w:type="dxa"/>
            <w:vAlign w:val="bottom"/>
            <w:vMerge w:val="restart"/>
          </w:tcPr>
          <w:p>
            <w:pPr>
              <w:jc w:val="right"/>
              <w:ind w:right="153"/>
              <w:spacing w:after="0"/>
              <w:rPr>
                <w:sz w:val="20"/>
                <w:szCs w:val="20"/>
                <w:color w:val="auto"/>
              </w:rPr>
            </w:pPr>
            <w:r>
              <w:rPr>
                <w:rFonts w:ascii="Arial" w:cs="Arial" w:eastAsia="Arial" w:hAnsi="Arial"/>
                <w:sz w:val="13"/>
                <w:szCs w:val="13"/>
                <w:color w:val="auto"/>
              </w:rPr>
              <w:t>$</w:t>
            </w:r>
          </w:p>
        </w:tc>
        <w:tc>
          <w:tcPr>
            <w:tcW w:w="1160" w:type="dxa"/>
            <w:vAlign w:val="bottom"/>
            <w:vMerge w:val="restart"/>
          </w:tcPr>
          <w:p>
            <w:pPr>
              <w:jc w:val="right"/>
              <w:ind w:right="193"/>
              <w:spacing w:after="0"/>
              <w:rPr>
                <w:sz w:val="20"/>
                <w:szCs w:val="20"/>
                <w:color w:val="auto"/>
              </w:rPr>
            </w:pPr>
            <w:r>
              <w:rPr>
                <w:rFonts w:ascii="Arial" w:cs="Arial" w:eastAsia="Arial" w:hAnsi="Arial"/>
                <w:sz w:val="13"/>
                <w:szCs w:val="13"/>
                <w:color w:val="auto"/>
              </w:rPr>
              <w:t>(278,759)</w:t>
            </w:r>
          </w:p>
        </w:tc>
        <w:tc>
          <w:tcPr>
            <w:tcW w:w="860" w:type="dxa"/>
            <w:vAlign w:val="bottom"/>
            <w:vMerge w:val="restart"/>
          </w:tcPr>
          <w:p>
            <w:pPr>
              <w:jc w:val="right"/>
              <w:ind w:right="13"/>
              <w:spacing w:after="0"/>
              <w:rPr>
                <w:sz w:val="20"/>
                <w:szCs w:val="20"/>
                <w:color w:val="auto"/>
              </w:rPr>
            </w:pPr>
            <w:r>
              <w:rPr>
                <w:rFonts w:ascii="Arial" w:cs="Arial" w:eastAsia="Arial" w:hAnsi="Arial"/>
                <w:sz w:val="13"/>
                <w:szCs w:val="13"/>
                <w:color w:val="auto"/>
              </w:rPr>
              <w:t>288</w:t>
            </w:r>
          </w:p>
        </w:tc>
        <w:tc>
          <w:tcPr>
            <w:tcW w:w="0" w:type="dxa"/>
            <w:vAlign w:val="bottom"/>
          </w:tcPr>
          <w:p>
            <w:pPr>
              <w:spacing w:after="0"/>
              <w:rPr>
                <w:sz w:val="1"/>
                <w:szCs w:val="1"/>
                <w:color w:val="auto"/>
              </w:rPr>
            </w:pPr>
          </w:p>
        </w:tc>
      </w:tr>
      <w:tr>
        <w:trPr>
          <w:trHeight w:val="186"/>
        </w:trPr>
        <w:tc>
          <w:tcPr>
            <w:tcW w:w="3400" w:type="dxa"/>
            <w:vAlign w:val="bottom"/>
          </w:tcPr>
          <w:p>
            <w:pPr>
              <w:ind w:left="20"/>
              <w:spacing w:after="0"/>
              <w:rPr>
                <w:sz w:val="20"/>
                <w:szCs w:val="20"/>
                <w:color w:val="auto"/>
              </w:rPr>
            </w:pPr>
            <w:r>
              <w:rPr>
                <w:rFonts w:ascii="Arial" w:cs="Arial" w:eastAsia="Arial" w:hAnsi="Arial"/>
                <w:sz w:val="13"/>
                <w:szCs w:val="13"/>
                <w:b w:val="1"/>
                <w:bCs w:val="1"/>
                <w:color w:val="auto"/>
              </w:rPr>
              <w:t>stockholders</w:t>
            </w:r>
          </w:p>
        </w:tc>
        <w:tc>
          <w:tcPr>
            <w:tcW w:w="32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400" w:type="dxa"/>
            <w:vAlign w:val="bottom"/>
          </w:tcPr>
          <w:p>
            <w:pPr>
              <w:ind w:left="20"/>
              <w:spacing w:after="0" w:line="138" w:lineRule="exact"/>
              <w:rPr>
                <w:sz w:val="20"/>
                <w:szCs w:val="20"/>
                <w:color w:val="auto"/>
              </w:rPr>
            </w:pPr>
            <w:r>
              <w:rPr>
                <w:rFonts w:ascii="Arial" w:cs="Arial" w:eastAsia="Arial" w:hAnsi="Arial"/>
                <w:sz w:val="13"/>
                <w:szCs w:val="13"/>
                <w:b w:val="1"/>
                <w:bCs w:val="1"/>
                <w:color w:val="auto"/>
              </w:rPr>
              <w:t>Diluted net income (loss) per share attributable to</w:t>
            </w:r>
          </w:p>
        </w:tc>
        <w:tc>
          <w:tcPr>
            <w:tcW w:w="320" w:type="dxa"/>
            <w:vAlign w:val="bottom"/>
            <w:vMerge w:val="restart"/>
          </w:tcPr>
          <w:p>
            <w:pPr>
              <w:jc w:val="right"/>
              <w:ind w:right="153"/>
              <w:spacing w:after="0"/>
              <w:rPr>
                <w:sz w:val="20"/>
                <w:szCs w:val="20"/>
                <w:color w:val="auto"/>
              </w:rPr>
            </w:pPr>
            <w:r>
              <w:rPr>
                <w:rFonts w:ascii="Arial" w:cs="Arial" w:eastAsia="Arial" w:hAnsi="Arial"/>
                <w:sz w:val="13"/>
                <w:szCs w:val="13"/>
                <w:color w:val="auto"/>
              </w:rPr>
              <w:t>$</w:t>
            </w:r>
          </w:p>
        </w:tc>
        <w:tc>
          <w:tcPr>
            <w:tcW w:w="1080" w:type="dxa"/>
            <w:vAlign w:val="bottom"/>
            <w:vMerge w:val="restart"/>
          </w:tcPr>
          <w:p>
            <w:pPr>
              <w:jc w:val="right"/>
              <w:ind w:right="133"/>
              <w:spacing w:after="0"/>
              <w:rPr>
                <w:sz w:val="20"/>
                <w:szCs w:val="20"/>
                <w:color w:val="auto"/>
              </w:rPr>
            </w:pPr>
            <w:r>
              <w:rPr>
                <w:rFonts w:ascii="Arial" w:cs="Arial" w:eastAsia="Arial" w:hAnsi="Arial"/>
                <w:sz w:val="13"/>
                <w:szCs w:val="13"/>
                <w:color w:val="auto"/>
              </w:rPr>
              <w:t>(0.26)</w:t>
            </w:r>
          </w:p>
        </w:tc>
        <w:tc>
          <w:tcPr>
            <w:tcW w:w="380" w:type="dxa"/>
            <w:vAlign w:val="bottom"/>
            <w:vMerge w:val="restart"/>
          </w:tcPr>
          <w:p>
            <w:pPr>
              <w:jc w:val="right"/>
              <w:ind w:right="153"/>
              <w:spacing w:after="0"/>
              <w:rPr>
                <w:sz w:val="20"/>
                <w:szCs w:val="20"/>
                <w:color w:val="auto"/>
              </w:rPr>
            </w:pPr>
            <w:r>
              <w:rPr>
                <w:rFonts w:ascii="Arial" w:cs="Arial" w:eastAsia="Arial" w:hAnsi="Arial"/>
                <w:sz w:val="13"/>
                <w:szCs w:val="13"/>
                <w:color w:val="auto"/>
              </w:rPr>
              <w:t>$</w:t>
            </w:r>
          </w:p>
        </w:tc>
        <w:tc>
          <w:tcPr>
            <w:tcW w:w="1240" w:type="dxa"/>
            <w:vAlign w:val="bottom"/>
            <w:vMerge w:val="restart"/>
          </w:tcPr>
          <w:p>
            <w:pPr>
              <w:jc w:val="right"/>
              <w:ind w:right="293"/>
              <w:spacing w:after="0"/>
              <w:rPr>
                <w:sz w:val="20"/>
                <w:szCs w:val="20"/>
                <w:color w:val="auto"/>
              </w:rPr>
            </w:pPr>
            <w:r>
              <w:rPr>
                <w:rFonts w:ascii="Arial" w:cs="Arial" w:eastAsia="Arial" w:hAnsi="Arial"/>
                <w:sz w:val="13"/>
                <w:szCs w:val="13"/>
                <w:color w:val="auto"/>
              </w:rPr>
              <w:t>(0.20)</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(30)</w:t>
            </w:r>
          </w:p>
        </w:tc>
        <w:tc>
          <w:tcPr>
            <w:tcW w:w="120" w:type="dxa"/>
            <w:vAlign w:val="bottom"/>
          </w:tcPr>
          <w:p>
            <w:pPr>
              <w:spacing w:after="0"/>
              <w:rPr>
                <w:sz w:val="11"/>
                <w:szCs w:val="11"/>
                <w:color w:val="auto"/>
              </w:rPr>
            </w:pPr>
          </w:p>
        </w:tc>
        <w:tc>
          <w:tcPr>
            <w:tcW w:w="320" w:type="dxa"/>
            <w:vAlign w:val="bottom"/>
            <w:vMerge w:val="restart"/>
          </w:tcPr>
          <w:p>
            <w:pPr>
              <w:jc w:val="right"/>
              <w:ind w:right="153"/>
              <w:spacing w:after="0"/>
              <w:rPr>
                <w:sz w:val="20"/>
                <w:szCs w:val="20"/>
                <w:color w:val="auto"/>
              </w:rPr>
            </w:pPr>
            <w:r>
              <w:rPr>
                <w:rFonts w:ascii="Arial" w:cs="Arial" w:eastAsia="Arial" w:hAnsi="Arial"/>
                <w:sz w:val="13"/>
                <w:szCs w:val="13"/>
                <w:color w:val="auto"/>
              </w:rPr>
              <w:t>$</w:t>
            </w:r>
          </w:p>
        </w:tc>
        <w:tc>
          <w:tcPr>
            <w:tcW w:w="1100" w:type="dxa"/>
            <w:vAlign w:val="bottom"/>
            <w:vMerge w:val="restart"/>
          </w:tcPr>
          <w:p>
            <w:pPr>
              <w:jc w:val="right"/>
              <w:ind w:right="173"/>
              <w:spacing w:after="0"/>
              <w:rPr>
                <w:sz w:val="20"/>
                <w:szCs w:val="20"/>
                <w:color w:val="auto"/>
              </w:rPr>
            </w:pPr>
            <w:r>
              <w:rPr>
                <w:rFonts w:ascii="Arial" w:cs="Arial" w:eastAsia="Arial" w:hAnsi="Arial"/>
                <w:sz w:val="13"/>
                <w:szCs w:val="13"/>
                <w:color w:val="auto"/>
              </w:rPr>
              <w:t>1.34</w:t>
            </w:r>
          </w:p>
        </w:tc>
        <w:tc>
          <w:tcPr>
            <w:tcW w:w="380" w:type="dxa"/>
            <w:vAlign w:val="bottom"/>
            <w:vMerge w:val="restart"/>
          </w:tcPr>
          <w:p>
            <w:pPr>
              <w:jc w:val="right"/>
              <w:ind w:right="153"/>
              <w:spacing w:after="0"/>
              <w:rPr>
                <w:sz w:val="20"/>
                <w:szCs w:val="20"/>
                <w:color w:val="auto"/>
              </w:rPr>
            </w:pPr>
            <w:r>
              <w:rPr>
                <w:rFonts w:ascii="Arial" w:cs="Arial" w:eastAsia="Arial" w:hAnsi="Arial"/>
                <w:sz w:val="13"/>
                <w:szCs w:val="13"/>
                <w:color w:val="auto"/>
              </w:rPr>
              <w:t>$</w:t>
            </w:r>
          </w:p>
        </w:tc>
        <w:tc>
          <w:tcPr>
            <w:tcW w:w="1160" w:type="dxa"/>
            <w:vAlign w:val="bottom"/>
            <w:vMerge w:val="restart"/>
          </w:tcPr>
          <w:p>
            <w:pPr>
              <w:jc w:val="right"/>
              <w:ind w:right="193"/>
              <w:spacing w:after="0"/>
              <w:rPr>
                <w:sz w:val="20"/>
                <w:szCs w:val="20"/>
                <w:color w:val="auto"/>
              </w:rPr>
            </w:pPr>
            <w:r>
              <w:rPr>
                <w:rFonts w:ascii="Arial" w:cs="Arial" w:eastAsia="Arial" w:hAnsi="Arial"/>
                <w:sz w:val="13"/>
                <w:szCs w:val="13"/>
                <w:color w:val="auto"/>
              </w:rPr>
              <w:t>(0.73)</w:t>
            </w:r>
          </w:p>
        </w:tc>
        <w:tc>
          <w:tcPr>
            <w:tcW w:w="860" w:type="dxa"/>
            <w:vAlign w:val="bottom"/>
            <w:vMerge w:val="restart"/>
          </w:tcPr>
          <w:p>
            <w:pPr>
              <w:jc w:val="right"/>
              <w:ind w:right="13"/>
              <w:spacing w:after="0"/>
              <w:rPr>
                <w:sz w:val="20"/>
                <w:szCs w:val="20"/>
                <w:color w:val="auto"/>
              </w:rPr>
            </w:pPr>
            <w:r>
              <w:rPr>
                <w:rFonts w:ascii="Arial" w:cs="Arial" w:eastAsia="Arial" w:hAnsi="Arial"/>
                <w:sz w:val="13"/>
                <w:szCs w:val="13"/>
                <w:color w:val="auto"/>
              </w:rPr>
              <w:t>284</w:t>
            </w:r>
          </w:p>
        </w:tc>
        <w:tc>
          <w:tcPr>
            <w:tcW w:w="0" w:type="dxa"/>
            <w:vAlign w:val="bottom"/>
          </w:tcPr>
          <w:p>
            <w:pPr>
              <w:spacing w:after="0"/>
              <w:rPr>
                <w:sz w:val="1"/>
                <w:szCs w:val="1"/>
                <w:color w:val="auto"/>
              </w:rPr>
            </w:pPr>
          </w:p>
        </w:tc>
      </w:tr>
      <w:tr>
        <w:trPr>
          <w:trHeight w:val="186"/>
        </w:trPr>
        <w:tc>
          <w:tcPr>
            <w:tcW w:w="3400" w:type="dxa"/>
            <w:vAlign w:val="bottom"/>
          </w:tcPr>
          <w:p>
            <w:pPr>
              <w:ind w:left="20"/>
              <w:spacing w:after="0"/>
              <w:rPr>
                <w:sz w:val="20"/>
                <w:szCs w:val="20"/>
                <w:color w:val="auto"/>
              </w:rPr>
            </w:pPr>
            <w:r>
              <w:rPr>
                <w:rFonts w:ascii="Arial" w:cs="Arial" w:eastAsia="Arial" w:hAnsi="Arial"/>
                <w:sz w:val="13"/>
                <w:szCs w:val="13"/>
                <w:b w:val="1"/>
                <w:bCs w:val="1"/>
                <w:color w:val="auto"/>
              </w:rPr>
              <w:t>common stockholders (EPS)</w:t>
            </w:r>
          </w:p>
        </w:tc>
        <w:tc>
          <w:tcPr>
            <w:tcW w:w="32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400" w:type="dxa"/>
            <w:vAlign w:val="bottom"/>
          </w:tcPr>
          <w:p>
            <w:pPr>
              <w:ind w:left="20"/>
              <w:spacing w:after="0"/>
              <w:rPr>
                <w:sz w:val="20"/>
                <w:szCs w:val="20"/>
                <w:color w:val="auto"/>
              </w:rPr>
            </w:pPr>
            <w:r>
              <w:rPr>
                <w:rFonts w:ascii="Arial" w:cs="Arial" w:eastAsia="Arial" w:hAnsi="Arial"/>
                <w:sz w:val="13"/>
                <w:szCs w:val="13"/>
                <w:b w:val="1"/>
                <w:bCs w:val="1"/>
                <w:color w:val="auto"/>
              </w:rPr>
              <w:t>Net Income (Loss) Margin</w:t>
            </w:r>
          </w:p>
        </w:tc>
        <w:tc>
          <w:tcPr>
            <w:tcW w:w="320" w:type="dxa"/>
            <w:vAlign w:val="bottom"/>
          </w:tcPr>
          <w:p>
            <w:pPr>
              <w:spacing w:after="0"/>
              <w:rPr>
                <w:sz w:val="16"/>
                <w:szCs w:val="16"/>
                <w:color w:val="auto"/>
              </w:rPr>
            </w:pPr>
          </w:p>
        </w:tc>
        <w:tc>
          <w:tcPr>
            <w:tcW w:w="1080" w:type="dxa"/>
            <w:vAlign w:val="bottom"/>
          </w:tcPr>
          <w:p>
            <w:pPr>
              <w:jc w:val="right"/>
              <w:ind w:right="13"/>
              <w:spacing w:after="0"/>
              <w:rPr>
                <w:sz w:val="20"/>
                <w:szCs w:val="20"/>
                <w:color w:val="auto"/>
              </w:rPr>
            </w:pPr>
            <w:r>
              <w:rPr>
                <w:rFonts w:ascii="Arial" w:cs="Arial" w:eastAsia="Arial" w:hAnsi="Arial"/>
                <w:sz w:val="13"/>
                <w:szCs w:val="13"/>
                <w:color w:val="auto"/>
              </w:rPr>
              <w:t>(15.5)%</w:t>
            </w:r>
          </w:p>
        </w:tc>
        <w:tc>
          <w:tcPr>
            <w:tcW w:w="380" w:type="dxa"/>
            <w:vAlign w:val="bottom"/>
          </w:tcPr>
          <w:p>
            <w:pPr>
              <w:spacing w:after="0"/>
              <w:rPr>
                <w:sz w:val="16"/>
                <w:szCs w:val="16"/>
                <w:color w:val="auto"/>
              </w:rPr>
            </w:pPr>
          </w:p>
        </w:tc>
        <w:tc>
          <w:tcPr>
            <w:tcW w:w="1240" w:type="dxa"/>
            <w:vAlign w:val="bottom"/>
          </w:tcPr>
          <w:p>
            <w:pPr>
              <w:jc w:val="right"/>
              <w:ind w:right="173"/>
              <w:spacing w:after="0"/>
              <w:rPr>
                <w:sz w:val="20"/>
                <w:szCs w:val="20"/>
                <w:color w:val="auto"/>
              </w:rPr>
            </w:pPr>
            <w:r>
              <w:rPr>
                <w:rFonts w:ascii="Arial" w:cs="Arial" w:eastAsia="Arial" w:hAnsi="Arial"/>
                <w:sz w:val="13"/>
                <w:szCs w:val="13"/>
                <w:color w:val="auto"/>
              </w:rPr>
              <w:t>(11.6)%</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18.9 %</w:t>
            </w:r>
          </w:p>
        </w:tc>
        <w:tc>
          <w:tcPr>
            <w:tcW w:w="380" w:type="dxa"/>
            <w:vAlign w:val="bottom"/>
          </w:tcPr>
          <w:p>
            <w:pPr>
              <w:spacing w:after="0"/>
              <w:rPr>
                <w:sz w:val="16"/>
                <w:szCs w:val="16"/>
                <w:color w:val="auto"/>
              </w:rPr>
            </w:pPr>
          </w:p>
        </w:tc>
        <w:tc>
          <w:tcPr>
            <w:tcW w:w="1160" w:type="dxa"/>
            <w:vAlign w:val="bottom"/>
          </w:tcPr>
          <w:p>
            <w:pPr>
              <w:jc w:val="right"/>
              <w:ind w:right="53"/>
              <w:spacing w:after="0"/>
              <w:rPr>
                <w:sz w:val="20"/>
                <w:szCs w:val="20"/>
                <w:color w:val="auto"/>
              </w:rPr>
            </w:pPr>
            <w:r>
              <w:rPr>
                <w:rFonts w:ascii="Arial" w:cs="Arial" w:eastAsia="Arial" w:hAnsi="Arial"/>
                <w:sz w:val="13"/>
                <w:szCs w:val="13"/>
                <w:color w:val="auto"/>
              </w:rPr>
              <w:t>(10.2)%</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0" w:type="dxa"/>
            <w:vAlign w:val="bottom"/>
          </w:tcPr>
          <w:p>
            <w:pPr>
              <w:ind w:left="20"/>
              <w:spacing w:after="0" w:line="189" w:lineRule="exact"/>
              <w:rPr>
                <w:sz w:val="20"/>
                <w:szCs w:val="20"/>
                <w:color w:val="auto"/>
              </w:rPr>
            </w:pPr>
            <w:r>
              <w:rPr>
                <w:rFonts w:ascii="Arial" w:cs="Arial" w:eastAsia="Arial" w:hAnsi="Arial"/>
                <w:sz w:val="13"/>
                <w:szCs w:val="13"/>
                <w:b w:val="1"/>
                <w:bCs w:val="1"/>
                <w:color w:val="auto"/>
              </w:rPr>
              <w:t>Adjusted EBITDA</w:t>
            </w:r>
            <w:r>
              <w:rPr>
                <w:rFonts w:ascii="Arial" w:cs="Arial" w:eastAsia="Arial" w:hAnsi="Arial"/>
                <w:sz w:val="17"/>
                <w:szCs w:val="17"/>
                <w:b w:val="1"/>
                <w:bCs w:val="1"/>
                <w:color w:val="auto"/>
                <w:vertAlign w:val="superscript"/>
              </w:rPr>
              <w:t>(1)</w:t>
            </w:r>
          </w:p>
        </w:tc>
        <w:tc>
          <w:tcPr>
            <w:tcW w:w="32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73"/>
              <w:spacing w:after="0"/>
              <w:rPr>
                <w:sz w:val="20"/>
                <w:szCs w:val="20"/>
                <w:color w:val="auto"/>
              </w:rPr>
            </w:pPr>
            <w:r>
              <w:rPr>
                <w:rFonts w:ascii="Arial" w:cs="Arial" w:eastAsia="Arial" w:hAnsi="Arial"/>
                <w:sz w:val="13"/>
                <w:szCs w:val="13"/>
                <w:color w:val="auto"/>
              </w:rPr>
              <w:t>110,482</w:t>
            </w:r>
          </w:p>
        </w:tc>
        <w:tc>
          <w:tcPr>
            <w:tcW w:w="38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333"/>
              <w:spacing w:after="0"/>
              <w:rPr>
                <w:sz w:val="20"/>
                <w:szCs w:val="20"/>
                <w:color w:val="auto"/>
              </w:rPr>
            </w:pPr>
            <w:r>
              <w:rPr>
                <w:rFonts w:ascii="Arial" w:cs="Arial" w:eastAsia="Arial" w:hAnsi="Arial"/>
                <w:sz w:val="13"/>
                <w:szCs w:val="13"/>
                <w:color w:val="auto"/>
              </w:rPr>
              <w:t>98,292</w:t>
            </w:r>
          </w:p>
        </w:tc>
        <w:tc>
          <w:tcPr>
            <w:tcW w:w="740" w:type="dxa"/>
            <w:vAlign w:val="bottom"/>
          </w:tcPr>
          <w:p>
            <w:pPr>
              <w:jc w:val="right"/>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16"/>
                <w:szCs w:val="16"/>
                <w:color w:val="auto"/>
              </w:rPr>
            </w:pPr>
          </w:p>
        </w:tc>
        <w:tc>
          <w:tcPr>
            <w:tcW w:w="32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73"/>
              <w:spacing w:after="0"/>
              <w:rPr>
                <w:sz w:val="20"/>
                <w:szCs w:val="20"/>
                <w:color w:val="auto"/>
              </w:rPr>
            </w:pPr>
            <w:r>
              <w:rPr>
                <w:rFonts w:ascii="Arial" w:cs="Arial" w:eastAsia="Arial" w:hAnsi="Arial"/>
                <w:sz w:val="13"/>
                <w:szCs w:val="13"/>
                <w:color w:val="auto"/>
              </w:rPr>
              <w:t>500,190</w:t>
            </w:r>
          </w:p>
        </w:tc>
        <w:tc>
          <w:tcPr>
            <w:tcW w:w="38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233"/>
              <w:spacing w:after="0"/>
              <w:rPr>
                <w:sz w:val="20"/>
                <w:szCs w:val="20"/>
                <w:color w:val="auto"/>
              </w:rPr>
            </w:pPr>
            <w:r>
              <w:rPr>
                <w:rFonts w:ascii="Arial" w:cs="Arial" w:eastAsia="Arial" w:hAnsi="Arial"/>
                <w:sz w:val="13"/>
                <w:szCs w:val="13"/>
                <w:color w:val="auto"/>
              </w:rPr>
              <w:t>447,186</w:t>
            </w: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89"/>
        </w:trPr>
        <w:tc>
          <w:tcPr>
            <w:tcW w:w="3400" w:type="dxa"/>
            <w:vAlign w:val="bottom"/>
          </w:tcPr>
          <w:p>
            <w:pPr>
              <w:ind w:left="20"/>
              <w:spacing w:after="0" w:line="189" w:lineRule="exact"/>
              <w:rPr>
                <w:sz w:val="20"/>
                <w:szCs w:val="20"/>
                <w:color w:val="auto"/>
              </w:rPr>
            </w:pPr>
            <w:r>
              <w:rPr>
                <w:rFonts w:ascii="Arial" w:cs="Arial" w:eastAsia="Arial" w:hAnsi="Arial"/>
                <w:sz w:val="13"/>
                <w:szCs w:val="13"/>
                <w:b w:val="1"/>
                <w:bCs w:val="1"/>
                <w:color w:val="auto"/>
              </w:rPr>
              <w:t>Adjusted EBITDA Margin</w:t>
            </w:r>
            <w:r>
              <w:rPr>
                <w:rFonts w:ascii="Arial" w:cs="Arial" w:eastAsia="Arial" w:hAnsi="Arial"/>
                <w:sz w:val="17"/>
                <w:szCs w:val="17"/>
                <w:b w:val="1"/>
                <w:bCs w:val="1"/>
                <w:color w:val="auto"/>
                <w:vertAlign w:val="superscript"/>
              </w:rPr>
              <w:t>(1)</w:t>
            </w:r>
          </w:p>
        </w:tc>
        <w:tc>
          <w:tcPr>
            <w:tcW w:w="320" w:type="dxa"/>
            <w:vAlign w:val="bottom"/>
          </w:tcPr>
          <w:p>
            <w:pPr>
              <w:spacing w:after="0"/>
              <w:rPr>
                <w:sz w:val="16"/>
                <w:szCs w:val="16"/>
                <w:color w:val="auto"/>
              </w:rPr>
            </w:pPr>
          </w:p>
        </w:tc>
        <w:tc>
          <w:tcPr>
            <w:tcW w:w="1080" w:type="dxa"/>
            <w:vAlign w:val="bottom"/>
          </w:tcPr>
          <w:p>
            <w:pPr>
              <w:jc w:val="right"/>
              <w:ind w:right="13"/>
              <w:spacing w:after="0"/>
              <w:rPr>
                <w:sz w:val="20"/>
                <w:szCs w:val="20"/>
                <w:color w:val="auto"/>
              </w:rPr>
            </w:pPr>
            <w:r>
              <w:rPr>
                <w:rFonts w:ascii="Arial" w:cs="Arial" w:eastAsia="Arial" w:hAnsi="Arial"/>
                <w:sz w:val="13"/>
                <w:szCs w:val="13"/>
                <w:color w:val="auto"/>
              </w:rPr>
              <w:t>16.6 %</w:t>
            </w:r>
          </w:p>
        </w:tc>
        <w:tc>
          <w:tcPr>
            <w:tcW w:w="380" w:type="dxa"/>
            <w:vAlign w:val="bottom"/>
          </w:tcPr>
          <w:p>
            <w:pPr>
              <w:spacing w:after="0"/>
              <w:rPr>
                <w:sz w:val="16"/>
                <w:szCs w:val="16"/>
                <w:color w:val="auto"/>
              </w:rPr>
            </w:pPr>
          </w:p>
        </w:tc>
        <w:tc>
          <w:tcPr>
            <w:tcW w:w="1240" w:type="dxa"/>
            <w:vAlign w:val="bottom"/>
          </w:tcPr>
          <w:p>
            <w:pPr>
              <w:jc w:val="right"/>
              <w:ind w:right="173"/>
              <w:spacing w:after="0"/>
              <w:rPr>
                <w:sz w:val="20"/>
                <w:szCs w:val="20"/>
                <w:color w:val="auto"/>
              </w:rPr>
            </w:pPr>
            <w:r>
              <w:rPr>
                <w:rFonts w:ascii="Arial" w:cs="Arial" w:eastAsia="Arial" w:hAnsi="Arial"/>
                <w:sz w:val="13"/>
                <w:szCs w:val="13"/>
                <w:color w:val="auto"/>
              </w:rPr>
              <w:t>15.2 %</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18.1 %</w:t>
            </w:r>
          </w:p>
        </w:tc>
        <w:tc>
          <w:tcPr>
            <w:tcW w:w="380" w:type="dxa"/>
            <w:vAlign w:val="bottom"/>
          </w:tcPr>
          <w:p>
            <w:pPr>
              <w:spacing w:after="0"/>
              <w:rPr>
                <w:sz w:val="16"/>
                <w:szCs w:val="16"/>
                <w:color w:val="auto"/>
              </w:rPr>
            </w:pPr>
          </w:p>
        </w:tc>
        <w:tc>
          <w:tcPr>
            <w:tcW w:w="1160" w:type="dxa"/>
            <w:vAlign w:val="bottom"/>
          </w:tcPr>
          <w:p>
            <w:pPr>
              <w:jc w:val="right"/>
              <w:ind w:right="53"/>
              <w:spacing w:after="0"/>
              <w:rPr>
                <w:sz w:val="20"/>
                <w:szCs w:val="20"/>
                <w:color w:val="auto"/>
              </w:rPr>
            </w:pPr>
            <w:r>
              <w:rPr>
                <w:rFonts w:ascii="Arial" w:cs="Arial" w:eastAsia="Arial" w:hAnsi="Arial"/>
                <w:sz w:val="13"/>
                <w:szCs w:val="13"/>
                <w:color w:val="auto"/>
              </w:rPr>
              <w:t>16.3 %</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0" w:type="dxa"/>
            <w:vAlign w:val="bottom"/>
          </w:tcPr>
          <w:p>
            <w:pPr>
              <w:ind w:left="20"/>
              <w:spacing w:after="0" w:line="189" w:lineRule="exact"/>
              <w:rPr>
                <w:sz w:val="20"/>
                <w:szCs w:val="20"/>
                <w:color w:val="auto"/>
              </w:rPr>
            </w:pPr>
            <w:r>
              <w:rPr>
                <w:rFonts w:ascii="Arial" w:cs="Arial" w:eastAsia="Arial" w:hAnsi="Arial"/>
                <w:sz w:val="13"/>
                <w:szCs w:val="13"/>
                <w:b w:val="1"/>
                <w:bCs w:val="1"/>
                <w:color w:val="auto"/>
              </w:rPr>
              <w:t>Normalized Adjusted EBITDA</w:t>
            </w:r>
            <w:r>
              <w:rPr>
                <w:rFonts w:ascii="Arial" w:cs="Arial" w:eastAsia="Arial" w:hAnsi="Arial"/>
                <w:sz w:val="17"/>
                <w:szCs w:val="17"/>
                <w:b w:val="1"/>
                <w:bCs w:val="1"/>
                <w:color w:val="auto"/>
                <w:vertAlign w:val="superscript"/>
              </w:rPr>
              <w:t>(1)</w:t>
            </w:r>
          </w:p>
        </w:tc>
        <w:tc>
          <w:tcPr>
            <w:tcW w:w="32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73"/>
              <w:spacing w:after="0"/>
              <w:rPr>
                <w:sz w:val="20"/>
                <w:szCs w:val="20"/>
                <w:color w:val="auto"/>
              </w:rPr>
            </w:pPr>
            <w:r>
              <w:rPr>
                <w:rFonts w:ascii="Arial" w:cs="Arial" w:eastAsia="Arial" w:hAnsi="Arial"/>
                <w:sz w:val="13"/>
                <w:szCs w:val="13"/>
                <w:color w:val="auto"/>
              </w:rPr>
              <w:t>118,717</w:t>
            </w:r>
          </w:p>
        </w:tc>
        <w:tc>
          <w:tcPr>
            <w:tcW w:w="38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333"/>
              <w:spacing w:after="0"/>
              <w:rPr>
                <w:sz w:val="20"/>
                <w:szCs w:val="20"/>
                <w:color w:val="auto"/>
              </w:rPr>
            </w:pPr>
            <w:r>
              <w:rPr>
                <w:rFonts w:ascii="Arial" w:cs="Arial" w:eastAsia="Arial" w:hAnsi="Arial"/>
                <w:sz w:val="13"/>
                <w:szCs w:val="13"/>
                <w:color w:val="auto"/>
              </w:rPr>
              <w:t>107,930</w:t>
            </w:r>
          </w:p>
        </w:tc>
        <w:tc>
          <w:tcPr>
            <w:tcW w:w="740" w:type="dxa"/>
            <w:vAlign w:val="bottom"/>
          </w:tcPr>
          <w:p>
            <w:pPr>
              <w:jc w:val="right"/>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6"/>
                <w:szCs w:val="16"/>
                <w:color w:val="auto"/>
              </w:rPr>
            </w:pPr>
          </w:p>
        </w:tc>
        <w:tc>
          <w:tcPr>
            <w:tcW w:w="32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73"/>
              <w:spacing w:after="0"/>
              <w:rPr>
                <w:sz w:val="20"/>
                <w:szCs w:val="20"/>
                <w:color w:val="auto"/>
              </w:rPr>
            </w:pPr>
            <w:r>
              <w:rPr>
                <w:rFonts w:ascii="Arial" w:cs="Arial" w:eastAsia="Arial" w:hAnsi="Arial"/>
                <w:sz w:val="13"/>
                <w:szCs w:val="13"/>
                <w:color w:val="auto"/>
              </w:rPr>
              <w:t>535,581</w:t>
            </w:r>
          </w:p>
        </w:tc>
        <w:tc>
          <w:tcPr>
            <w:tcW w:w="38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233"/>
              <w:spacing w:after="0"/>
              <w:rPr>
                <w:sz w:val="20"/>
                <w:szCs w:val="20"/>
                <w:color w:val="auto"/>
              </w:rPr>
            </w:pPr>
            <w:r>
              <w:rPr>
                <w:rFonts w:ascii="Arial" w:cs="Arial" w:eastAsia="Arial" w:hAnsi="Arial"/>
                <w:sz w:val="13"/>
                <w:szCs w:val="13"/>
                <w:color w:val="auto"/>
              </w:rPr>
              <w:t>484,964</w:t>
            </w: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89"/>
        </w:trPr>
        <w:tc>
          <w:tcPr>
            <w:tcW w:w="3400" w:type="dxa"/>
            <w:vAlign w:val="bottom"/>
          </w:tcPr>
          <w:p>
            <w:pPr>
              <w:ind w:left="20"/>
              <w:spacing w:after="0" w:line="189" w:lineRule="exact"/>
              <w:rPr>
                <w:sz w:val="20"/>
                <w:szCs w:val="20"/>
                <w:color w:val="auto"/>
              </w:rPr>
            </w:pPr>
            <w:r>
              <w:rPr>
                <w:rFonts w:ascii="Arial" w:cs="Arial" w:eastAsia="Arial" w:hAnsi="Arial"/>
                <w:sz w:val="13"/>
                <w:szCs w:val="13"/>
                <w:b w:val="1"/>
                <w:bCs w:val="1"/>
                <w:color w:val="auto"/>
              </w:rPr>
              <w:t>Normalized Adjusted EBITDA Margin</w:t>
            </w:r>
            <w:r>
              <w:rPr>
                <w:rFonts w:ascii="Arial" w:cs="Arial" w:eastAsia="Arial" w:hAnsi="Arial"/>
                <w:sz w:val="17"/>
                <w:szCs w:val="17"/>
                <w:b w:val="1"/>
                <w:bCs w:val="1"/>
                <w:color w:val="auto"/>
                <w:vertAlign w:val="superscript"/>
              </w:rPr>
              <w:t>(1)</w:t>
            </w:r>
          </w:p>
        </w:tc>
        <w:tc>
          <w:tcPr>
            <w:tcW w:w="320" w:type="dxa"/>
            <w:vAlign w:val="bottom"/>
          </w:tcPr>
          <w:p>
            <w:pPr>
              <w:spacing w:after="0"/>
              <w:rPr>
                <w:sz w:val="16"/>
                <w:szCs w:val="16"/>
                <w:color w:val="auto"/>
              </w:rPr>
            </w:pPr>
          </w:p>
        </w:tc>
        <w:tc>
          <w:tcPr>
            <w:tcW w:w="1080" w:type="dxa"/>
            <w:vAlign w:val="bottom"/>
          </w:tcPr>
          <w:p>
            <w:pPr>
              <w:jc w:val="right"/>
              <w:ind w:right="13"/>
              <w:spacing w:after="0"/>
              <w:rPr>
                <w:sz w:val="20"/>
                <w:szCs w:val="20"/>
                <w:color w:val="auto"/>
              </w:rPr>
            </w:pPr>
            <w:r>
              <w:rPr>
                <w:rFonts w:ascii="Arial" w:cs="Arial" w:eastAsia="Arial" w:hAnsi="Arial"/>
                <w:sz w:val="13"/>
                <w:szCs w:val="13"/>
                <w:color w:val="auto"/>
              </w:rPr>
              <w:t>17.8 %</w:t>
            </w:r>
          </w:p>
        </w:tc>
        <w:tc>
          <w:tcPr>
            <w:tcW w:w="380" w:type="dxa"/>
            <w:vAlign w:val="bottom"/>
          </w:tcPr>
          <w:p>
            <w:pPr>
              <w:spacing w:after="0"/>
              <w:rPr>
                <w:sz w:val="16"/>
                <w:szCs w:val="16"/>
                <w:color w:val="auto"/>
              </w:rPr>
            </w:pPr>
          </w:p>
        </w:tc>
        <w:tc>
          <w:tcPr>
            <w:tcW w:w="1240" w:type="dxa"/>
            <w:vAlign w:val="bottom"/>
          </w:tcPr>
          <w:p>
            <w:pPr>
              <w:jc w:val="right"/>
              <w:ind w:right="173"/>
              <w:spacing w:after="0"/>
              <w:rPr>
                <w:sz w:val="20"/>
                <w:szCs w:val="20"/>
                <w:color w:val="auto"/>
              </w:rPr>
            </w:pPr>
            <w:r>
              <w:rPr>
                <w:rFonts w:ascii="Arial" w:cs="Arial" w:eastAsia="Arial" w:hAnsi="Arial"/>
                <w:sz w:val="13"/>
                <w:szCs w:val="13"/>
                <w:color w:val="auto"/>
              </w:rPr>
              <w:t>16.7 %</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19.3 %</w:t>
            </w:r>
          </w:p>
        </w:tc>
        <w:tc>
          <w:tcPr>
            <w:tcW w:w="380" w:type="dxa"/>
            <w:vAlign w:val="bottom"/>
          </w:tcPr>
          <w:p>
            <w:pPr>
              <w:spacing w:after="0"/>
              <w:rPr>
                <w:sz w:val="16"/>
                <w:szCs w:val="16"/>
                <w:color w:val="auto"/>
              </w:rPr>
            </w:pPr>
          </w:p>
        </w:tc>
        <w:tc>
          <w:tcPr>
            <w:tcW w:w="1160" w:type="dxa"/>
            <w:vAlign w:val="bottom"/>
          </w:tcPr>
          <w:p>
            <w:pPr>
              <w:jc w:val="right"/>
              <w:ind w:right="53"/>
              <w:spacing w:after="0"/>
              <w:rPr>
                <w:sz w:val="20"/>
                <w:szCs w:val="20"/>
                <w:color w:val="auto"/>
              </w:rPr>
            </w:pPr>
            <w:r>
              <w:rPr>
                <w:rFonts w:ascii="Arial" w:cs="Arial" w:eastAsia="Arial" w:hAnsi="Arial"/>
                <w:sz w:val="13"/>
                <w:szCs w:val="13"/>
                <w:color w:val="auto"/>
              </w:rPr>
              <w:t>17.7 %</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0" w:type="dxa"/>
            <w:vAlign w:val="bottom"/>
          </w:tcPr>
          <w:p>
            <w:pPr>
              <w:ind w:left="20"/>
              <w:spacing w:after="0" w:line="189" w:lineRule="exact"/>
              <w:rPr>
                <w:sz w:val="20"/>
                <w:szCs w:val="20"/>
                <w:color w:val="auto"/>
              </w:rPr>
            </w:pPr>
            <w:r>
              <w:rPr>
                <w:rFonts w:ascii="Arial" w:cs="Arial" w:eastAsia="Arial" w:hAnsi="Arial"/>
                <w:sz w:val="13"/>
                <w:szCs w:val="13"/>
                <w:b w:val="1"/>
                <w:bCs w:val="1"/>
                <w:color w:val="auto"/>
              </w:rPr>
              <w:t>Adjusted Net Loss</w:t>
            </w:r>
            <w:r>
              <w:rPr>
                <w:rFonts w:ascii="Arial" w:cs="Arial" w:eastAsia="Arial" w:hAnsi="Arial"/>
                <w:sz w:val="17"/>
                <w:szCs w:val="17"/>
                <w:b w:val="1"/>
                <w:bCs w:val="1"/>
                <w:color w:val="auto"/>
                <w:vertAlign w:val="superscript"/>
              </w:rPr>
              <w:t>(1)</w:t>
            </w:r>
          </w:p>
        </w:tc>
        <w:tc>
          <w:tcPr>
            <w:tcW w:w="32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33"/>
              <w:spacing w:after="0"/>
              <w:rPr>
                <w:sz w:val="20"/>
                <w:szCs w:val="20"/>
                <w:color w:val="auto"/>
              </w:rPr>
            </w:pPr>
            <w:r>
              <w:rPr>
                <w:rFonts w:ascii="Arial" w:cs="Arial" w:eastAsia="Arial" w:hAnsi="Arial"/>
                <w:sz w:val="13"/>
                <w:szCs w:val="13"/>
                <w:color w:val="auto"/>
              </w:rPr>
              <w:t>(4,918)</w:t>
            </w:r>
          </w:p>
        </w:tc>
        <w:tc>
          <w:tcPr>
            <w:tcW w:w="38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293"/>
              <w:spacing w:after="0"/>
              <w:rPr>
                <w:sz w:val="20"/>
                <w:szCs w:val="20"/>
                <w:color w:val="auto"/>
              </w:rPr>
            </w:pPr>
            <w:r>
              <w:rPr>
                <w:rFonts w:ascii="Arial" w:cs="Arial" w:eastAsia="Arial" w:hAnsi="Arial"/>
                <w:sz w:val="13"/>
                <w:szCs w:val="13"/>
                <w:color w:val="auto"/>
              </w:rPr>
              <w:t>(29,506)</w:t>
            </w:r>
          </w:p>
        </w:tc>
        <w:tc>
          <w:tcPr>
            <w:tcW w:w="740" w:type="dxa"/>
            <w:vAlign w:val="bottom"/>
          </w:tcPr>
          <w:p>
            <w:pPr>
              <w:jc w:val="right"/>
              <w:spacing w:after="0"/>
              <w:rPr>
                <w:sz w:val="20"/>
                <w:szCs w:val="20"/>
                <w:color w:val="auto"/>
              </w:rPr>
            </w:pPr>
            <w:r>
              <w:rPr>
                <w:rFonts w:ascii="Arial" w:cs="Arial" w:eastAsia="Arial" w:hAnsi="Arial"/>
                <w:sz w:val="13"/>
                <w:szCs w:val="13"/>
                <w:color w:val="auto"/>
              </w:rPr>
              <w:t>83</w:t>
            </w:r>
          </w:p>
        </w:tc>
        <w:tc>
          <w:tcPr>
            <w:tcW w:w="120" w:type="dxa"/>
            <w:vAlign w:val="bottom"/>
          </w:tcPr>
          <w:p>
            <w:pPr>
              <w:spacing w:after="0"/>
              <w:rPr>
                <w:sz w:val="16"/>
                <w:szCs w:val="16"/>
                <w:color w:val="auto"/>
              </w:rPr>
            </w:pPr>
          </w:p>
        </w:tc>
        <w:tc>
          <w:tcPr>
            <w:tcW w:w="32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33"/>
              <w:spacing w:after="0"/>
              <w:rPr>
                <w:sz w:val="20"/>
                <w:szCs w:val="20"/>
                <w:color w:val="auto"/>
              </w:rPr>
            </w:pPr>
            <w:r>
              <w:rPr>
                <w:rFonts w:ascii="Arial" w:cs="Arial" w:eastAsia="Arial" w:hAnsi="Arial"/>
                <w:sz w:val="13"/>
                <w:szCs w:val="13"/>
                <w:color w:val="auto"/>
              </w:rPr>
              <w:t>(14,835)</w:t>
            </w:r>
          </w:p>
        </w:tc>
        <w:tc>
          <w:tcPr>
            <w:tcW w:w="38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193"/>
              <w:spacing w:after="0"/>
              <w:rPr>
                <w:sz w:val="20"/>
                <w:szCs w:val="20"/>
                <w:color w:val="auto"/>
              </w:rPr>
            </w:pPr>
            <w:r>
              <w:rPr>
                <w:rFonts w:ascii="Arial" w:cs="Arial" w:eastAsia="Arial" w:hAnsi="Arial"/>
                <w:sz w:val="13"/>
                <w:szCs w:val="13"/>
                <w:color w:val="auto"/>
              </w:rPr>
              <w:t>(75,858)</w:t>
            </w: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r>
        <w:trPr>
          <w:trHeight w:val="194"/>
        </w:trPr>
        <w:tc>
          <w:tcPr>
            <w:tcW w:w="3400" w:type="dxa"/>
            <w:vAlign w:val="bottom"/>
          </w:tcPr>
          <w:p>
            <w:pPr>
              <w:ind w:left="20"/>
              <w:spacing w:after="0" w:line="194" w:lineRule="exact"/>
              <w:rPr>
                <w:sz w:val="20"/>
                <w:szCs w:val="20"/>
                <w:color w:val="auto"/>
              </w:rPr>
            </w:pPr>
            <w:r>
              <w:rPr>
                <w:rFonts w:ascii="Arial" w:cs="Arial" w:eastAsia="Arial" w:hAnsi="Arial"/>
                <w:sz w:val="13"/>
                <w:szCs w:val="13"/>
                <w:b w:val="1"/>
                <w:bCs w:val="1"/>
                <w:color w:val="auto"/>
              </w:rPr>
              <w:t>Adjusted EPS</w:t>
            </w:r>
            <w:r>
              <w:rPr>
                <w:rFonts w:ascii="Arial" w:cs="Arial" w:eastAsia="Arial" w:hAnsi="Arial"/>
                <w:sz w:val="17"/>
                <w:szCs w:val="17"/>
                <w:b w:val="1"/>
                <w:bCs w:val="1"/>
                <w:color w:val="auto"/>
                <w:vertAlign w:val="superscript"/>
              </w:rPr>
              <w:t>(1)</w:t>
            </w:r>
          </w:p>
        </w:tc>
        <w:tc>
          <w:tcPr>
            <w:tcW w:w="32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33"/>
              <w:spacing w:after="0"/>
              <w:rPr>
                <w:sz w:val="20"/>
                <w:szCs w:val="20"/>
                <w:color w:val="auto"/>
              </w:rPr>
            </w:pPr>
            <w:r>
              <w:rPr>
                <w:rFonts w:ascii="Arial" w:cs="Arial" w:eastAsia="Arial" w:hAnsi="Arial"/>
                <w:sz w:val="13"/>
                <w:szCs w:val="13"/>
                <w:color w:val="auto"/>
              </w:rPr>
              <w:t>(0.01)</w:t>
            </w:r>
          </w:p>
        </w:tc>
        <w:tc>
          <w:tcPr>
            <w:tcW w:w="38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293"/>
              <w:spacing w:after="0"/>
              <w:rPr>
                <w:sz w:val="20"/>
                <w:szCs w:val="20"/>
                <w:color w:val="auto"/>
              </w:rPr>
            </w:pPr>
            <w:r>
              <w:rPr>
                <w:rFonts w:ascii="Arial" w:cs="Arial" w:eastAsia="Arial" w:hAnsi="Arial"/>
                <w:sz w:val="13"/>
                <w:szCs w:val="13"/>
                <w:color w:val="auto"/>
              </w:rPr>
              <w:t>(0.08)</w:t>
            </w:r>
          </w:p>
        </w:tc>
        <w:tc>
          <w:tcPr>
            <w:tcW w:w="740" w:type="dxa"/>
            <w:vAlign w:val="bottom"/>
          </w:tcPr>
          <w:p>
            <w:pPr>
              <w:jc w:val="right"/>
              <w:spacing w:after="0"/>
              <w:rPr>
                <w:sz w:val="20"/>
                <w:szCs w:val="20"/>
                <w:color w:val="auto"/>
              </w:rPr>
            </w:pPr>
            <w:r>
              <w:rPr>
                <w:rFonts w:ascii="Arial" w:cs="Arial" w:eastAsia="Arial" w:hAnsi="Arial"/>
                <w:sz w:val="13"/>
                <w:szCs w:val="13"/>
                <w:color w:val="auto"/>
              </w:rPr>
              <w:t>88</w:t>
            </w:r>
          </w:p>
        </w:tc>
        <w:tc>
          <w:tcPr>
            <w:tcW w:w="120" w:type="dxa"/>
            <w:vAlign w:val="bottom"/>
          </w:tcPr>
          <w:p>
            <w:pPr>
              <w:spacing w:after="0"/>
              <w:rPr>
                <w:sz w:val="16"/>
                <w:szCs w:val="16"/>
                <w:color w:val="auto"/>
              </w:rPr>
            </w:pPr>
          </w:p>
        </w:tc>
        <w:tc>
          <w:tcPr>
            <w:tcW w:w="32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33"/>
              <w:spacing w:after="0"/>
              <w:rPr>
                <w:sz w:val="20"/>
                <w:szCs w:val="20"/>
                <w:color w:val="auto"/>
              </w:rPr>
            </w:pPr>
            <w:r>
              <w:rPr>
                <w:rFonts w:ascii="Arial" w:cs="Arial" w:eastAsia="Arial" w:hAnsi="Arial"/>
                <w:sz w:val="13"/>
                <w:szCs w:val="13"/>
                <w:color w:val="auto"/>
              </w:rPr>
              <w:t>(0.04)</w:t>
            </w:r>
          </w:p>
        </w:tc>
        <w:tc>
          <w:tcPr>
            <w:tcW w:w="38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193"/>
              <w:spacing w:after="0"/>
              <w:rPr>
                <w:sz w:val="20"/>
                <w:szCs w:val="20"/>
                <w:color w:val="auto"/>
              </w:rPr>
            </w:pPr>
            <w:r>
              <w:rPr>
                <w:rFonts w:ascii="Arial" w:cs="Arial" w:eastAsia="Arial" w:hAnsi="Arial"/>
                <w:sz w:val="13"/>
                <w:szCs w:val="13"/>
                <w:color w:val="auto"/>
              </w:rPr>
              <w:t>(0.20)</w:t>
            </w: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r>
        <w:trPr>
          <w:trHeight w:val="186"/>
        </w:trPr>
        <w:tc>
          <w:tcPr>
            <w:tcW w:w="3400" w:type="dxa"/>
            <w:vAlign w:val="bottom"/>
          </w:tcPr>
          <w:p>
            <w:pPr>
              <w:ind w:left="20"/>
              <w:spacing w:after="0"/>
              <w:rPr>
                <w:sz w:val="20"/>
                <w:szCs w:val="20"/>
                <w:color w:val="auto"/>
              </w:rPr>
            </w:pPr>
            <w:r>
              <w:rPr>
                <w:rFonts w:ascii="Arial" w:cs="Arial" w:eastAsia="Arial" w:hAnsi="Arial"/>
                <w:sz w:val="13"/>
                <w:szCs w:val="13"/>
                <w:b w:val="1"/>
                <w:bCs w:val="1"/>
                <w:color w:val="auto"/>
              </w:rPr>
              <w:t>Cash provided by (used in) operating activities</w:t>
            </w:r>
          </w:p>
        </w:tc>
        <w:tc>
          <w:tcPr>
            <w:tcW w:w="32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73"/>
              <w:spacing w:after="0"/>
              <w:rPr>
                <w:sz w:val="20"/>
                <w:szCs w:val="20"/>
                <w:color w:val="auto"/>
              </w:rPr>
            </w:pPr>
            <w:r>
              <w:rPr>
                <w:rFonts w:ascii="Arial" w:cs="Arial" w:eastAsia="Arial" w:hAnsi="Arial"/>
                <w:sz w:val="13"/>
                <w:szCs w:val="13"/>
                <w:color w:val="auto"/>
              </w:rPr>
              <w:t>139,291</w:t>
            </w:r>
          </w:p>
        </w:tc>
        <w:tc>
          <w:tcPr>
            <w:tcW w:w="38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333"/>
              <w:spacing w:after="0"/>
              <w:rPr>
                <w:sz w:val="20"/>
                <w:szCs w:val="20"/>
                <w:color w:val="auto"/>
              </w:rPr>
            </w:pPr>
            <w:r>
              <w:rPr>
                <w:rFonts w:ascii="Arial" w:cs="Arial" w:eastAsia="Arial" w:hAnsi="Arial"/>
                <w:sz w:val="13"/>
                <w:szCs w:val="13"/>
                <w:color w:val="auto"/>
              </w:rPr>
              <w:t>75,712</w:t>
            </w:r>
          </w:p>
        </w:tc>
        <w:tc>
          <w:tcPr>
            <w:tcW w:w="740" w:type="dxa"/>
            <w:vAlign w:val="bottom"/>
          </w:tcPr>
          <w:p>
            <w:pPr>
              <w:jc w:val="right"/>
              <w:spacing w:after="0"/>
              <w:rPr>
                <w:sz w:val="20"/>
                <w:szCs w:val="20"/>
                <w:color w:val="auto"/>
              </w:rPr>
            </w:pPr>
            <w:r>
              <w:rPr>
                <w:rFonts w:ascii="Arial" w:cs="Arial" w:eastAsia="Arial" w:hAnsi="Arial"/>
                <w:sz w:val="13"/>
                <w:szCs w:val="13"/>
                <w:color w:val="auto"/>
              </w:rPr>
              <w:t>84</w:t>
            </w:r>
          </w:p>
        </w:tc>
        <w:tc>
          <w:tcPr>
            <w:tcW w:w="120" w:type="dxa"/>
            <w:vAlign w:val="bottom"/>
          </w:tcPr>
          <w:p>
            <w:pPr>
              <w:spacing w:after="0"/>
              <w:rPr>
                <w:sz w:val="16"/>
                <w:szCs w:val="16"/>
                <w:color w:val="auto"/>
              </w:rPr>
            </w:pPr>
          </w:p>
        </w:tc>
        <w:tc>
          <w:tcPr>
            <w:tcW w:w="32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33"/>
              <w:spacing w:after="0"/>
              <w:rPr>
                <w:sz w:val="20"/>
                <w:szCs w:val="20"/>
                <w:color w:val="auto"/>
              </w:rPr>
            </w:pPr>
            <w:r>
              <w:rPr>
                <w:rFonts w:ascii="Arial" w:cs="Arial" w:eastAsia="Arial" w:hAnsi="Arial"/>
                <w:sz w:val="13"/>
                <w:szCs w:val="13"/>
                <w:color w:val="auto"/>
              </w:rPr>
              <w:t>(108,864)</w:t>
            </w:r>
          </w:p>
        </w:tc>
        <w:tc>
          <w:tcPr>
            <w:tcW w:w="38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233"/>
              <w:spacing w:after="0"/>
              <w:rPr>
                <w:sz w:val="20"/>
                <w:szCs w:val="20"/>
                <w:color w:val="auto"/>
              </w:rPr>
            </w:pPr>
            <w:r>
              <w:rPr>
                <w:rFonts w:ascii="Arial" w:cs="Arial" w:eastAsia="Arial" w:hAnsi="Arial"/>
                <w:sz w:val="13"/>
                <w:szCs w:val="13"/>
                <w:color w:val="auto"/>
              </w:rPr>
              <w:t>70,249</w:t>
            </w:r>
          </w:p>
        </w:tc>
        <w:tc>
          <w:tcPr>
            <w:tcW w:w="860" w:type="dxa"/>
            <w:vAlign w:val="bottom"/>
          </w:tcPr>
          <w:p>
            <w:pPr>
              <w:jc w:val="right"/>
              <w:spacing w:after="0"/>
              <w:rPr>
                <w:sz w:val="20"/>
                <w:szCs w:val="20"/>
                <w:color w:val="auto"/>
              </w:rPr>
            </w:pPr>
            <w:r>
              <w:rPr>
                <w:rFonts w:ascii="Arial" w:cs="Arial" w:eastAsia="Arial" w:hAnsi="Arial"/>
                <w:sz w:val="13"/>
                <w:szCs w:val="13"/>
                <w:color w:val="auto"/>
              </w:rPr>
              <w:t>(255)</w:t>
            </w:r>
          </w:p>
        </w:tc>
        <w:tc>
          <w:tcPr>
            <w:tcW w:w="0" w:type="dxa"/>
            <w:vAlign w:val="bottom"/>
          </w:tcPr>
          <w:p>
            <w:pPr>
              <w:spacing w:after="0"/>
              <w:rPr>
                <w:sz w:val="1"/>
                <w:szCs w:val="1"/>
                <w:color w:val="auto"/>
              </w:rPr>
            </w:pPr>
          </w:p>
        </w:tc>
      </w:tr>
      <w:tr>
        <w:trPr>
          <w:trHeight w:val="189"/>
        </w:trPr>
        <w:tc>
          <w:tcPr>
            <w:tcW w:w="3400" w:type="dxa"/>
            <w:vAlign w:val="bottom"/>
          </w:tcPr>
          <w:p>
            <w:pPr>
              <w:ind w:left="20"/>
              <w:spacing w:after="0"/>
              <w:rPr>
                <w:sz w:val="20"/>
                <w:szCs w:val="20"/>
                <w:color w:val="auto"/>
              </w:rPr>
            </w:pPr>
            <w:r>
              <w:rPr>
                <w:rFonts w:ascii="Arial" w:cs="Arial" w:eastAsia="Arial" w:hAnsi="Arial"/>
                <w:sz w:val="13"/>
                <w:szCs w:val="13"/>
                <w:b w:val="1"/>
                <w:bCs w:val="1"/>
                <w:color w:val="auto"/>
              </w:rPr>
              <w:t>Cash used in investing activities</w:t>
            </w:r>
          </w:p>
        </w:tc>
        <w:tc>
          <w:tcPr>
            <w:tcW w:w="32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33"/>
              <w:spacing w:after="0"/>
              <w:rPr>
                <w:sz w:val="20"/>
                <w:szCs w:val="20"/>
                <w:color w:val="auto"/>
              </w:rPr>
            </w:pPr>
            <w:r>
              <w:rPr>
                <w:rFonts w:ascii="Arial" w:cs="Arial" w:eastAsia="Arial" w:hAnsi="Arial"/>
                <w:sz w:val="13"/>
                <w:szCs w:val="13"/>
                <w:color w:val="auto"/>
              </w:rPr>
              <w:t>(23,468)</w:t>
            </w:r>
          </w:p>
        </w:tc>
        <w:tc>
          <w:tcPr>
            <w:tcW w:w="38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293"/>
              <w:spacing w:after="0"/>
              <w:rPr>
                <w:sz w:val="20"/>
                <w:szCs w:val="20"/>
                <w:color w:val="auto"/>
              </w:rPr>
            </w:pPr>
            <w:r>
              <w:rPr>
                <w:rFonts w:ascii="Arial" w:cs="Arial" w:eastAsia="Arial" w:hAnsi="Arial"/>
                <w:sz w:val="13"/>
                <w:szCs w:val="13"/>
                <w:color w:val="auto"/>
              </w:rPr>
              <w:t>(14,686)</w:t>
            </w:r>
          </w:p>
        </w:tc>
        <w:tc>
          <w:tcPr>
            <w:tcW w:w="740" w:type="dxa"/>
            <w:vAlign w:val="bottom"/>
          </w:tcPr>
          <w:p>
            <w:pPr>
              <w:jc w:val="right"/>
              <w:spacing w:after="0"/>
              <w:rPr>
                <w:sz w:val="20"/>
                <w:szCs w:val="20"/>
                <w:color w:val="auto"/>
              </w:rPr>
            </w:pPr>
            <w:r>
              <w:rPr>
                <w:rFonts w:ascii="Arial" w:cs="Arial" w:eastAsia="Arial" w:hAnsi="Arial"/>
                <w:sz w:val="13"/>
                <w:szCs w:val="13"/>
                <w:color w:val="auto"/>
              </w:rPr>
              <w:t>(60)</w:t>
            </w:r>
          </w:p>
        </w:tc>
        <w:tc>
          <w:tcPr>
            <w:tcW w:w="120" w:type="dxa"/>
            <w:vAlign w:val="bottom"/>
          </w:tcPr>
          <w:p>
            <w:pPr>
              <w:spacing w:after="0"/>
              <w:rPr>
                <w:sz w:val="16"/>
                <w:szCs w:val="16"/>
                <w:color w:val="auto"/>
              </w:rPr>
            </w:pPr>
          </w:p>
        </w:tc>
        <w:tc>
          <w:tcPr>
            <w:tcW w:w="32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33"/>
              <w:spacing w:after="0"/>
              <w:rPr>
                <w:sz w:val="20"/>
                <w:szCs w:val="20"/>
                <w:color w:val="auto"/>
              </w:rPr>
            </w:pPr>
            <w:r>
              <w:rPr>
                <w:rFonts w:ascii="Arial" w:cs="Arial" w:eastAsia="Arial" w:hAnsi="Arial"/>
                <w:sz w:val="13"/>
                <w:szCs w:val="13"/>
                <w:color w:val="auto"/>
              </w:rPr>
              <w:t>(73,820)</w:t>
            </w:r>
          </w:p>
        </w:tc>
        <w:tc>
          <w:tcPr>
            <w:tcW w:w="38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193"/>
              <w:spacing w:after="0"/>
              <w:rPr>
                <w:sz w:val="20"/>
                <w:szCs w:val="20"/>
                <w:color w:val="auto"/>
              </w:rPr>
            </w:pPr>
            <w:r>
              <w:rPr>
                <w:rFonts w:ascii="Arial" w:cs="Arial" w:eastAsia="Arial" w:hAnsi="Arial"/>
                <w:sz w:val="13"/>
                <w:szCs w:val="13"/>
                <w:color w:val="auto"/>
              </w:rPr>
              <w:t>(24,993)</w:t>
            </w:r>
          </w:p>
        </w:tc>
        <w:tc>
          <w:tcPr>
            <w:tcW w:w="860" w:type="dxa"/>
            <w:vAlign w:val="bottom"/>
          </w:tcPr>
          <w:p>
            <w:pPr>
              <w:jc w:val="right"/>
              <w:spacing w:after="0"/>
              <w:rPr>
                <w:sz w:val="20"/>
                <w:szCs w:val="20"/>
                <w:color w:val="auto"/>
              </w:rPr>
            </w:pPr>
            <w:r>
              <w:rPr>
                <w:rFonts w:ascii="Arial" w:cs="Arial" w:eastAsia="Arial" w:hAnsi="Arial"/>
                <w:sz w:val="13"/>
                <w:szCs w:val="13"/>
                <w:color w:val="auto"/>
              </w:rPr>
              <w:t>(195)</w:t>
            </w:r>
          </w:p>
        </w:tc>
        <w:tc>
          <w:tcPr>
            <w:tcW w:w="0" w:type="dxa"/>
            <w:vAlign w:val="bottom"/>
          </w:tcPr>
          <w:p>
            <w:pPr>
              <w:spacing w:after="0"/>
              <w:rPr>
                <w:sz w:val="1"/>
                <w:szCs w:val="1"/>
                <w:color w:val="auto"/>
              </w:rPr>
            </w:pPr>
          </w:p>
        </w:tc>
      </w:tr>
      <w:tr>
        <w:trPr>
          <w:trHeight w:val="189"/>
        </w:trPr>
        <w:tc>
          <w:tcPr>
            <w:tcW w:w="3400" w:type="dxa"/>
            <w:vAlign w:val="bottom"/>
          </w:tcPr>
          <w:p>
            <w:pPr>
              <w:ind w:left="20"/>
              <w:spacing w:after="0"/>
              <w:rPr>
                <w:sz w:val="20"/>
                <w:szCs w:val="20"/>
                <w:color w:val="auto"/>
              </w:rPr>
            </w:pPr>
            <w:r>
              <w:rPr>
                <w:rFonts w:ascii="Arial" w:cs="Arial" w:eastAsia="Arial" w:hAnsi="Arial"/>
                <w:sz w:val="13"/>
                <w:szCs w:val="13"/>
                <w:b w:val="1"/>
                <w:bCs w:val="1"/>
                <w:color w:val="auto"/>
              </w:rPr>
              <w:t>Cash provided by (used in) financing activities</w:t>
            </w:r>
          </w:p>
        </w:tc>
        <w:tc>
          <w:tcPr>
            <w:tcW w:w="32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73"/>
              <w:spacing w:after="0"/>
              <w:rPr>
                <w:sz w:val="20"/>
                <w:szCs w:val="20"/>
                <w:color w:val="auto"/>
              </w:rPr>
            </w:pPr>
            <w:r>
              <w:rPr>
                <w:rFonts w:ascii="Arial" w:cs="Arial" w:eastAsia="Arial" w:hAnsi="Arial"/>
                <w:sz w:val="13"/>
                <w:szCs w:val="13"/>
                <w:color w:val="auto"/>
              </w:rPr>
              <w:t>118,657</w:t>
            </w:r>
          </w:p>
        </w:tc>
        <w:tc>
          <w:tcPr>
            <w:tcW w:w="38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293"/>
              <w:spacing w:after="0"/>
              <w:rPr>
                <w:sz w:val="20"/>
                <w:szCs w:val="20"/>
                <w:color w:val="auto"/>
              </w:rPr>
            </w:pPr>
            <w:r>
              <w:rPr>
                <w:rFonts w:ascii="Arial" w:cs="Arial" w:eastAsia="Arial" w:hAnsi="Arial"/>
                <w:sz w:val="13"/>
                <w:szCs w:val="13"/>
                <w:color w:val="auto"/>
              </w:rPr>
              <w:t>(6,477)</w:t>
            </w:r>
          </w:p>
        </w:tc>
        <w:tc>
          <w:tcPr>
            <w:tcW w:w="860" w:type="dxa"/>
            <w:vAlign w:val="bottom"/>
            <w:gridSpan w:val="2"/>
          </w:tcPr>
          <w:p>
            <w:pPr>
              <w:ind w:left="520"/>
              <w:spacing w:after="0"/>
              <w:rPr>
                <w:sz w:val="20"/>
                <w:szCs w:val="20"/>
                <w:color w:val="auto"/>
              </w:rPr>
            </w:pPr>
            <w:r>
              <w:rPr>
                <w:rFonts w:ascii="Arial" w:cs="Arial" w:eastAsia="Arial" w:hAnsi="Arial"/>
                <w:sz w:val="13"/>
                <w:szCs w:val="13"/>
                <w:color w:val="auto"/>
              </w:rPr>
              <w:t>NM</w:t>
            </w:r>
          </w:p>
        </w:tc>
        <w:tc>
          <w:tcPr>
            <w:tcW w:w="32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33"/>
              <w:spacing w:after="0"/>
              <w:rPr>
                <w:sz w:val="20"/>
                <w:szCs w:val="20"/>
                <w:color w:val="auto"/>
              </w:rPr>
            </w:pPr>
            <w:r>
              <w:rPr>
                <w:rFonts w:ascii="Arial" w:cs="Arial" w:eastAsia="Arial" w:hAnsi="Arial"/>
                <w:sz w:val="13"/>
                <w:szCs w:val="13"/>
                <w:color w:val="auto"/>
              </w:rPr>
              <w:t>(685,751)</w:t>
            </w:r>
          </w:p>
        </w:tc>
        <w:tc>
          <w:tcPr>
            <w:tcW w:w="38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233"/>
              <w:spacing w:after="0"/>
              <w:rPr>
                <w:sz w:val="20"/>
                <w:szCs w:val="20"/>
                <w:color w:val="auto"/>
              </w:rPr>
            </w:pPr>
            <w:r>
              <w:rPr>
                <w:rFonts w:ascii="Arial" w:cs="Arial" w:eastAsia="Arial" w:hAnsi="Arial"/>
                <w:sz w:val="13"/>
                <w:szCs w:val="13"/>
                <w:color w:val="auto"/>
              </w:rPr>
              <w:t>39,572</w:t>
            </w:r>
          </w:p>
        </w:tc>
        <w:tc>
          <w:tcPr>
            <w:tcW w:w="860" w:type="dxa"/>
            <w:vAlign w:val="bottom"/>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87"/>
        </w:trPr>
        <w:tc>
          <w:tcPr>
            <w:tcW w:w="3400" w:type="dxa"/>
            <w:vAlign w:val="bottom"/>
          </w:tcPr>
          <w:p>
            <w:pPr>
              <w:ind w:left="20"/>
              <w:spacing w:after="0"/>
              <w:rPr>
                <w:sz w:val="20"/>
                <w:szCs w:val="20"/>
                <w:color w:val="auto"/>
              </w:rPr>
            </w:pPr>
            <w:r>
              <w:rPr>
                <w:rFonts w:ascii="Arial" w:cs="Arial" w:eastAsia="Arial" w:hAnsi="Arial"/>
                <w:sz w:val="13"/>
                <w:szCs w:val="13"/>
                <w:b w:val="1"/>
                <w:bCs w:val="1"/>
                <w:color w:val="auto"/>
              </w:rPr>
              <w:t>Capitalized expenditures</w:t>
            </w:r>
          </w:p>
        </w:tc>
        <w:tc>
          <w:tcPr>
            <w:tcW w:w="32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33"/>
              <w:spacing w:after="0"/>
              <w:rPr>
                <w:sz w:val="20"/>
                <w:szCs w:val="20"/>
                <w:color w:val="auto"/>
              </w:rPr>
            </w:pPr>
            <w:r>
              <w:rPr>
                <w:rFonts w:ascii="Arial" w:cs="Arial" w:eastAsia="Arial" w:hAnsi="Arial"/>
                <w:sz w:val="13"/>
                <w:szCs w:val="13"/>
                <w:color w:val="auto"/>
              </w:rPr>
              <w:t>(23,468)</w:t>
            </w:r>
          </w:p>
        </w:tc>
        <w:tc>
          <w:tcPr>
            <w:tcW w:w="38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293"/>
              <w:spacing w:after="0"/>
              <w:rPr>
                <w:sz w:val="20"/>
                <w:szCs w:val="20"/>
                <w:color w:val="auto"/>
              </w:rPr>
            </w:pPr>
            <w:r>
              <w:rPr>
                <w:rFonts w:ascii="Arial" w:cs="Arial" w:eastAsia="Arial" w:hAnsi="Arial"/>
                <w:sz w:val="13"/>
                <w:szCs w:val="13"/>
                <w:color w:val="auto"/>
              </w:rPr>
              <w:t>(14,686)</w:t>
            </w:r>
          </w:p>
        </w:tc>
        <w:tc>
          <w:tcPr>
            <w:tcW w:w="740" w:type="dxa"/>
            <w:vAlign w:val="bottom"/>
          </w:tcPr>
          <w:p>
            <w:pPr>
              <w:jc w:val="right"/>
              <w:spacing w:after="0"/>
              <w:rPr>
                <w:sz w:val="20"/>
                <w:szCs w:val="20"/>
                <w:color w:val="auto"/>
              </w:rPr>
            </w:pPr>
            <w:r>
              <w:rPr>
                <w:rFonts w:ascii="Arial" w:cs="Arial" w:eastAsia="Arial" w:hAnsi="Arial"/>
                <w:sz w:val="13"/>
                <w:szCs w:val="13"/>
                <w:color w:val="auto"/>
              </w:rPr>
              <w:t>(60)</w:t>
            </w:r>
          </w:p>
        </w:tc>
        <w:tc>
          <w:tcPr>
            <w:tcW w:w="120" w:type="dxa"/>
            <w:vAlign w:val="bottom"/>
          </w:tcPr>
          <w:p>
            <w:pPr>
              <w:spacing w:after="0"/>
              <w:rPr>
                <w:sz w:val="16"/>
                <w:szCs w:val="16"/>
                <w:color w:val="auto"/>
              </w:rPr>
            </w:pPr>
          </w:p>
        </w:tc>
        <w:tc>
          <w:tcPr>
            <w:tcW w:w="32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33"/>
              <w:spacing w:after="0"/>
              <w:rPr>
                <w:sz w:val="20"/>
                <w:szCs w:val="20"/>
                <w:color w:val="auto"/>
              </w:rPr>
            </w:pPr>
            <w:r>
              <w:rPr>
                <w:rFonts w:ascii="Arial" w:cs="Arial" w:eastAsia="Arial" w:hAnsi="Arial"/>
                <w:sz w:val="13"/>
                <w:szCs w:val="13"/>
                <w:color w:val="auto"/>
              </w:rPr>
              <w:t>(82,887)</w:t>
            </w:r>
          </w:p>
        </w:tc>
        <w:tc>
          <w:tcPr>
            <w:tcW w:w="38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193"/>
              <w:spacing w:after="0"/>
              <w:rPr>
                <w:sz w:val="20"/>
                <w:szCs w:val="20"/>
                <w:color w:val="auto"/>
              </w:rPr>
            </w:pPr>
            <w:r>
              <w:rPr>
                <w:rFonts w:ascii="Arial" w:cs="Arial" w:eastAsia="Arial" w:hAnsi="Arial"/>
                <w:sz w:val="13"/>
                <w:szCs w:val="13"/>
                <w:color w:val="auto"/>
              </w:rPr>
              <w:t>(79,527)</w:t>
            </w:r>
          </w:p>
        </w:tc>
        <w:tc>
          <w:tcPr>
            <w:tcW w:w="860" w:type="dxa"/>
            <w:vAlign w:val="bottom"/>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89"/>
        </w:trPr>
        <w:tc>
          <w:tcPr>
            <w:tcW w:w="3400" w:type="dxa"/>
            <w:vAlign w:val="bottom"/>
          </w:tcPr>
          <w:p>
            <w:pPr>
              <w:ind w:left="20"/>
              <w:spacing w:after="0" w:line="189" w:lineRule="exact"/>
              <w:rPr>
                <w:sz w:val="20"/>
                <w:szCs w:val="20"/>
                <w:color w:val="auto"/>
              </w:rPr>
            </w:pPr>
            <w:r>
              <w:rPr>
                <w:rFonts w:ascii="Arial" w:cs="Arial" w:eastAsia="Arial" w:hAnsi="Arial"/>
                <w:sz w:val="13"/>
                <w:szCs w:val="13"/>
                <w:b w:val="1"/>
                <w:bCs w:val="1"/>
                <w:color w:val="auto"/>
              </w:rPr>
              <w:t>Free Cash Flow</w:t>
            </w:r>
            <w:r>
              <w:rPr>
                <w:rFonts w:ascii="Arial" w:cs="Arial" w:eastAsia="Arial" w:hAnsi="Arial"/>
                <w:sz w:val="17"/>
                <w:szCs w:val="17"/>
                <w:b w:val="1"/>
                <w:bCs w:val="1"/>
                <w:color w:val="auto"/>
                <w:vertAlign w:val="superscript"/>
              </w:rPr>
              <w:t>(1)</w:t>
            </w:r>
          </w:p>
        </w:tc>
        <w:tc>
          <w:tcPr>
            <w:tcW w:w="32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73"/>
              <w:spacing w:after="0"/>
              <w:rPr>
                <w:sz w:val="20"/>
                <w:szCs w:val="20"/>
                <w:color w:val="auto"/>
              </w:rPr>
            </w:pPr>
            <w:r>
              <w:rPr>
                <w:rFonts w:ascii="Arial" w:cs="Arial" w:eastAsia="Arial" w:hAnsi="Arial"/>
                <w:sz w:val="13"/>
                <w:szCs w:val="13"/>
                <w:color w:val="auto"/>
              </w:rPr>
              <w:t>115,823</w:t>
            </w:r>
          </w:p>
        </w:tc>
        <w:tc>
          <w:tcPr>
            <w:tcW w:w="38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333"/>
              <w:spacing w:after="0"/>
              <w:rPr>
                <w:sz w:val="20"/>
                <w:szCs w:val="20"/>
                <w:color w:val="auto"/>
              </w:rPr>
            </w:pPr>
            <w:r>
              <w:rPr>
                <w:rFonts w:ascii="Arial" w:cs="Arial" w:eastAsia="Arial" w:hAnsi="Arial"/>
                <w:sz w:val="13"/>
                <w:szCs w:val="13"/>
                <w:color w:val="auto"/>
              </w:rPr>
              <w:t>61,026</w:t>
            </w:r>
          </w:p>
        </w:tc>
        <w:tc>
          <w:tcPr>
            <w:tcW w:w="740" w:type="dxa"/>
            <w:vAlign w:val="bottom"/>
          </w:tcPr>
          <w:p>
            <w:pPr>
              <w:jc w:val="right"/>
              <w:spacing w:after="0"/>
              <w:rPr>
                <w:sz w:val="20"/>
                <w:szCs w:val="20"/>
                <w:color w:val="auto"/>
              </w:rPr>
            </w:pPr>
            <w:r>
              <w:rPr>
                <w:rFonts w:ascii="Arial" w:cs="Arial" w:eastAsia="Arial" w:hAnsi="Arial"/>
                <w:sz w:val="13"/>
                <w:szCs w:val="13"/>
                <w:color w:val="auto"/>
              </w:rPr>
              <w:t>90</w:t>
            </w:r>
          </w:p>
        </w:tc>
        <w:tc>
          <w:tcPr>
            <w:tcW w:w="120" w:type="dxa"/>
            <w:vAlign w:val="bottom"/>
          </w:tcPr>
          <w:p>
            <w:pPr>
              <w:spacing w:after="0"/>
              <w:rPr>
                <w:sz w:val="16"/>
                <w:szCs w:val="16"/>
                <w:color w:val="auto"/>
              </w:rPr>
            </w:pPr>
          </w:p>
        </w:tc>
        <w:tc>
          <w:tcPr>
            <w:tcW w:w="32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33"/>
              <w:spacing w:after="0"/>
              <w:rPr>
                <w:sz w:val="20"/>
                <w:szCs w:val="20"/>
                <w:color w:val="auto"/>
              </w:rPr>
            </w:pPr>
            <w:r>
              <w:rPr>
                <w:rFonts w:ascii="Arial" w:cs="Arial" w:eastAsia="Arial" w:hAnsi="Arial"/>
                <w:sz w:val="13"/>
                <w:szCs w:val="13"/>
                <w:color w:val="auto"/>
              </w:rPr>
              <w:t>(191,751)</w:t>
            </w:r>
          </w:p>
        </w:tc>
        <w:tc>
          <w:tcPr>
            <w:tcW w:w="38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193"/>
              <w:spacing w:after="0"/>
              <w:rPr>
                <w:sz w:val="20"/>
                <w:szCs w:val="20"/>
                <w:color w:val="auto"/>
              </w:rPr>
            </w:pPr>
            <w:r>
              <w:rPr>
                <w:rFonts w:ascii="Arial" w:cs="Arial" w:eastAsia="Arial" w:hAnsi="Arial"/>
                <w:sz w:val="13"/>
                <w:szCs w:val="13"/>
                <w:color w:val="auto"/>
              </w:rPr>
              <w:t>(9,278)</w:t>
            </w:r>
          </w:p>
        </w:tc>
        <w:tc>
          <w:tcPr>
            <w:tcW w:w="860" w:type="dxa"/>
            <w:vAlign w:val="bottom"/>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94"/>
        </w:trPr>
        <w:tc>
          <w:tcPr>
            <w:tcW w:w="3400" w:type="dxa"/>
            <w:vAlign w:val="bottom"/>
          </w:tcPr>
          <w:p>
            <w:pPr>
              <w:ind w:left="20"/>
              <w:spacing w:after="0" w:line="194" w:lineRule="exact"/>
              <w:rPr>
                <w:sz w:val="20"/>
                <w:szCs w:val="20"/>
                <w:color w:val="auto"/>
              </w:rPr>
            </w:pPr>
            <w:r>
              <w:rPr>
                <w:rFonts w:ascii="Arial" w:cs="Arial" w:eastAsia="Arial" w:hAnsi="Arial"/>
                <w:sz w:val="13"/>
                <w:szCs w:val="13"/>
                <w:b w:val="1"/>
                <w:bCs w:val="1"/>
                <w:color w:val="auto"/>
              </w:rPr>
              <w:t>Pro Forma Free Cash Flow</w:t>
            </w:r>
            <w:r>
              <w:rPr>
                <w:rFonts w:ascii="Arial" w:cs="Arial" w:eastAsia="Arial" w:hAnsi="Arial"/>
                <w:sz w:val="17"/>
                <w:szCs w:val="17"/>
                <w:b w:val="1"/>
                <w:bCs w:val="1"/>
                <w:color w:val="auto"/>
                <w:vertAlign w:val="superscript"/>
              </w:rPr>
              <w:t>(1)</w:t>
            </w:r>
          </w:p>
        </w:tc>
        <w:tc>
          <w:tcPr>
            <w:tcW w:w="32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73"/>
              <w:spacing w:after="0"/>
              <w:rPr>
                <w:sz w:val="20"/>
                <w:szCs w:val="20"/>
                <w:color w:val="auto"/>
              </w:rPr>
            </w:pPr>
            <w:r>
              <w:rPr>
                <w:rFonts w:ascii="Arial" w:cs="Arial" w:eastAsia="Arial" w:hAnsi="Arial"/>
                <w:sz w:val="13"/>
                <w:szCs w:val="13"/>
                <w:color w:val="auto"/>
              </w:rPr>
              <w:t>115,823</w:t>
            </w:r>
          </w:p>
        </w:tc>
        <w:tc>
          <w:tcPr>
            <w:tcW w:w="38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333"/>
              <w:spacing w:after="0"/>
              <w:rPr>
                <w:sz w:val="20"/>
                <w:szCs w:val="20"/>
                <w:color w:val="auto"/>
              </w:rPr>
            </w:pPr>
            <w:r>
              <w:rPr>
                <w:rFonts w:ascii="Arial" w:cs="Arial" w:eastAsia="Arial" w:hAnsi="Arial"/>
                <w:sz w:val="13"/>
                <w:szCs w:val="13"/>
                <w:color w:val="auto"/>
              </w:rPr>
              <w:t>70,664</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73"/>
              <w:spacing w:after="0"/>
              <w:rPr>
                <w:sz w:val="20"/>
                <w:szCs w:val="20"/>
                <w:color w:val="auto"/>
              </w:rPr>
            </w:pPr>
            <w:r>
              <w:rPr>
                <w:rFonts w:ascii="Arial" w:cs="Arial" w:eastAsia="Arial" w:hAnsi="Arial"/>
                <w:sz w:val="13"/>
                <w:szCs w:val="13"/>
                <w:color w:val="auto"/>
              </w:rPr>
              <w:t>57,100</w:t>
            </w:r>
          </w:p>
        </w:tc>
        <w:tc>
          <w:tcPr>
            <w:tcW w:w="38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233"/>
              <w:spacing w:after="0"/>
              <w:rPr>
                <w:sz w:val="20"/>
                <w:szCs w:val="20"/>
                <w:color w:val="auto"/>
              </w:rPr>
            </w:pPr>
            <w:r>
              <w:rPr>
                <w:rFonts w:ascii="Arial" w:cs="Arial" w:eastAsia="Arial" w:hAnsi="Arial"/>
                <w:sz w:val="13"/>
                <w:szCs w:val="13"/>
                <w:color w:val="auto"/>
              </w:rPr>
              <w:t>28,500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400" w:type="dxa"/>
            <w:vAlign w:val="bottom"/>
          </w:tcPr>
          <w:p>
            <w:pPr>
              <w:ind w:left="20"/>
              <w:spacing w:after="0" w:line="136" w:lineRule="exact"/>
              <w:rPr>
                <w:sz w:val="20"/>
                <w:szCs w:val="20"/>
                <w:color w:val="auto"/>
              </w:rPr>
            </w:pPr>
            <w:r>
              <w:rPr>
                <w:rFonts w:ascii="Arial" w:cs="Arial" w:eastAsia="Arial" w:hAnsi="Arial"/>
                <w:sz w:val="13"/>
                <w:szCs w:val="13"/>
                <w:b w:val="1"/>
                <w:bCs w:val="1"/>
                <w:color w:val="auto"/>
              </w:rPr>
              <w:t>Net Debt (total debt, less cash and cash</w:t>
            </w: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vMerge w:val="restart"/>
          </w:tcPr>
          <w:p>
            <w:pPr>
              <w:jc w:val="right"/>
              <w:ind w:right="153"/>
              <w:spacing w:after="0"/>
              <w:rPr>
                <w:sz w:val="20"/>
                <w:szCs w:val="20"/>
                <w:color w:val="auto"/>
              </w:rPr>
            </w:pPr>
            <w:r>
              <w:rPr>
                <w:rFonts w:ascii="Arial" w:cs="Arial" w:eastAsia="Arial" w:hAnsi="Arial"/>
                <w:sz w:val="13"/>
                <w:szCs w:val="13"/>
                <w:color w:val="auto"/>
              </w:rPr>
              <w:t>$</w:t>
            </w:r>
          </w:p>
        </w:tc>
        <w:tc>
          <w:tcPr>
            <w:tcW w:w="1100" w:type="dxa"/>
            <w:vAlign w:val="bottom"/>
            <w:vMerge w:val="restart"/>
          </w:tcPr>
          <w:p>
            <w:pPr>
              <w:jc w:val="right"/>
              <w:ind w:right="173"/>
              <w:spacing w:after="0"/>
              <w:rPr>
                <w:sz w:val="20"/>
                <w:szCs w:val="20"/>
                <w:color w:val="auto"/>
              </w:rPr>
            </w:pPr>
            <w:r>
              <w:rPr>
                <w:rFonts w:ascii="Arial" w:cs="Arial" w:eastAsia="Arial" w:hAnsi="Arial"/>
                <w:sz w:val="13"/>
                <w:szCs w:val="13"/>
                <w:color w:val="auto"/>
              </w:rPr>
              <w:t>3,740,477</w:t>
            </w:r>
          </w:p>
        </w:tc>
        <w:tc>
          <w:tcPr>
            <w:tcW w:w="380" w:type="dxa"/>
            <w:vAlign w:val="bottom"/>
            <w:vMerge w:val="restart"/>
          </w:tcPr>
          <w:p>
            <w:pPr>
              <w:jc w:val="right"/>
              <w:ind w:right="153"/>
              <w:spacing w:after="0"/>
              <w:rPr>
                <w:sz w:val="20"/>
                <w:szCs w:val="20"/>
                <w:color w:val="auto"/>
              </w:rPr>
            </w:pPr>
            <w:r>
              <w:rPr>
                <w:rFonts w:ascii="Arial" w:cs="Arial" w:eastAsia="Arial" w:hAnsi="Arial"/>
                <w:sz w:val="13"/>
                <w:szCs w:val="13"/>
                <w:color w:val="auto"/>
              </w:rPr>
              <w:t>$</w:t>
            </w:r>
          </w:p>
        </w:tc>
        <w:tc>
          <w:tcPr>
            <w:tcW w:w="1160" w:type="dxa"/>
            <w:vAlign w:val="bottom"/>
            <w:vMerge w:val="restart"/>
          </w:tcPr>
          <w:p>
            <w:pPr>
              <w:jc w:val="right"/>
              <w:ind w:right="233"/>
              <w:spacing w:after="0"/>
              <w:rPr>
                <w:sz w:val="20"/>
                <w:szCs w:val="20"/>
                <w:color w:val="auto"/>
              </w:rPr>
            </w:pPr>
            <w:r>
              <w:rPr>
                <w:rFonts w:ascii="Arial" w:cs="Arial" w:eastAsia="Arial" w:hAnsi="Arial"/>
                <w:sz w:val="13"/>
                <w:szCs w:val="13"/>
                <w:color w:val="auto"/>
              </w:rPr>
              <w:t>4,496,441</w:t>
            </w: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3400" w:type="dxa"/>
            <w:vAlign w:val="bottom"/>
          </w:tcPr>
          <w:p>
            <w:pPr>
              <w:ind w:left="20"/>
              <w:spacing w:after="0"/>
              <w:rPr>
                <w:sz w:val="20"/>
                <w:szCs w:val="20"/>
                <w:color w:val="auto"/>
              </w:rPr>
            </w:pPr>
            <w:r>
              <w:rPr>
                <w:rFonts w:ascii="Arial" w:cs="Arial" w:eastAsia="Arial" w:hAnsi="Arial"/>
                <w:sz w:val="13"/>
                <w:szCs w:val="13"/>
                <w:b w:val="1"/>
                <w:bCs w:val="1"/>
                <w:color w:val="auto"/>
              </w:rPr>
              <w:t>equivalents)</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3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3400" w:type="dxa"/>
            <w:vAlign w:val="bottom"/>
            <w:shd w:val="clear" w:color="auto" w:fill="F2DCDB"/>
          </w:tcPr>
          <w:p>
            <w:pPr>
              <w:ind w:left="20"/>
              <w:spacing w:after="0"/>
              <w:rPr>
                <w:sz w:val="20"/>
                <w:szCs w:val="20"/>
                <w:color w:val="auto"/>
              </w:rPr>
            </w:pPr>
            <w:r>
              <w:rPr>
                <w:rFonts w:ascii="Arial" w:cs="Arial" w:eastAsia="Arial" w:hAnsi="Arial"/>
                <w:sz w:val="13"/>
                <w:szCs w:val="13"/>
                <w:color w:val="auto"/>
              </w:rPr>
              <w:t>Volume Metrics:</w:t>
            </w:r>
          </w:p>
        </w:tc>
        <w:tc>
          <w:tcPr>
            <w:tcW w:w="320" w:type="dxa"/>
            <w:vAlign w:val="bottom"/>
            <w:shd w:val="clear" w:color="auto" w:fill="F2DCDB"/>
          </w:tcPr>
          <w:p>
            <w:pPr>
              <w:spacing w:after="0"/>
              <w:rPr>
                <w:sz w:val="16"/>
                <w:szCs w:val="16"/>
                <w:color w:val="auto"/>
              </w:rPr>
            </w:pPr>
          </w:p>
        </w:tc>
        <w:tc>
          <w:tcPr>
            <w:tcW w:w="1080" w:type="dxa"/>
            <w:vAlign w:val="bottom"/>
            <w:shd w:val="clear" w:color="auto" w:fill="F2DCDB"/>
          </w:tcPr>
          <w:p>
            <w:pPr>
              <w:spacing w:after="0"/>
              <w:rPr>
                <w:sz w:val="16"/>
                <w:szCs w:val="16"/>
                <w:color w:val="auto"/>
              </w:rPr>
            </w:pPr>
          </w:p>
        </w:tc>
        <w:tc>
          <w:tcPr>
            <w:tcW w:w="380" w:type="dxa"/>
            <w:vAlign w:val="bottom"/>
            <w:shd w:val="clear" w:color="auto" w:fill="F2DCDB"/>
          </w:tcPr>
          <w:p>
            <w:pPr>
              <w:spacing w:after="0"/>
              <w:rPr>
                <w:sz w:val="16"/>
                <w:szCs w:val="16"/>
                <w:color w:val="auto"/>
              </w:rPr>
            </w:pPr>
          </w:p>
        </w:tc>
        <w:tc>
          <w:tcPr>
            <w:tcW w:w="1240" w:type="dxa"/>
            <w:vAlign w:val="bottom"/>
            <w:shd w:val="clear" w:color="auto" w:fill="F2DCDB"/>
          </w:tcPr>
          <w:p>
            <w:pPr>
              <w:spacing w:after="0"/>
              <w:rPr>
                <w:sz w:val="16"/>
                <w:szCs w:val="16"/>
                <w:color w:val="auto"/>
              </w:rPr>
            </w:pPr>
          </w:p>
        </w:tc>
        <w:tc>
          <w:tcPr>
            <w:tcW w:w="740" w:type="dxa"/>
            <w:vAlign w:val="bottom"/>
            <w:shd w:val="clear" w:color="auto" w:fill="F2DCDB"/>
          </w:tcPr>
          <w:p>
            <w:pPr>
              <w:spacing w:after="0"/>
              <w:rPr>
                <w:sz w:val="16"/>
                <w:szCs w:val="16"/>
                <w:color w:val="auto"/>
              </w:rPr>
            </w:pPr>
          </w:p>
        </w:tc>
        <w:tc>
          <w:tcPr>
            <w:tcW w:w="120" w:type="dxa"/>
            <w:vAlign w:val="bottom"/>
            <w:shd w:val="clear" w:color="auto" w:fill="F2DCDB"/>
          </w:tcPr>
          <w:p>
            <w:pPr>
              <w:spacing w:after="0"/>
              <w:rPr>
                <w:sz w:val="16"/>
                <w:szCs w:val="16"/>
                <w:color w:val="auto"/>
              </w:rPr>
            </w:pPr>
          </w:p>
        </w:tc>
        <w:tc>
          <w:tcPr>
            <w:tcW w:w="320" w:type="dxa"/>
            <w:vAlign w:val="bottom"/>
            <w:shd w:val="clear" w:color="auto" w:fill="F2DCDB"/>
          </w:tcPr>
          <w:p>
            <w:pPr>
              <w:spacing w:after="0"/>
              <w:rPr>
                <w:sz w:val="16"/>
                <w:szCs w:val="16"/>
                <w:color w:val="auto"/>
              </w:rPr>
            </w:pPr>
          </w:p>
        </w:tc>
        <w:tc>
          <w:tcPr>
            <w:tcW w:w="1100" w:type="dxa"/>
            <w:vAlign w:val="bottom"/>
            <w:shd w:val="clear" w:color="auto" w:fill="F2DCDB"/>
          </w:tcPr>
          <w:p>
            <w:pPr>
              <w:spacing w:after="0"/>
              <w:rPr>
                <w:sz w:val="16"/>
                <w:szCs w:val="16"/>
                <w:color w:val="auto"/>
              </w:rPr>
            </w:pPr>
          </w:p>
        </w:tc>
        <w:tc>
          <w:tcPr>
            <w:tcW w:w="380" w:type="dxa"/>
            <w:vAlign w:val="bottom"/>
            <w:shd w:val="clear" w:color="auto" w:fill="F2DCDB"/>
          </w:tcPr>
          <w:p>
            <w:pPr>
              <w:spacing w:after="0"/>
              <w:rPr>
                <w:sz w:val="16"/>
                <w:szCs w:val="16"/>
                <w:color w:val="auto"/>
              </w:rPr>
            </w:pPr>
          </w:p>
        </w:tc>
        <w:tc>
          <w:tcPr>
            <w:tcW w:w="1160" w:type="dxa"/>
            <w:vAlign w:val="bottom"/>
            <w:shd w:val="clear" w:color="auto" w:fill="F2DCDB"/>
          </w:tcPr>
          <w:p>
            <w:pPr>
              <w:spacing w:after="0"/>
              <w:rPr>
                <w:sz w:val="16"/>
                <w:szCs w:val="16"/>
                <w:color w:val="auto"/>
              </w:rPr>
            </w:pPr>
          </w:p>
        </w:tc>
        <w:tc>
          <w:tcPr>
            <w:tcW w:w="860" w:type="dxa"/>
            <w:vAlign w:val="bottom"/>
            <w:shd w:val="clear" w:color="auto" w:fill="F2DCDB"/>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3400" w:type="dxa"/>
            <w:vAlign w:val="bottom"/>
          </w:tcPr>
          <w:p>
            <w:pPr>
              <w:ind w:left="20"/>
              <w:spacing w:after="0"/>
              <w:rPr>
                <w:sz w:val="20"/>
                <w:szCs w:val="20"/>
                <w:color w:val="auto"/>
              </w:rPr>
            </w:pPr>
            <w:r>
              <w:rPr>
                <w:rFonts w:ascii="Arial" w:cs="Arial" w:eastAsia="Arial" w:hAnsi="Arial"/>
                <w:sz w:val="13"/>
                <w:szCs w:val="13"/>
                <w:b w:val="1"/>
                <w:bCs w:val="1"/>
                <w:color w:val="auto"/>
              </w:rPr>
              <w:t>Total Bookings</w:t>
            </w:r>
          </w:p>
        </w:tc>
        <w:tc>
          <w:tcPr>
            <w:tcW w:w="320" w:type="dxa"/>
            <w:vAlign w:val="bottom"/>
          </w:tcPr>
          <w:p>
            <w:pPr>
              <w:spacing w:after="0"/>
              <w:rPr>
                <w:sz w:val="24"/>
                <w:szCs w:val="24"/>
                <w:color w:val="auto"/>
              </w:rPr>
            </w:pPr>
          </w:p>
        </w:tc>
        <w:tc>
          <w:tcPr>
            <w:tcW w:w="1080" w:type="dxa"/>
            <w:vAlign w:val="bottom"/>
          </w:tcPr>
          <w:p>
            <w:pPr>
              <w:jc w:val="right"/>
              <w:ind w:right="173"/>
              <w:spacing w:after="0"/>
              <w:rPr>
                <w:sz w:val="20"/>
                <w:szCs w:val="20"/>
                <w:color w:val="auto"/>
              </w:rPr>
            </w:pPr>
            <w:r>
              <w:rPr>
                <w:rFonts w:ascii="Arial" w:cs="Arial" w:eastAsia="Arial" w:hAnsi="Arial"/>
                <w:sz w:val="13"/>
                <w:szCs w:val="13"/>
                <w:color w:val="auto"/>
              </w:rPr>
              <w:t>83,472</w:t>
            </w:r>
          </w:p>
        </w:tc>
        <w:tc>
          <w:tcPr>
            <w:tcW w:w="380" w:type="dxa"/>
            <w:vAlign w:val="bottom"/>
          </w:tcPr>
          <w:p>
            <w:pPr>
              <w:spacing w:after="0"/>
              <w:rPr>
                <w:sz w:val="24"/>
                <w:szCs w:val="24"/>
                <w:color w:val="auto"/>
              </w:rPr>
            </w:pPr>
          </w:p>
        </w:tc>
        <w:tc>
          <w:tcPr>
            <w:tcW w:w="1240" w:type="dxa"/>
            <w:vAlign w:val="bottom"/>
          </w:tcPr>
          <w:p>
            <w:pPr>
              <w:jc w:val="right"/>
              <w:ind w:right="333"/>
              <w:spacing w:after="0"/>
              <w:rPr>
                <w:sz w:val="20"/>
                <w:szCs w:val="20"/>
                <w:color w:val="auto"/>
              </w:rPr>
            </w:pPr>
            <w:r>
              <w:rPr>
                <w:rFonts w:ascii="Arial" w:cs="Arial" w:eastAsia="Arial" w:hAnsi="Arial"/>
                <w:sz w:val="13"/>
                <w:szCs w:val="13"/>
                <w:color w:val="auto"/>
              </w:rPr>
              <w:t>80,982</w:t>
            </w:r>
          </w:p>
        </w:tc>
        <w:tc>
          <w:tcPr>
            <w:tcW w:w="74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173"/>
              <w:spacing w:after="0"/>
              <w:rPr>
                <w:sz w:val="20"/>
                <w:szCs w:val="20"/>
                <w:color w:val="auto"/>
              </w:rPr>
            </w:pPr>
            <w:r>
              <w:rPr>
                <w:rFonts w:ascii="Arial" w:cs="Arial" w:eastAsia="Arial" w:hAnsi="Arial"/>
                <w:sz w:val="13"/>
                <w:szCs w:val="13"/>
                <w:color w:val="auto"/>
              </w:rPr>
              <w:t>365,261</w:t>
            </w:r>
          </w:p>
        </w:tc>
        <w:tc>
          <w:tcPr>
            <w:tcW w:w="380" w:type="dxa"/>
            <w:vAlign w:val="bottom"/>
          </w:tcPr>
          <w:p>
            <w:pPr>
              <w:spacing w:after="0"/>
              <w:rPr>
                <w:sz w:val="24"/>
                <w:szCs w:val="24"/>
                <w:color w:val="auto"/>
              </w:rPr>
            </w:pPr>
          </w:p>
        </w:tc>
        <w:tc>
          <w:tcPr>
            <w:tcW w:w="1160" w:type="dxa"/>
            <w:vAlign w:val="bottom"/>
          </w:tcPr>
          <w:p>
            <w:pPr>
              <w:jc w:val="right"/>
              <w:ind w:right="233"/>
              <w:spacing w:after="0"/>
              <w:rPr>
                <w:sz w:val="20"/>
                <w:szCs w:val="20"/>
                <w:color w:val="auto"/>
              </w:rPr>
            </w:pPr>
            <w:r>
              <w:rPr>
                <w:rFonts w:ascii="Arial" w:cs="Arial" w:eastAsia="Arial" w:hAnsi="Arial"/>
                <w:sz w:val="13"/>
                <w:szCs w:val="13"/>
                <w:color w:val="auto"/>
              </w:rPr>
              <w:t>363,217</w:t>
            </w: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89"/>
        </w:trPr>
        <w:tc>
          <w:tcPr>
            <w:tcW w:w="3400" w:type="dxa"/>
            <w:vAlign w:val="bottom"/>
          </w:tcPr>
          <w:p>
            <w:pPr>
              <w:ind w:left="140"/>
              <w:spacing w:after="0"/>
              <w:rPr>
                <w:sz w:val="20"/>
                <w:szCs w:val="20"/>
                <w:color w:val="auto"/>
              </w:rPr>
            </w:pPr>
            <w:r>
              <w:rPr>
                <w:rFonts w:ascii="Arial" w:cs="Arial" w:eastAsia="Arial" w:hAnsi="Arial"/>
                <w:sz w:val="13"/>
                <w:szCs w:val="13"/>
                <w:b w:val="1"/>
                <w:bCs w:val="1"/>
                <w:color w:val="auto"/>
              </w:rPr>
              <w:t>Air Bookings</w:t>
            </w:r>
          </w:p>
        </w:tc>
        <w:tc>
          <w:tcPr>
            <w:tcW w:w="320" w:type="dxa"/>
            <w:vAlign w:val="bottom"/>
          </w:tcPr>
          <w:p>
            <w:pPr>
              <w:spacing w:after="0"/>
              <w:rPr>
                <w:sz w:val="16"/>
                <w:szCs w:val="16"/>
                <w:color w:val="auto"/>
              </w:rPr>
            </w:pPr>
          </w:p>
        </w:tc>
        <w:tc>
          <w:tcPr>
            <w:tcW w:w="1080" w:type="dxa"/>
            <w:vAlign w:val="bottom"/>
          </w:tcPr>
          <w:p>
            <w:pPr>
              <w:jc w:val="right"/>
              <w:ind w:right="173"/>
              <w:spacing w:after="0"/>
              <w:rPr>
                <w:sz w:val="20"/>
                <w:szCs w:val="20"/>
                <w:color w:val="auto"/>
              </w:rPr>
            </w:pPr>
            <w:r>
              <w:rPr>
                <w:rFonts w:ascii="Arial" w:cs="Arial" w:eastAsia="Arial" w:hAnsi="Arial"/>
                <w:sz w:val="13"/>
                <w:szCs w:val="13"/>
                <w:color w:val="auto"/>
              </w:rPr>
              <w:t>69,976</w:t>
            </w:r>
          </w:p>
        </w:tc>
        <w:tc>
          <w:tcPr>
            <w:tcW w:w="380" w:type="dxa"/>
            <w:vAlign w:val="bottom"/>
          </w:tcPr>
          <w:p>
            <w:pPr>
              <w:spacing w:after="0"/>
              <w:rPr>
                <w:sz w:val="16"/>
                <w:szCs w:val="16"/>
                <w:color w:val="auto"/>
              </w:rPr>
            </w:pPr>
          </w:p>
        </w:tc>
        <w:tc>
          <w:tcPr>
            <w:tcW w:w="1240" w:type="dxa"/>
            <w:vAlign w:val="bottom"/>
          </w:tcPr>
          <w:p>
            <w:pPr>
              <w:jc w:val="right"/>
              <w:ind w:right="333"/>
              <w:spacing w:after="0"/>
              <w:rPr>
                <w:sz w:val="20"/>
                <w:szCs w:val="20"/>
                <w:color w:val="auto"/>
              </w:rPr>
            </w:pPr>
            <w:r>
              <w:rPr>
                <w:rFonts w:ascii="Arial" w:cs="Arial" w:eastAsia="Arial" w:hAnsi="Arial"/>
                <w:sz w:val="13"/>
                <w:szCs w:val="13"/>
                <w:color w:val="auto"/>
              </w:rPr>
              <w:t>67,468</w:t>
            </w:r>
          </w:p>
        </w:tc>
        <w:tc>
          <w:tcPr>
            <w:tcW w:w="74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173"/>
              <w:spacing w:after="0"/>
              <w:rPr>
                <w:sz w:val="20"/>
                <w:szCs w:val="20"/>
                <w:color w:val="auto"/>
              </w:rPr>
            </w:pPr>
            <w:r>
              <w:rPr>
                <w:rFonts w:ascii="Arial" w:cs="Arial" w:eastAsia="Arial" w:hAnsi="Arial"/>
                <w:sz w:val="13"/>
                <w:szCs w:val="13"/>
                <w:color w:val="auto"/>
              </w:rPr>
              <w:t>308,490</w:t>
            </w:r>
          </w:p>
        </w:tc>
        <w:tc>
          <w:tcPr>
            <w:tcW w:w="380" w:type="dxa"/>
            <w:vAlign w:val="bottom"/>
          </w:tcPr>
          <w:p>
            <w:pPr>
              <w:spacing w:after="0"/>
              <w:rPr>
                <w:sz w:val="16"/>
                <w:szCs w:val="16"/>
                <w:color w:val="auto"/>
              </w:rPr>
            </w:pPr>
          </w:p>
        </w:tc>
        <w:tc>
          <w:tcPr>
            <w:tcW w:w="1160" w:type="dxa"/>
            <w:vAlign w:val="bottom"/>
          </w:tcPr>
          <w:p>
            <w:pPr>
              <w:jc w:val="right"/>
              <w:ind w:right="233"/>
              <w:spacing w:after="0"/>
              <w:rPr>
                <w:sz w:val="20"/>
                <w:szCs w:val="20"/>
                <w:color w:val="auto"/>
              </w:rPr>
            </w:pPr>
            <w:r>
              <w:rPr>
                <w:rFonts w:ascii="Arial" w:cs="Arial" w:eastAsia="Arial" w:hAnsi="Arial"/>
                <w:sz w:val="13"/>
                <w:szCs w:val="13"/>
                <w:color w:val="auto"/>
              </w:rPr>
              <w:t>307,511</w:t>
            </w: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3400" w:type="dxa"/>
            <w:vAlign w:val="bottom"/>
          </w:tcPr>
          <w:p>
            <w:pPr>
              <w:ind w:left="140"/>
              <w:spacing w:after="0"/>
              <w:rPr>
                <w:sz w:val="20"/>
                <w:szCs w:val="20"/>
                <w:color w:val="auto"/>
              </w:rPr>
            </w:pPr>
            <w:r>
              <w:rPr>
                <w:rFonts w:ascii="Arial" w:cs="Arial" w:eastAsia="Arial" w:hAnsi="Arial"/>
                <w:sz w:val="13"/>
                <w:szCs w:val="13"/>
                <w:b w:val="1"/>
                <w:bCs w:val="1"/>
                <w:color w:val="auto"/>
              </w:rPr>
              <w:t>Lodging, Ground and Sea Bookings</w:t>
            </w:r>
          </w:p>
        </w:tc>
        <w:tc>
          <w:tcPr>
            <w:tcW w:w="320" w:type="dxa"/>
            <w:vAlign w:val="bottom"/>
          </w:tcPr>
          <w:p>
            <w:pPr>
              <w:spacing w:after="0"/>
              <w:rPr>
                <w:sz w:val="16"/>
                <w:szCs w:val="16"/>
                <w:color w:val="auto"/>
              </w:rPr>
            </w:pPr>
          </w:p>
        </w:tc>
        <w:tc>
          <w:tcPr>
            <w:tcW w:w="1080" w:type="dxa"/>
            <w:vAlign w:val="bottom"/>
          </w:tcPr>
          <w:p>
            <w:pPr>
              <w:jc w:val="right"/>
              <w:ind w:right="173"/>
              <w:spacing w:after="0"/>
              <w:rPr>
                <w:sz w:val="20"/>
                <w:szCs w:val="20"/>
                <w:color w:val="auto"/>
              </w:rPr>
            </w:pPr>
            <w:r>
              <w:rPr>
                <w:rFonts w:ascii="Arial" w:cs="Arial" w:eastAsia="Arial" w:hAnsi="Arial"/>
                <w:sz w:val="13"/>
                <w:szCs w:val="13"/>
                <w:color w:val="auto"/>
              </w:rPr>
              <w:t>13,496</w:t>
            </w:r>
          </w:p>
        </w:tc>
        <w:tc>
          <w:tcPr>
            <w:tcW w:w="380" w:type="dxa"/>
            <w:vAlign w:val="bottom"/>
          </w:tcPr>
          <w:p>
            <w:pPr>
              <w:spacing w:after="0"/>
              <w:rPr>
                <w:sz w:val="16"/>
                <w:szCs w:val="16"/>
                <w:color w:val="auto"/>
              </w:rPr>
            </w:pPr>
          </w:p>
        </w:tc>
        <w:tc>
          <w:tcPr>
            <w:tcW w:w="1240" w:type="dxa"/>
            <w:vAlign w:val="bottom"/>
          </w:tcPr>
          <w:p>
            <w:pPr>
              <w:jc w:val="right"/>
              <w:ind w:right="333"/>
              <w:spacing w:after="0"/>
              <w:rPr>
                <w:sz w:val="20"/>
                <w:szCs w:val="20"/>
                <w:color w:val="auto"/>
              </w:rPr>
            </w:pPr>
            <w:r>
              <w:rPr>
                <w:rFonts w:ascii="Arial" w:cs="Arial" w:eastAsia="Arial" w:hAnsi="Arial"/>
                <w:sz w:val="13"/>
                <w:szCs w:val="13"/>
                <w:color w:val="auto"/>
              </w:rPr>
              <w:t>13,514</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6"/>
                <w:szCs w:val="16"/>
                <w:color w:val="auto"/>
              </w:rPr>
            </w:pPr>
          </w:p>
        </w:tc>
        <w:tc>
          <w:tcPr>
            <w:tcW w:w="1100" w:type="dxa"/>
            <w:vAlign w:val="bottom"/>
          </w:tcPr>
          <w:p>
            <w:pPr>
              <w:jc w:val="right"/>
              <w:ind w:right="173"/>
              <w:spacing w:after="0"/>
              <w:rPr>
                <w:sz w:val="20"/>
                <w:szCs w:val="20"/>
                <w:color w:val="auto"/>
              </w:rPr>
            </w:pPr>
            <w:r>
              <w:rPr>
                <w:rFonts w:ascii="Arial" w:cs="Arial" w:eastAsia="Arial" w:hAnsi="Arial"/>
                <w:sz w:val="13"/>
                <w:szCs w:val="13"/>
                <w:color w:val="auto"/>
              </w:rPr>
              <w:t>56,771</w:t>
            </w:r>
          </w:p>
        </w:tc>
        <w:tc>
          <w:tcPr>
            <w:tcW w:w="380" w:type="dxa"/>
            <w:vAlign w:val="bottom"/>
          </w:tcPr>
          <w:p>
            <w:pPr>
              <w:spacing w:after="0"/>
              <w:rPr>
                <w:sz w:val="16"/>
                <w:szCs w:val="16"/>
                <w:color w:val="auto"/>
              </w:rPr>
            </w:pPr>
          </w:p>
        </w:tc>
        <w:tc>
          <w:tcPr>
            <w:tcW w:w="1160" w:type="dxa"/>
            <w:vAlign w:val="bottom"/>
          </w:tcPr>
          <w:p>
            <w:pPr>
              <w:jc w:val="right"/>
              <w:ind w:right="233"/>
              <w:spacing w:after="0"/>
              <w:rPr>
                <w:sz w:val="20"/>
                <w:szCs w:val="20"/>
                <w:color w:val="auto"/>
              </w:rPr>
            </w:pPr>
            <w:r>
              <w:rPr>
                <w:rFonts w:ascii="Arial" w:cs="Arial" w:eastAsia="Arial" w:hAnsi="Arial"/>
                <w:sz w:val="13"/>
                <w:szCs w:val="13"/>
                <w:color w:val="auto"/>
              </w:rPr>
              <w:t>55,706</w:t>
            </w: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89"/>
        </w:trPr>
        <w:tc>
          <w:tcPr>
            <w:tcW w:w="3400" w:type="dxa"/>
            <w:vAlign w:val="bottom"/>
          </w:tcPr>
          <w:p>
            <w:pPr>
              <w:ind w:left="20"/>
              <w:spacing w:after="0"/>
              <w:rPr>
                <w:sz w:val="20"/>
                <w:szCs w:val="20"/>
                <w:color w:val="auto"/>
              </w:rPr>
            </w:pPr>
            <w:r>
              <w:rPr>
                <w:rFonts w:ascii="Arial" w:cs="Arial" w:eastAsia="Arial" w:hAnsi="Arial"/>
                <w:sz w:val="13"/>
                <w:szCs w:val="13"/>
                <w:b w:val="1"/>
                <w:bCs w:val="1"/>
                <w:color w:val="auto"/>
              </w:rPr>
              <w:t>Passengers Boarded</w:t>
            </w:r>
          </w:p>
        </w:tc>
        <w:tc>
          <w:tcPr>
            <w:tcW w:w="320" w:type="dxa"/>
            <w:vAlign w:val="bottom"/>
          </w:tcPr>
          <w:p>
            <w:pPr>
              <w:spacing w:after="0"/>
              <w:rPr>
                <w:sz w:val="16"/>
                <w:szCs w:val="16"/>
                <w:color w:val="auto"/>
              </w:rPr>
            </w:pPr>
          </w:p>
        </w:tc>
        <w:tc>
          <w:tcPr>
            <w:tcW w:w="1080" w:type="dxa"/>
            <w:vAlign w:val="bottom"/>
          </w:tcPr>
          <w:p>
            <w:pPr>
              <w:jc w:val="right"/>
              <w:ind w:right="173"/>
              <w:spacing w:after="0"/>
              <w:rPr>
                <w:sz w:val="20"/>
                <w:szCs w:val="20"/>
                <w:color w:val="auto"/>
              </w:rPr>
            </w:pPr>
            <w:r>
              <w:rPr>
                <w:rFonts w:ascii="Arial" w:cs="Arial" w:eastAsia="Arial" w:hAnsi="Arial"/>
                <w:sz w:val="13"/>
                <w:szCs w:val="13"/>
                <w:color w:val="auto"/>
              </w:rPr>
              <w:t>176,032</w:t>
            </w:r>
          </w:p>
        </w:tc>
        <w:tc>
          <w:tcPr>
            <w:tcW w:w="380" w:type="dxa"/>
            <w:vAlign w:val="bottom"/>
          </w:tcPr>
          <w:p>
            <w:pPr>
              <w:spacing w:after="0"/>
              <w:rPr>
                <w:sz w:val="16"/>
                <w:szCs w:val="16"/>
                <w:color w:val="auto"/>
              </w:rPr>
            </w:pPr>
          </w:p>
        </w:tc>
        <w:tc>
          <w:tcPr>
            <w:tcW w:w="1240" w:type="dxa"/>
            <w:vAlign w:val="bottom"/>
          </w:tcPr>
          <w:p>
            <w:pPr>
              <w:jc w:val="right"/>
              <w:ind w:right="333"/>
              <w:spacing w:after="0"/>
              <w:rPr>
                <w:sz w:val="20"/>
                <w:szCs w:val="20"/>
                <w:color w:val="auto"/>
              </w:rPr>
            </w:pPr>
            <w:r>
              <w:rPr>
                <w:rFonts w:ascii="Arial" w:cs="Arial" w:eastAsia="Arial" w:hAnsi="Arial"/>
                <w:sz w:val="13"/>
                <w:szCs w:val="13"/>
                <w:color w:val="auto"/>
              </w:rPr>
              <w:t>170,032</w:t>
            </w:r>
          </w:p>
        </w:tc>
        <w:tc>
          <w:tcPr>
            <w:tcW w:w="74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173"/>
              <w:spacing w:after="0"/>
              <w:rPr>
                <w:sz w:val="20"/>
                <w:szCs w:val="20"/>
                <w:color w:val="auto"/>
              </w:rPr>
            </w:pPr>
            <w:r>
              <w:rPr>
                <w:rFonts w:ascii="Arial" w:cs="Arial" w:eastAsia="Arial" w:hAnsi="Arial"/>
                <w:sz w:val="13"/>
                <w:szCs w:val="13"/>
                <w:color w:val="auto"/>
              </w:rPr>
              <w:t>695,423</w:t>
            </w:r>
          </w:p>
        </w:tc>
        <w:tc>
          <w:tcPr>
            <w:tcW w:w="380" w:type="dxa"/>
            <w:vAlign w:val="bottom"/>
          </w:tcPr>
          <w:p>
            <w:pPr>
              <w:spacing w:after="0"/>
              <w:rPr>
                <w:sz w:val="16"/>
                <w:szCs w:val="16"/>
                <w:color w:val="auto"/>
              </w:rPr>
            </w:pPr>
          </w:p>
        </w:tc>
        <w:tc>
          <w:tcPr>
            <w:tcW w:w="1160" w:type="dxa"/>
            <w:vAlign w:val="bottom"/>
          </w:tcPr>
          <w:p>
            <w:pPr>
              <w:jc w:val="right"/>
              <w:ind w:right="233"/>
              <w:spacing w:after="0"/>
              <w:rPr>
                <w:sz w:val="20"/>
                <w:szCs w:val="20"/>
                <w:color w:val="auto"/>
              </w:rPr>
            </w:pPr>
            <w:r>
              <w:rPr>
                <w:rFonts w:ascii="Arial" w:cs="Arial" w:eastAsia="Arial" w:hAnsi="Arial"/>
                <w:sz w:val="13"/>
                <w:szCs w:val="13"/>
                <w:color w:val="auto"/>
              </w:rPr>
              <w:t>684,136</w:t>
            </w: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20"/>
        <w:spacing w:after="0"/>
        <w:rPr>
          <w:sz w:val="20"/>
          <w:szCs w:val="20"/>
          <w:color w:val="auto"/>
        </w:rPr>
      </w:pPr>
      <w:r>
        <w:rPr>
          <w:rFonts w:ascii="Arial" w:cs="Arial" w:eastAsia="Arial" w:hAnsi="Arial"/>
          <w:sz w:val="17"/>
          <w:szCs w:val="17"/>
          <w:color w:val="auto"/>
          <w:vertAlign w:val="superscript"/>
        </w:rPr>
        <w:t>(1)</w:t>
      </w:r>
      <w:r>
        <w:rPr>
          <w:rFonts w:ascii="Arial" w:cs="Arial" w:eastAsia="Arial" w:hAnsi="Arial"/>
          <w:sz w:val="13"/>
          <w:szCs w:val="13"/>
          <w:color w:val="auto"/>
        </w:rPr>
        <w:t>Indicates non-GAAP financial measure; see descriptions and reconciliations below</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3"/>
          <w:szCs w:val="13"/>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40" w:right="339" w:bottom="1440" w:gutter="0" w:footer="0" w:header="0"/>
        </w:sectPr>
      </w:pPr>
    </w:p>
    <w:bookmarkStart w:id="9" w:name="page10"/>
    <w:bookmarkEnd w:id="9"/>
    <w:p>
      <w:pPr>
        <w:spacing w:after="0" w:line="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and Financial Outlook</w:t>
      </w:r>
    </w:p>
    <w:p>
      <w:pPr>
        <w:spacing w:after="0" w:line="326" w:lineRule="exact"/>
        <w:rPr>
          <w:sz w:val="20"/>
          <w:szCs w:val="20"/>
          <w:color w:val="auto"/>
        </w:rPr>
      </w:pPr>
    </w:p>
    <w:p>
      <w:pPr>
        <w:jc w:val="both"/>
        <w:spacing w:after="0" w:line="330" w:lineRule="auto"/>
        <w:rPr>
          <w:sz w:val="20"/>
          <w:szCs w:val="20"/>
          <w:color w:val="auto"/>
        </w:rPr>
      </w:pPr>
      <w:r>
        <w:rPr>
          <w:rFonts w:ascii="Arial" w:cs="Arial" w:eastAsia="Arial" w:hAnsi="Arial"/>
          <w:sz w:val="20"/>
          <w:szCs w:val="20"/>
          <w:color w:val="auto"/>
        </w:rPr>
        <w:t>The Company is providing the first quarter and full year 2026 outlook included below on a pro forma basis to give effect to the sale of the Hospitality Solutions business. Pro forma adjustments include an adjustment to remove costs previously allocated to Hospitality Solutions, but that do not meet the GAAP definition for discontinued operations reporting. We believe this presentation will enhance investors' ability to evaluate and compare the Company's operations on a go-forward basis.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With respect to the first quarter and full-year 2026 financial outlook below:</w:t>
      </w:r>
    </w:p>
    <w:p>
      <w:pPr>
        <w:spacing w:after="0" w:line="310" w:lineRule="exact"/>
        <w:rPr>
          <w:sz w:val="20"/>
          <w:szCs w:val="20"/>
          <w:color w:val="auto"/>
        </w:rPr>
      </w:pPr>
    </w:p>
    <w:p>
      <w:pPr>
        <w:jc w:val="both"/>
        <w:ind w:left="660" w:hanging="328"/>
        <w:spacing w:after="0" w:line="346" w:lineRule="auto"/>
        <w:tabs>
          <w:tab w:leader="none" w:pos="648" w:val="left"/>
        </w:tabs>
        <w:numPr>
          <w:ilvl w:val="0"/>
          <w:numId w:val="9"/>
        </w:numPr>
        <w:rPr>
          <w:rFonts w:ascii="Arial" w:cs="Arial" w:eastAsia="Arial" w:hAnsi="Arial"/>
          <w:sz w:val="19"/>
          <w:szCs w:val="19"/>
          <w:color w:val="auto"/>
        </w:rPr>
      </w:pPr>
      <w:r>
        <w:rPr>
          <w:rFonts w:ascii="Arial" w:cs="Arial" w:eastAsia="Arial" w:hAnsi="Arial"/>
          <w:sz w:val="19"/>
          <w:szCs w:val="19"/>
          <w:color w:val="auto"/>
        </w:rPr>
        <w:t>First quarter Pro Forma Adjusted EBITDA guidance consists of expected net loss from continuing operations of approximately $56 million; less impact of acquisition-related amortization of approximately $8 million; expected stock-based compensation expense of approximately $14 million; expected depreciation and amortization of property and equipment and amortization of capitalized implementation costs of approximately $18 million; expected interest expense, inclusive of issuance costs and debt discounts, net of approximately $120 million; less expected restructuring and other expenses of approximately $5 million; expected provision for income taxes of approximately $13 million; expected pro forma adjustments of approximately $9 million associated with costs previously allocated to Hospitality Solutions.</w:t>
      </w:r>
    </w:p>
    <w:p>
      <w:pPr>
        <w:spacing w:after="0" w:line="184" w:lineRule="exact"/>
        <w:rPr>
          <w:rFonts w:ascii="Arial" w:cs="Arial" w:eastAsia="Arial" w:hAnsi="Arial"/>
          <w:sz w:val="19"/>
          <w:szCs w:val="19"/>
          <w:color w:val="auto"/>
        </w:rPr>
      </w:pPr>
    </w:p>
    <w:p>
      <w:pPr>
        <w:jc w:val="both"/>
        <w:ind w:left="660" w:hanging="328"/>
        <w:spacing w:after="0" w:line="346" w:lineRule="auto"/>
        <w:tabs>
          <w:tab w:leader="none" w:pos="648" w:val="left"/>
        </w:tabs>
        <w:numPr>
          <w:ilvl w:val="0"/>
          <w:numId w:val="9"/>
        </w:numPr>
        <w:rPr>
          <w:rFonts w:ascii="Arial" w:cs="Arial" w:eastAsia="Arial" w:hAnsi="Arial"/>
          <w:sz w:val="19"/>
          <w:szCs w:val="19"/>
          <w:color w:val="auto"/>
        </w:rPr>
      </w:pPr>
      <w:r>
        <w:rPr>
          <w:rFonts w:ascii="Arial" w:cs="Arial" w:eastAsia="Arial" w:hAnsi="Arial"/>
          <w:sz w:val="19"/>
          <w:szCs w:val="19"/>
          <w:color w:val="auto"/>
        </w:rPr>
        <w:t>Full-year Pro Forma Adjusted EBITDA guidance consists of expected net loss from continuing operations of approximately $132 million; less impact of acquisition-related amortization of approximately $31 million; expected stock-based compensation expense of approximately $68 million; expected depreciation and amortization of property and equipment and amortization of capitalized implementation costs of approximately $72 million; expected interest expense, inclusive of issuance costs and debt discounts, net of approximately $478 million; expected restructuring and other expenses of approximately $14 million; expected provision for income taxes of approximately $31 million; expected pro forma adjustments of approximately $26 million associated with costs previously allocated to Hospitality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40" w:right="33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color w:val="auto"/>
        </w:rPr>
        <w:t>First Quarter and Full-Year 2026 Financial Outlook</w:t>
      </w: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Sabre's first quarter and full-year 2026 outlook is set forth below:</w:t>
      </w:r>
    </w:p>
    <w:p>
      <w:pPr>
        <w:spacing w:after="0" w:line="298" w:lineRule="exact"/>
        <w:rPr>
          <w:sz w:val="20"/>
          <w:szCs w:val="20"/>
          <w:color w:val="auto"/>
        </w:rPr>
      </w:pPr>
    </w:p>
    <w:tbl>
      <w:tblPr>
        <w:tblLayout w:type="fixed"/>
        <w:tblInd w:w="230" w:type="dxa"/>
        <w:tblCellMar>
          <w:top w:w="0" w:type="dxa"/>
          <w:left w:w="0" w:type="dxa"/>
          <w:bottom w:w="0" w:type="dxa"/>
          <w:right w:w="0" w:type="dxa"/>
        </w:tblCellMar>
      </w:tblPr>
      <w:tr>
        <w:trPr>
          <w:trHeight w:val="230"/>
        </w:trPr>
        <w:tc>
          <w:tcPr>
            <w:tcW w:w="4340" w:type="dxa"/>
            <w:vAlign w:val="bottom"/>
            <w:tcBorders>
              <w:top w:val="single" w:sz="8" w:color="auto"/>
              <w:left w:val="single" w:sz="8" w:color="auto"/>
              <w:right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980" w:type="dxa"/>
            <w:vAlign w:val="bottom"/>
            <w:tcBorders>
              <w:top w:val="single" w:sz="8" w:color="auto"/>
              <w:right w:val="single" w:sz="8" w:color="auto"/>
            </w:tcBorders>
            <w:gridSpan w:val="2"/>
          </w:tcPr>
          <w:p>
            <w:pPr>
              <w:jc w:val="center"/>
              <w:ind w:right="1140"/>
              <w:spacing w:after="0" w:line="229" w:lineRule="exact"/>
              <w:rPr>
                <w:sz w:val="20"/>
                <w:szCs w:val="20"/>
                <w:color w:val="auto"/>
              </w:rPr>
            </w:pPr>
            <w:r>
              <w:rPr>
                <w:rFonts w:ascii="Arial" w:cs="Arial" w:eastAsia="Arial" w:hAnsi="Arial"/>
                <w:sz w:val="22"/>
                <w:szCs w:val="22"/>
                <w:b w:val="1"/>
                <w:bCs w:val="1"/>
                <w:color w:val="auto"/>
                <w:w w:val="99"/>
              </w:rPr>
              <w:t>Q1 2026</w:t>
            </w:r>
          </w:p>
        </w:tc>
        <w:tc>
          <w:tcPr>
            <w:tcW w:w="160" w:type="dxa"/>
            <w:vAlign w:val="bottom"/>
            <w:tcBorders>
              <w:right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980" w:type="dxa"/>
            <w:vAlign w:val="bottom"/>
            <w:tcBorders>
              <w:top w:val="single" w:sz="8" w:color="auto"/>
              <w:right w:val="single" w:sz="8" w:color="auto"/>
            </w:tcBorders>
            <w:gridSpan w:val="2"/>
          </w:tcPr>
          <w:p>
            <w:pPr>
              <w:jc w:val="center"/>
              <w:ind w:right="1160"/>
              <w:spacing w:after="0" w:line="229" w:lineRule="exact"/>
              <w:rPr>
                <w:sz w:val="20"/>
                <w:szCs w:val="20"/>
                <w:color w:val="auto"/>
              </w:rPr>
            </w:pPr>
            <w:r>
              <w:rPr>
                <w:rFonts w:ascii="Arial" w:cs="Arial" w:eastAsia="Arial" w:hAnsi="Arial"/>
                <w:sz w:val="22"/>
                <w:szCs w:val="22"/>
                <w:b w:val="1"/>
                <w:bCs w:val="1"/>
                <w:color w:val="auto"/>
                <w:w w:val="98"/>
              </w:rPr>
              <w:t>FY 2026</w:t>
            </w:r>
          </w:p>
        </w:tc>
        <w:tc>
          <w:tcPr>
            <w:tcW w:w="0" w:type="dxa"/>
            <w:vAlign w:val="bottom"/>
          </w:tcPr>
          <w:p>
            <w:pPr>
              <w:spacing w:after="0"/>
              <w:rPr>
                <w:sz w:val="1"/>
                <w:szCs w:val="1"/>
                <w:color w:val="auto"/>
              </w:rPr>
            </w:pPr>
          </w:p>
        </w:tc>
      </w:tr>
      <w:tr>
        <w:trPr>
          <w:trHeight w:val="34"/>
        </w:trPr>
        <w:tc>
          <w:tcPr>
            <w:tcW w:w="434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340" w:type="dxa"/>
            <w:vAlign w:val="bottom"/>
            <w:tcBorders>
              <w:left w:val="single" w:sz="8" w:color="auto"/>
              <w:right w:val="single" w:sz="8" w:color="auto"/>
            </w:tcBorders>
            <w:vMerge w:val="restart"/>
            <w:shd w:val="clear" w:color="auto" w:fill="DBDBDB"/>
          </w:tcPr>
          <w:p>
            <w:pPr>
              <w:jc w:val="center"/>
              <w:spacing w:after="0"/>
              <w:rPr>
                <w:sz w:val="20"/>
                <w:szCs w:val="20"/>
                <w:color w:val="auto"/>
              </w:rPr>
            </w:pPr>
            <w:r>
              <w:rPr>
                <w:rFonts w:ascii="Arial" w:cs="Arial" w:eastAsia="Arial" w:hAnsi="Arial"/>
                <w:sz w:val="22"/>
                <w:szCs w:val="22"/>
                <w:b w:val="1"/>
                <w:bCs w:val="1"/>
                <w:color w:val="auto"/>
                <w:w w:val="97"/>
              </w:rPr>
              <w:t>Air Distribution Volumes</w:t>
            </w:r>
          </w:p>
        </w:tc>
        <w:tc>
          <w:tcPr>
            <w:tcW w:w="140" w:type="dxa"/>
            <w:vAlign w:val="bottom"/>
            <w:tcBorders>
              <w:right w:val="single" w:sz="8" w:color="auto"/>
            </w:tcBorders>
          </w:tcPr>
          <w:p>
            <w:pPr>
              <w:spacing w:after="0"/>
              <w:rPr>
                <w:sz w:val="17"/>
                <w:szCs w:val="17"/>
                <w:color w:val="auto"/>
              </w:rPr>
            </w:pPr>
          </w:p>
        </w:tc>
        <w:tc>
          <w:tcPr>
            <w:tcW w:w="3100" w:type="dxa"/>
            <w:vAlign w:val="bottom"/>
            <w:tcBorders>
              <w:right w:val="single" w:sz="8" w:color="auto"/>
            </w:tcBorders>
            <w:gridSpan w:val="3"/>
            <w:shd w:val="clear" w:color="auto" w:fill="DBDBDB"/>
          </w:tcPr>
          <w:p>
            <w:pPr>
              <w:jc w:val="center"/>
              <w:ind w:right="20"/>
              <w:spacing w:after="0" w:line="195" w:lineRule="exact"/>
              <w:rPr>
                <w:sz w:val="20"/>
                <w:szCs w:val="20"/>
                <w:color w:val="auto"/>
              </w:rPr>
            </w:pPr>
            <w:r>
              <w:rPr>
                <w:rFonts w:ascii="Arial" w:cs="Arial" w:eastAsia="Arial" w:hAnsi="Arial"/>
                <w:sz w:val="22"/>
                <w:szCs w:val="22"/>
                <w:b w:val="1"/>
                <w:bCs w:val="1"/>
                <w:color w:val="auto"/>
                <w:w w:val="99"/>
              </w:rPr>
              <w:t>Mid-single digit</w:t>
            </w:r>
          </w:p>
        </w:tc>
        <w:tc>
          <w:tcPr>
            <w:tcW w:w="160" w:type="dxa"/>
            <w:vAlign w:val="bottom"/>
            <w:tcBorders>
              <w:right w:val="single" w:sz="8" w:color="auto"/>
            </w:tcBorders>
          </w:tcPr>
          <w:p>
            <w:pPr>
              <w:spacing w:after="0"/>
              <w:rPr>
                <w:sz w:val="17"/>
                <w:szCs w:val="17"/>
                <w:color w:val="auto"/>
              </w:rPr>
            </w:pPr>
          </w:p>
        </w:tc>
        <w:tc>
          <w:tcPr>
            <w:tcW w:w="3100" w:type="dxa"/>
            <w:vAlign w:val="bottom"/>
            <w:tcBorders>
              <w:right w:val="single" w:sz="8" w:color="auto"/>
            </w:tcBorders>
            <w:gridSpan w:val="3"/>
            <w:shd w:val="clear" w:color="auto" w:fill="DBDBDB"/>
          </w:tcPr>
          <w:p>
            <w:pPr>
              <w:jc w:val="center"/>
              <w:ind w:right="40"/>
              <w:spacing w:after="0" w:line="195" w:lineRule="exact"/>
              <w:rPr>
                <w:sz w:val="20"/>
                <w:szCs w:val="20"/>
                <w:color w:val="auto"/>
              </w:rPr>
            </w:pPr>
            <w:r>
              <w:rPr>
                <w:rFonts w:ascii="Arial" w:cs="Arial" w:eastAsia="Arial" w:hAnsi="Arial"/>
                <w:sz w:val="22"/>
                <w:szCs w:val="22"/>
                <w:b w:val="1"/>
                <w:bCs w:val="1"/>
                <w:color w:val="auto"/>
                <w:w w:val="97"/>
              </w:rPr>
              <w:t>Mid-single digit</w:t>
            </w:r>
          </w:p>
        </w:tc>
        <w:tc>
          <w:tcPr>
            <w:tcW w:w="0" w:type="dxa"/>
            <w:vAlign w:val="bottom"/>
          </w:tcPr>
          <w:p>
            <w:pPr>
              <w:spacing w:after="0"/>
              <w:rPr>
                <w:sz w:val="1"/>
                <w:szCs w:val="1"/>
                <w:color w:val="auto"/>
              </w:rPr>
            </w:pPr>
          </w:p>
        </w:tc>
      </w:tr>
      <w:tr>
        <w:trPr>
          <w:trHeight w:val="188"/>
        </w:trPr>
        <w:tc>
          <w:tcPr>
            <w:tcW w:w="4340" w:type="dxa"/>
            <w:vAlign w:val="bottom"/>
            <w:tcBorders>
              <w:left w:val="single" w:sz="8" w:color="auto"/>
              <w:right w:val="single" w:sz="8" w:color="auto"/>
            </w:tcBorders>
            <w:vMerge w:val="continue"/>
            <w:shd w:val="clear" w:color="auto" w:fill="DBDBDB"/>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100" w:type="dxa"/>
            <w:vAlign w:val="bottom"/>
            <w:tcBorders>
              <w:right w:val="single" w:sz="8" w:color="auto"/>
            </w:tcBorders>
            <w:gridSpan w:val="3"/>
            <w:vMerge w:val="restart"/>
            <w:shd w:val="clear" w:color="auto" w:fill="DBDBDB"/>
          </w:tcPr>
          <w:p>
            <w:pPr>
              <w:jc w:val="center"/>
              <w:ind w:right="20"/>
              <w:spacing w:after="0"/>
              <w:rPr>
                <w:sz w:val="20"/>
                <w:szCs w:val="20"/>
                <w:color w:val="auto"/>
              </w:rPr>
            </w:pPr>
            <w:r>
              <w:rPr>
                <w:rFonts w:ascii="Arial" w:cs="Arial" w:eastAsia="Arial" w:hAnsi="Arial"/>
                <w:sz w:val="22"/>
                <w:szCs w:val="22"/>
                <w:b w:val="1"/>
                <w:bCs w:val="1"/>
                <w:color w:val="auto"/>
                <w:w w:val="98"/>
              </w:rPr>
              <w:t>YoY growth</w:t>
            </w:r>
          </w:p>
        </w:tc>
        <w:tc>
          <w:tcPr>
            <w:tcW w:w="160" w:type="dxa"/>
            <w:vAlign w:val="bottom"/>
            <w:tcBorders>
              <w:right w:val="single" w:sz="8" w:color="auto"/>
            </w:tcBorders>
          </w:tcPr>
          <w:p>
            <w:pPr>
              <w:spacing w:after="0"/>
              <w:rPr>
                <w:sz w:val="16"/>
                <w:szCs w:val="16"/>
                <w:color w:val="auto"/>
              </w:rPr>
            </w:pPr>
          </w:p>
        </w:tc>
        <w:tc>
          <w:tcPr>
            <w:tcW w:w="3100" w:type="dxa"/>
            <w:vAlign w:val="bottom"/>
            <w:tcBorders>
              <w:right w:val="single" w:sz="8" w:color="auto"/>
            </w:tcBorders>
            <w:gridSpan w:val="3"/>
            <w:vMerge w:val="restart"/>
            <w:shd w:val="clear" w:color="auto" w:fill="DBDBDB"/>
          </w:tcPr>
          <w:p>
            <w:pPr>
              <w:jc w:val="center"/>
              <w:ind w:right="40"/>
              <w:spacing w:after="0"/>
              <w:rPr>
                <w:sz w:val="20"/>
                <w:szCs w:val="20"/>
                <w:color w:val="auto"/>
              </w:rPr>
            </w:pPr>
            <w:r>
              <w:rPr>
                <w:rFonts w:ascii="Arial" w:cs="Arial" w:eastAsia="Arial" w:hAnsi="Arial"/>
                <w:sz w:val="22"/>
                <w:szCs w:val="22"/>
                <w:b w:val="1"/>
                <w:bCs w:val="1"/>
                <w:color w:val="auto"/>
                <w:w w:val="96"/>
              </w:rPr>
              <w:t>YoY growth</w:t>
            </w:r>
          </w:p>
        </w:tc>
        <w:tc>
          <w:tcPr>
            <w:tcW w:w="0" w:type="dxa"/>
            <w:vAlign w:val="bottom"/>
          </w:tcPr>
          <w:p>
            <w:pPr>
              <w:spacing w:after="0"/>
              <w:rPr>
                <w:sz w:val="1"/>
                <w:szCs w:val="1"/>
                <w:color w:val="auto"/>
              </w:rPr>
            </w:pPr>
          </w:p>
        </w:tc>
      </w:tr>
      <w:tr>
        <w:trPr>
          <w:trHeight w:val="95"/>
        </w:trPr>
        <w:tc>
          <w:tcPr>
            <w:tcW w:w="4340" w:type="dxa"/>
            <w:vAlign w:val="bottom"/>
            <w:tcBorders>
              <w:left w:val="single" w:sz="8" w:color="auto"/>
              <w:right w:val="single" w:sz="8" w:color="auto"/>
            </w:tcBorders>
            <w:shd w:val="clear" w:color="auto" w:fill="DBDBDB"/>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3100" w:type="dxa"/>
            <w:vAlign w:val="bottom"/>
            <w:tcBorders>
              <w:right w:val="single" w:sz="8" w:color="auto"/>
            </w:tcBorders>
            <w:gridSpan w:val="3"/>
            <w:vMerge w:val="continue"/>
            <w:shd w:val="clear" w:color="auto" w:fill="DBDBDB"/>
          </w:tcPr>
          <w:p>
            <w:pPr>
              <w:spacing w:after="0"/>
              <w:rPr>
                <w:sz w:val="8"/>
                <w:szCs w:val="8"/>
                <w:color w:val="auto"/>
              </w:rPr>
            </w:pPr>
          </w:p>
        </w:tc>
        <w:tc>
          <w:tcPr>
            <w:tcW w:w="160" w:type="dxa"/>
            <w:vAlign w:val="bottom"/>
            <w:tcBorders>
              <w:right w:val="single" w:sz="8" w:color="auto"/>
            </w:tcBorders>
          </w:tcPr>
          <w:p>
            <w:pPr>
              <w:spacing w:after="0"/>
              <w:rPr>
                <w:sz w:val="8"/>
                <w:szCs w:val="8"/>
                <w:color w:val="auto"/>
              </w:rPr>
            </w:pPr>
          </w:p>
        </w:tc>
        <w:tc>
          <w:tcPr>
            <w:tcW w:w="3100" w:type="dxa"/>
            <w:vAlign w:val="bottom"/>
            <w:tcBorders>
              <w:right w:val="single" w:sz="8" w:color="auto"/>
            </w:tcBorders>
            <w:gridSpan w:val="3"/>
            <w:vMerge w:val="continue"/>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3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98"/>
              </w:rPr>
              <w:t>Revenue</w:t>
            </w:r>
          </w:p>
        </w:tc>
        <w:tc>
          <w:tcPr>
            <w:tcW w:w="140" w:type="dxa"/>
            <w:vAlign w:val="bottom"/>
            <w:tcBorders>
              <w:right w:val="single" w:sz="8" w:color="auto"/>
            </w:tcBorders>
          </w:tcPr>
          <w:p>
            <w:pPr>
              <w:spacing w:after="0"/>
              <w:rPr>
                <w:sz w:val="17"/>
                <w:szCs w:val="17"/>
                <w:color w:val="auto"/>
              </w:rPr>
            </w:pPr>
          </w:p>
        </w:tc>
        <w:tc>
          <w:tcPr>
            <w:tcW w:w="3100" w:type="dxa"/>
            <w:vAlign w:val="bottom"/>
            <w:tcBorders>
              <w:right w:val="single" w:sz="8" w:color="auto"/>
            </w:tcBorders>
            <w:gridSpan w:val="3"/>
          </w:tcPr>
          <w:p>
            <w:pPr>
              <w:jc w:val="center"/>
              <w:ind w:right="20"/>
              <w:spacing w:after="0" w:line="203" w:lineRule="exact"/>
              <w:rPr>
                <w:sz w:val="20"/>
                <w:szCs w:val="20"/>
                <w:color w:val="auto"/>
              </w:rPr>
            </w:pPr>
            <w:r>
              <w:rPr>
                <w:rFonts w:ascii="Arial" w:cs="Arial" w:eastAsia="Arial" w:hAnsi="Arial"/>
                <w:sz w:val="22"/>
                <w:szCs w:val="22"/>
                <w:b w:val="1"/>
                <w:bCs w:val="1"/>
                <w:color w:val="auto"/>
                <w:w w:val="99"/>
              </w:rPr>
              <w:t>Mid-single digit</w:t>
            </w:r>
          </w:p>
        </w:tc>
        <w:tc>
          <w:tcPr>
            <w:tcW w:w="160" w:type="dxa"/>
            <w:vAlign w:val="bottom"/>
            <w:tcBorders>
              <w:right w:val="single" w:sz="8" w:color="auto"/>
            </w:tcBorders>
          </w:tcPr>
          <w:p>
            <w:pPr>
              <w:spacing w:after="0"/>
              <w:rPr>
                <w:sz w:val="17"/>
                <w:szCs w:val="17"/>
                <w:color w:val="auto"/>
              </w:rPr>
            </w:pPr>
          </w:p>
        </w:tc>
        <w:tc>
          <w:tcPr>
            <w:tcW w:w="3100" w:type="dxa"/>
            <w:vAlign w:val="bottom"/>
            <w:tcBorders>
              <w:right w:val="single" w:sz="8" w:color="auto"/>
            </w:tcBorders>
            <w:gridSpan w:val="3"/>
          </w:tcPr>
          <w:p>
            <w:pPr>
              <w:jc w:val="center"/>
              <w:ind w:right="40"/>
              <w:spacing w:after="0" w:line="203" w:lineRule="exact"/>
              <w:rPr>
                <w:sz w:val="20"/>
                <w:szCs w:val="20"/>
                <w:color w:val="auto"/>
              </w:rPr>
            </w:pPr>
            <w:r>
              <w:rPr>
                <w:rFonts w:ascii="Arial" w:cs="Arial" w:eastAsia="Arial" w:hAnsi="Arial"/>
                <w:sz w:val="22"/>
                <w:szCs w:val="22"/>
                <w:b w:val="1"/>
                <w:bCs w:val="1"/>
                <w:color w:val="auto"/>
                <w:w w:val="97"/>
              </w:rPr>
              <w:t>Mid-single digit</w:t>
            </w:r>
          </w:p>
        </w:tc>
        <w:tc>
          <w:tcPr>
            <w:tcW w:w="0" w:type="dxa"/>
            <w:vAlign w:val="bottom"/>
          </w:tcPr>
          <w:p>
            <w:pPr>
              <w:spacing w:after="0"/>
              <w:rPr>
                <w:sz w:val="1"/>
                <w:szCs w:val="1"/>
                <w:color w:val="auto"/>
              </w:rPr>
            </w:pPr>
          </w:p>
        </w:tc>
      </w:tr>
      <w:tr>
        <w:trPr>
          <w:trHeight w:val="188"/>
        </w:trPr>
        <w:tc>
          <w:tcPr>
            <w:tcW w:w="4340" w:type="dxa"/>
            <w:vAlign w:val="bottom"/>
            <w:tcBorders>
              <w:left w:val="single" w:sz="8" w:color="auto"/>
              <w:right w:val="single" w:sz="8" w:color="auto"/>
            </w:tcBorders>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100" w:type="dxa"/>
            <w:vAlign w:val="bottom"/>
            <w:tcBorders>
              <w:right w:val="single" w:sz="8" w:color="auto"/>
            </w:tcBorders>
            <w:gridSpan w:val="3"/>
            <w:vMerge w:val="restart"/>
          </w:tcPr>
          <w:p>
            <w:pPr>
              <w:jc w:val="center"/>
              <w:ind w:right="20"/>
              <w:spacing w:after="0"/>
              <w:rPr>
                <w:sz w:val="20"/>
                <w:szCs w:val="20"/>
                <w:color w:val="auto"/>
              </w:rPr>
            </w:pPr>
            <w:r>
              <w:rPr>
                <w:rFonts w:ascii="Arial" w:cs="Arial" w:eastAsia="Arial" w:hAnsi="Arial"/>
                <w:sz w:val="22"/>
                <w:szCs w:val="22"/>
                <w:b w:val="1"/>
                <w:bCs w:val="1"/>
                <w:color w:val="auto"/>
                <w:w w:val="98"/>
              </w:rPr>
              <w:t>YoY growth</w:t>
            </w:r>
          </w:p>
        </w:tc>
        <w:tc>
          <w:tcPr>
            <w:tcW w:w="160" w:type="dxa"/>
            <w:vAlign w:val="bottom"/>
            <w:tcBorders>
              <w:right w:val="single" w:sz="8" w:color="auto"/>
            </w:tcBorders>
          </w:tcPr>
          <w:p>
            <w:pPr>
              <w:spacing w:after="0"/>
              <w:rPr>
                <w:sz w:val="16"/>
                <w:szCs w:val="16"/>
                <w:color w:val="auto"/>
              </w:rPr>
            </w:pPr>
          </w:p>
        </w:tc>
        <w:tc>
          <w:tcPr>
            <w:tcW w:w="3100" w:type="dxa"/>
            <w:vAlign w:val="bottom"/>
            <w:tcBorders>
              <w:right w:val="single" w:sz="8" w:color="auto"/>
            </w:tcBorders>
            <w:gridSpan w:val="3"/>
            <w:vMerge w:val="restart"/>
          </w:tcPr>
          <w:p>
            <w:pPr>
              <w:jc w:val="center"/>
              <w:ind w:right="40"/>
              <w:spacing w:after="0"/>
              <w:rPr>
                <w:sz w:val="20"/>
                <w:szCs w:val="20"/>
                <w:color w:val="auto"/>
              </w:rPr>
            </w:pPr>
            <w:r>
              <w:rPr>
                <w:rFonts w:ascii="Arial" w:cs="Arial" w:eastAsia="Arial" w:hAnsi="Arial"/>
                <w:sz w:val="22"/>
                <w:szCs w:val="22"/>
                <w:b w:val="1"/>
                <w:bCs w:val="1"/>
                <w:color w:val="auto"/>
                <w:w w:val="96"/>
              </w:rPr>
              <w:t>YoY growth</w:t>
            </w:r>
          </w:p>
        </w:tc>
        <w:tc>
          <w:tcPr>
            <w:tcW w:w="0" w:type="dxa"/>
            <w:vAlign w:val="bottom"/>
          </w:tcPr>
          <w:p>
            <w:pPr>
              <w:spacing w:after="0"/>
              <w:rPr>
                <w:sz w:val="1"/>
                <w:szCs w:val="1"/>
                <w:color w:val="auto"/>
              </w:rPr>
            </w:pPr>
          </w:p>
        </w:tc>
      </w:tr>
      <w:tr>
        <w:trPr>
          <w:trHeight w:val="96"/>
        </w:trPr>
        <w:tc>
          <w:tcPr>
            <w:tcW w:w="4340" w:type="dxa"/>
            <w:vAlign w:val="bottom"/>
            <w:tcBorders>
              <w:left w:val="single" w:sz="8" w:color="auto"/>
              <w:right w:val="single" w:sz="8" w:color="auto"/>
            </w:tcBorders>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3100" w:type="dxa"/>
            <w:vAlign w:val="bottom"/>
            <w:tcBorders>
              <w:right w:val="single" w:sz="8" w:color="auto"/>
            </w:tcBorders>
            <w:gridSpan w:val="3"/>
            <w:vMerge w:val="continue"/>
          </w:tcPr>
          <w:p>
            <w:pPr>
              <w:spacing w:after="0"/>
              <w:rPr>
                <w:sz w:val="8"/>
                <w:szCs w:val="8"/>
                <w:color w:val="auto"/>
              </w:rPr>
            </w:pPr>
          </w:p>
        </w:tc>
        <w:tc>
          <w:tcPr>
            <w:tcW w:w="160" w:type="dxa"/>
            <w:vAlign w:val="bottom"/>
            <w:tcBorders>
              <w:right w:val="single" w:sz="8" w:color="auto"/>
            </w:tcBorders>
          </w:tcPr>
          <w:p>
            <w:pPr>
              <w:spacing w:after="0"/>
              <w:rPr>
                <w:sz w:val="8"/>
                <w:szCs w:val="8"/>
                <w:color w:val="auto"/>
              </w:rPr>
            </w:pPr>
          </w:p>
        </w:tc>
        <w:tc>
          <w:tcPr>
            <w:tcW w:w="3100" w:type="dxa"/>
            <w:vAlign w:val="bottom"/>
            <w:tcBorders>
              <w:right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4340" w:type="dxa"/>
            <w:vAlign w:val="bottom"/>
            <w:tcBorders>
              <w:left w:val="single" w:sz="8" w:color="auto"/>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22"/>
                <w:szCs w:val="22"/>
                <w:b w:val="1"/>
                <w:bCs w:val="1"/>
                <w:color w:val="auto"/>
                <w:w w:val="97"/>
              </w:rPr>
              <w:t>Pro Forma Adjusted EBITDA</w:t>
            </w:r>
          </w:p>
        </w:tc>
        <w:tc>
          <w:tcPr>
            <w:tcW w:w="140" w:type="dxa"/>
            <w:vAlign w:val="bottom"/>
            <w:tcBorders>
              <w:right w:val="single" w:sz="8" w:color="auto"/>
            </w:tcBorders>
          </w:tcPr>
          <w:p>
            <w:pPr>
              <w:spacing w:after="0"/>
              <w:rPr>
                <w:sz w:val="23"/>
                <w:szCs w:val="23"/>
                <w:color w:val="auto"/>
              </w:rPr>
            </w:pPr>
          </w:p>
        </w:tc>
        <w:tc>
          <w:tcPr>
            <w:tcW w:w="1120" w:type="dxa"/>
            <w:vAlign w:val="bottom"/>
            <w:tcBorders>
              <w:bottom w:val="single" w:sz="8" w:color="auto"/>
            </w:tcBorders>
            <w:shd w:val="clear" w:color="auto" w:fill="DBDBDB"/>
          </w:tcPr>
          <w:p>
            <w:pPr>
              <w:spacing w:after="0"/>
              <w:rPr>
                <w:sz w:val="23"/>
                <w:szCs w:val="23"/>
                <w:color w:val="auto"/>
              </w:rPr>
            </w:pPr>
          </w:p>
        </w:tc>
        <w:tc>
          <w:tcPr>
            <w:tcW w:w="1980" w:type="dxa"/>
            <w:vAlign w:val="bottom"/>
            <w:tcBorders>
              <w:bottom w:val="single" w:sz="8" w:color="auto"/>
              <w:right w:val="single" w:sz="8" w:color="auto"/>
            </w:tcBorders>
            <w:gridSpan w:val="2"/>
            <w:shd w:val="clear" w:color="auto" w:fill="DBDBDB"/>
          </w:tcPr>
          <w:p>
            <w:pPr>
              <w:jc w:val="center"/>
              <w:ind w:right="1140"/>
              <w:spacing w:after="0"/>
              <w:rPr>
                <w:sz w:val="20"/>
                <w:szCs w:val="20"/>
                <w:color w:val="auto"/>
              </w:rPr>
            </w:pPr>
            <w:r>
              <w:rPr>
                <w:rFonts w:ascii="Arial" w:cs="Arial" w:eastAsia="Arial" w:hAnsi="Arial"/>
                <w:sz w:val="22"/>
                <w:szCs w:val="22"/>
                <w:b w:val="1"/>
                <w:bCs w:val="1"/>
                <w:color w:val="auto"/>
                <w:w w:val="99"/>
              </w:rPr>
              <w:t>~$130M</w:t>
            </w:r>
          </w:p>
        </w:tc>
        <w:tc>
          <w:tcPr>
            <w:tcW w:w="160" w:type="dxa"/>
            <w:vAlign w:val="bottom"/>
            <w:tcBorders>
              <w:right w:val="single" w:sz="8" w:color="auto"/>
            </w:tcBorders>
          </w:tcPr>
          <w:p>
            <w:pPr>
              <w:spacing w:after="0"/>
              <w:rPr>
                <w:sz w:val="23"/>
                <w:szCs w:val="23"/>
                <w:color w:val="auto"/>
              </w:rPr>
            </w:pPr>
          </w:p>
        </w:tc>
        <w:tc>
          <w:tcPr>
            <w:tcW w:w="1120" w:type="dxa"/>
            <w:vAlign w:val="bottom"/>
            <w:tcBorders>
              <w:bottom w:val="single" w:sz="8" w:color="auto"/>
            </w:tcBorders>
            <w:shd w:val="clear" w:color="auto" w:fill="DBDBDB"/>
          </w:tcPr>
          <w:p>
            <w:pPr>
              <w:spacing w:after="0"/>
              <w:rPr>
                <w:sz w:val="23"/>
                <w:szCs w:val="23"/>
                <w:color w:val="auto"/>
              </w:rPr>
            </w:pPr>
          </w:p>
        </w:tc>
        <w:tc>
          <w:tcPr>
            <w:tcW w:w="1980" w:type="dxa"/>
            <w:vAlign w:val="bottom"/>
            <w:tcBorders>
              <w:bottom w:val="single" w:sz="8" w:color="auto"/>
              <w:right w:val="single" w:sz="8" w:color="auto"/>
            </w:tcBorders>
            <w:gridSpan w:val="2"/>
            <w:shd w:val="clear" w:color="auto" w:fill="DBDBDB"/>
          </w:tcPr>
          <w:p>
            <w:pPr>
              <w:jc w:val="center"/>
              <w:ind w:right="1160"/>
              <w:spacing w:after="0"/>
              <w:rPr>
                <w:sz w:val="20"/>
                <w:szCs w:val="20"/>
                <w:color w:val="auto"/>
              </w:rPr>
            </w:pPr>
            <w:r>
              <w:rPr>
                <w:rFonts w:ascii="Arial" w:cs="Arial" w:eastAsia="Arial" w:hAnsi="Arial"/>
                <w:sz w:val="22"/>
                <w:szCs w:val="22"/>
                <w:b w:val="1"/>
                <w:bCs w:val="1"/>
                <w:color w:val="auto"/>
                <w:w w:val="97"/>
              </w:rPr>
              <w:t>~$585M</w:t>
            </w:r>
          </w:p>
        </w:tc>
        <w:tc>
          <w:tcPr>
            <w:tcW w:w="0" w:type="dxa"/>
            <w:vAlign w:val="bottom"/>
          </w:tcPr>
          <w:p>
            <w:pPr>
              <w:spacing w:after="0"/>
              <w:rPr>
                <w:sz w:val="1"/>
                <w:szCs w:val="1"/>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Leadership Changes</w:t>
      </w:r>
    </w:p>
    <w:p>
      <w:pPr>
        <w:spacing w:after="0" w:line="285" w:lineRule="exact"/>
        <w:rPr>
          <w:sz w:val="20"/>
          <w:szCs w:val="20"/>
          <w:color w:val="auto"/>
        </w:rPr>
      </w:pPr>
    </w:p>
    <w:p>
      <w:pPr>
        <w:spacing w:after="0" w:line="356" w:lineRule="auto"/>
        <w:rPr>
          <w:sz w:val="20"/>
          <w:szCs w:val="20"/>
          <w:color w:val="auto"/>
        </w:rPr>
      </w:pPr>
      <w:r>
        <w:rPr>
          <w:rFonts w:ascii="Arial" w:cs="Arial" w:eastAsia="Arial" w:hAnsi="Arial"/>
          <w:sz w:val="20"/>
          <w:szCs w:val="20"/>
          <w:color w:val="auto"/>
        </w:rPr>
        <w:t>Today Sabre announced a series of executive leadership changes aligned with our growth strategies and transformation. Unless otherwise noted, these changes are effective February 19, 2026.</w:t>
      </w:r>
    </w:p>
    <w:p>
      <w:pPr>
        <w:spacing w:after="0" w:line="168" w:lineRule="exact"/>
        <w:rPr>
          <w:sz w:val="20"/>
          <w:szCs w:val="20"/>
          <w:color w:val="auto"/>
        </w:rPr>
      </w:pPr>
    </w:p>
    <w:p>
      <w:pPr>
        <w:jc w:val="both"/>
        <w:ind w:left="660" w:hanging="328"/>
        <w:spacing w:after="0" w:line="319" w:lineRule="auto"/>
        <w:tabs>
          <w:tab w:leader="none" w:pos="648" w:val="left"/>
        </w:tabs>
        <w:numPr>
          <w:ilvl w:val="0"/>
          <w:numId w:val="10"/>
        </w:numPr>
        <w:rPr>
          <w:rFonts w:ascii="Arial" w:cs="Arial" w:eastAsia="Arial" w:hAnsi="Arial"/>
          <w:sz w:val="20"/>
          <w:szCs w:val="20"/>
          <w:color w:val="auto"/>
        </w:rPr>
      </w:pPr>
      <w:r>
        <w:rPr>
          <w:rFonts w:ascii="Arial" w:cs="Arial" w:eastAsia="Arial" w:hAnsi="Arial"/>
          <w:sz w:val="20"/>
          <w:szCs w:val="20"/>
          <w:color w:val="auto"/>
        </w:rPr>
        <w:t>Garry Wiseman is promoted to President, Product and Engineering, with his remit expanded to include leadership of innovation and agentic AI. Mr. Wiseman is now in his fourth year at Sabre and has driven a profound impact following extensive experience at large technology platform companies.</w:t>
      </w:r>
    </w:p>
    <w:p>
      <w:pPr>
        <w:jc w:val="both"/>
        <w:ind w:left="660" w:hanging="328"/>
        <w:spacing w:after="0" w:line="318" w:lineRule="auto"/>
        <w:tabs>
          <w:tab w:leader="none" w:pos="648" w:val="left"/>
        </w:tabs>
        <w:numPr>
          <w:ilvl w:val="0"/>
          <w:numId w:val="10"/>
        </w:numPr>
        <w:rPr>
          <w:rFonts w:ascii="Arial" w:cs="Arial" w:eastAsia="Arial" w:hAnsi="Arial"/>
          <w:sz w:val="20"/>
          <w:szCs w:val="20"/>
          <w:color w:val="auto"/>
        </w:rPr>
      </w:pPr>
      <w:r>
        <w:rPr>
          <w:rFonts w:ascii="Arial" w:cs="Arial" w:eastAsia="Arial" w:hAnsi="Arial"/>
          <w:sz w:val="20"/>
          <w:szCs w:val="20"/>
          <w:color w:val="auto"/>
        </w:rPr>
        <w:t>Shawn Williams is promoted to Executive Vice President and Chief Operating Officer and will lead Sabre’s revenue and commercial operations functions. Mr. Williams moves from his current role as Executive Vice President and Chief Administrative Officer and has a background deep in strategy and enterprise-wide operations leadership at multiple technology firms.</w:t>
      </w:r>
    </w:p>
    <w:p>
      <w:pPr>
        <w:spacing w:after="0" w:line="23" w:lineRule="exact"/>
        <w:rPr>
          <w:rFonts w:ascii="Arial" w:cs="Arial" w:eastAsia="Arial" w:hAnsi="Arial"/>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22"/>
          <w:szCs w:val="22"/>
          <w:color w:val="auto"/>
        </w:rPr>
      </w:pPr>
      <w:r>
        <w:rPr>
          <w:rFonts w:ascii="Arial" w:cs="Arial" w:eastAsia="Arial" w:hAnsi="Arial"/>
          <w:sz w:val="20"/>
          <w:szCs w:val="20"/>
          <w:color w:val="auto"/>
        </w:rPr>
        <w:t>Andy Finkelstein is promoted to Chief Commercial Officer, Travel Marketplace.</w:t>
      </w:r>
    </w:p>
    <w:p>
      <w:pPr>
        <w:spacing w:after="0" w:line="8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0"/>
        </w:numPr>
        <w:rPr>
          <w:rFonts w:ascii="Times New Roman" w:cs="Times New Roman" w:eastAsia="Times New Roman" w:hAnsi="Times New Roman"/>
          <w:sz w:val="22"/>
          <w:szCs w:val="22"/>
          <w:color w:val="auto"/>
        </w:rPr>
      </w:pPr>
      <w:r>
        <w:rPr>
          <w:rFonts w:ascii="Arial" w:cs="Arial" w:eastAsia="Arial" w:hAnsi="Arial"/>
          <w:sz w:val="20"/>
          <w:szCs w:val="20"/>
          <w:color w:val="auto"/>
        </w:rPr>
        <w:t>Dave Medrano is promoted to Chief People Officer.</w:t>
      </w:r>
    </w:p>
    <w:p>
      <w:pPr>
        <w:spacing w:after="0" w:line="71" w:lineRule="exact"/>
        <w:rPr>
          <w:rFonts w:ascii="Times New Roman" w:cs="Times New Roman" w:eastAsia="Times New Roman" w:hAnsi="Times New Roman"/>
          <w:sz w:val="22"/>
          <w:szCs w:val="22"/>
          <w:color w:val="auto"/>
        </w:rPr>
      </w:pPr>
    </w:p>
    <w:p>
      <w:pPr>
        <w:jc w:val="both"/>
        <w:ind w:left="660" w:hanging="328"/>
        <w:spacing w:after="0" w:line="333" w:lineRule="auto"/>
        <w:tabs>
          <w:tab w:leader="none" w:pos="648" w:val="left"/>
        </w:tabs>
        <w:numPr>
          <w:ilvl w:val="0"/>
          <w:numId w:val="10"/>
        </w:numPr>
        <w:rPr>
          <w:rFonts w:ascii="Arial" w:cs="Arial" w:eastAsia="Arial" w:hAnsi="Arial"/>
          <w:sz w:val="20"/>
          <w:szCs w:val="20"/>
          <w:color w:val="auto"/>
        </w:rPr>
      </w:pPr>
      <w:r>
        <w:rPr>
          <w:rFonts w:ascii="Arial" w:cs="Arial" w:eastAsia="Arial" w:hAnsi="Arial"/>
          <w:sz w:val="20"/>
          <w:szCs w:val="20"/>
          <w:color w:val="auto"/>
        </w:rPr>
        <w:t>Roshan Mendis, Executive Vice President and Chief Commercial Officer, has decided to depart Sabre for another opportunity, and will transition to a senior advisor role until his expected departure in the second quarter of 2026. He has been a superb leader during his many years with Sabre and we wish him continued success.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12" w:right="339" w:bottom="1440" w:gutter="0" w:footer="0" w:header="0"/>
        </w:sectPr>
      </w:pPr>
    </w:p>
    <w:bookmarkStart w:id="11" w:name="page12"/>
    <w:bookmarkEnd w:id="11"/>
    <w:p>
      <w:pPr>
        <w:spacing w:after="0" w:line="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w:t>
      </w:r>
    </w:p>
    <w:p>
      <w:pPr>
        <w:spacing w:after="0" w:line="326" w:lineRule="exact"/>
        <w:rPr>
          <w:sz w:val="20"/>
          <w:szCs w:val="20"/>
          <w:color w:val="auto"/>
        </w:rPr>
      </w:pPr>
    </w:p>
    <w:p>
      <w:pPr>
        <w:jc w:val="both"/>
        <w:spacing w:after="0" w:line="333" w:lineRule="auto"/>
        <w:rPr>
          <w:sz w:val="20"/>
          <w:szCs w:val="20"/>
          <w:color w:val="auto"/>
        </w:rPr>
      </w:pPr>
      <w:r>
        <w:rPr>
          <w:rFonts w:ascii="Arial" w:cs="Arial" w:eastAsia="Arial" w:hAnsi="Arial"/>
          <w:sz w:val="20"/>
          <w:szCs w:val="20"/>
          <w:color w:val="auto"/>
        </w:rPr>
        <w:t xml:space="preserve">Sabre will conduct its fourth quarter and full-year 2025 investor conference call today at 9:00 a.m. ET. The live webcast and accompanying slide presentation can be accessed via the Investor Relations section of its website, </w:t>
      </w:r>
      <w:r>
        <w:rPr>
          <w:rFonts w:ascii="Arial" w:cs="Arial" w:eastAsia="Arial" w:hAnsi="Arial"/>
          <w:sz w:val="20"/>
          <w:szCs w:val="20"/>
          <w:u w:val="single" w:color="auto"/>
          <w:color w:val="1D12FF"/>
        </w:rPr>
        <w:t>investors.sabre.com</w:t>
      </w:r>
      <w:r>
        <w:rPr>
          <w:rFonts w:ascii="Arial" w:cs="Arial" w:eastAsia="Arial" w:hAnsi="Arial"/>
          <w:sz w:val="20"/>
          <w:szCs w:val="20"/>
          <w:color w:val="auto"/>
        </w:rPr>
        <w:t>. A replay of the event will be available for at least 90 days following the event.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Sabre Corporation</w:t>
      </w:r>
    </w:p>
    <w:p>
      <w:pPr>
        <w:spacing w:after="0" w:line="326" w:lineRule="exact"/>
        <w:rPr>
          <w:sz w:val="20"/>
          <w:szCs w:val="20"/>
          <w:color w:val="auto"/>
        </w:rPr>
      </w:pPr>
    </w:p>
    <w:p>
      <w:pPr>
        <w:jc w:val="both"/>
        <w:spacing w:after="0" w:line="325" w:lineRule="auto"/>
        <w:rPr>
          <w:sz w:val="20"/>
          <w:szCs w:val="20"/>
          <w:color w:val="auto"/>
        </w:rPr>
      </w:pPr>
      <w:r>
        <w:rPr>
          <w:rFonts w:ascii="Arial" w:cs="Arial" w:eastAsia="Arial" w:hAnsi="Arial"/>
          <w:sz w:val="20"/>
          <w:szCs w:val="20"/>
          <w:color w:val="auto"/>
        </w:rPr>
        <w:t xml:space="preserve">Sabre Corporation is a leading technology company that takes on the biggest opportunities and solves the most complex challenges in travel. Sabre harnesses speed, scale and insights to build tomorrow’s technology today – empowering airlines, hoteliers, agencies and other partners to retail, distribute and fulfill travel worldwide. Headquartered in Southlake, Texas, USA, with employees across the world, Sabre serves customers in more than 160 countries globally. For more information visit </w:t>
      </w:r>
      <w:r>
        <w:rPr>
          <w:rFonts w:ascii="Arial" w:cs="Arial" w:eastAsia="Arial" w:hAnsi="Arial"/>
          <w:sz w:val="20"/>
          <w:szCs w:val="20"/>
          <w:u w:val="single" w:color="auto"/>
          <w:color w:val="1D12FF"/>
        </w:rPr>
        <w:t> www.sabre.com</w:t>
      </w:r>
      <w:r>
        <w:rPr>
          <w:rFonts w:ascii="Arial" w:cs="Arial" w:eastAsia="Arial" w:hAnsi="Arial"/>
          <w:sz w:val="20"/>
          <w:szCs w:val="20"/>
          <w:color w:val="000000"/>
        </w:rPr>
        <w:t>.</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Website Information</w:t>
      </w:r>
    </w:p>
    <w:p>
      <w:pPr>
        <w:spacing w:after="0" w:line="326" w:lineRule="exact"/>
        <w:rPr>
          <w:sz w:val="20"/>
          <w:szCs w:val="20"/>
          <w:color w:val="auto"/>
        </w:rPr>
      </w:pPr>
    </w:p>
    <w:p>
      <w:pPr>
        <w:jc w:val="both"/>
        <w:spacing w:after="0" w:line="324" w:lineRule="auto"/>
        <w:rPr>
          <w:sz w:val="20"/>
          <w:szCs w:val="20"/>
          <w:color w:val="auto"/>
        </w:rPr>
      </w:pPr>
      <w:r>
        <w:rPr>
          <w:rFonts w:ascii="Arial" w:cs="Arial" w:eastAsia="Arial" w:hAnsi="Arial"/>
          <w:sz w:val="20"/>
          <w:szCs w:val="20"/>
          <w:color w:val="auto"/>
        </w:rPr>
        <w:t xml:space="preserve">Sabre routinely posts important information for investors on the Investor Relations section of its website, </w:t>
      </w:r>
      <w:r>
        <w:rPr>
          <w:rFonts w:ascii="Arial" w:cs="Arial" w:eastAsia="Arial" w:hAnsi="Arial"/>
          <w:sz w:val="20"/>
          <w:szCs w:val="20"/>
          <w:u w:val="single" w:color="auto"/>
          <w:color w:val="1D12FF"/>
        </w:rPr>
        <w:t>investors.sabre.com</w:t>
      </w:r>
      <w:r>
        <w:rPr>
          <w:rFonts w:ascii="Arial" w:cs="Arial" w:eastAsia="Arial" w:hAnsi="Arial"/>
          <w:sz w:val="20"/>
          <w:szCs w:val="20"/>
          <w:color w:val="auto"/>
        </w:rPr>
        <w:t>, on its LinkedIn account, and on its X account, @Sabre_Corp. The Company intends to use the Investor Relations section of its website, its LinkedIn account, and its X account as a means of disclosing material, non-public information and for complying with disclosure obligations under Regulation FD. Accordingly, investors should monitor the Investor Relations section of Sabre's website, its LinkedIn account and its X account, in addition to following its press releases, SEC filings, public conference calls, presentations and webcasts. The information contained on, or that may be accessed through, Sabre's website, its LinkedIn account or its X account is not incorporated by reference into, and is not a part of, this document.</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Supplemental Financial Information</w:t>
      </w:r>
    </w:p>
    <w:p>
      <w:pPr>
        <w:spacing w:after="0" w:line="326" w:lineRule="exact"/>
        <w:rPr>
          <w:sz w:val="20"/>
          <w:szCs w:val="20"/>
          <w:color w:val="auto"/>
        </w:rPr>
      </w:pPr>
    </w:p>
    <w:p>
      <w:pPr>
        <w:jc w:val="both"/>
        <w:spacing w:after="0" w:line="342" w:lineRule="auto"/>
        <w:rPr>
          <w:sz w:val="20"/>
          <w:szCs w:val="20"/>
          <w:color w:val="auto"/>
        </w:rPr>
      </w:pPr>
      <w:r>
        <w:rPr>
          <w:rFonts w:ascii="Arial" w:cs="Arial" w:eastAsia="Arial" w:hAnsi="Arial"/>
          <w:sz w:val="20"/>
          <w:szCs w:val="20"/>
          <w:color w:val="auto"/>
        </w:rPr>
        <w:t xml:space="preserve">In conjunction with today’s earnings report, a file of supplemental financial information will be available on the Investor Relations section of our website, </w:t>
      </w:r>
      <w:r>
        <w:rPr>
          <w:rFonts w:ascii="Arial" w:cs="Arial" w:eastAsia="Arial" w:hAnsi="Arial"/>
          <w:sz w:val="20"/>
          <w:szCs w:val="20"/>
          <w:u w:val="single" w:color="auto"/>
          <w:color w:val="1D12FF"/>
        </w:rPr>
        <w:t>investors.sabre.com</w:t>
      </w:r>
      <w:r>
        <w:rPr>
          <w:rFonts w:ascii="Arial" w:cs="Arial" w:eastAsia="Arial" w:hAnsi="Arial"/>
          <w:sz w:val="20"/>
          <w:szCs w:val="20"/>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Industry Data</w:t>
      </w:r>
    </w:p>
    <w:p>
      <w:pPr>
        <w:spacing w:after="0" w:line="326" w:lineRule="exact"/>
        <w:rPr>
          <w:sz w:val="20"/>
          <w:szCs w:val="20"/>
          <w:color w:val="auto"/>
        </w:rPr>
      </w:pPr>
    </w:p>
    <w:p>
      <w:pPr>
        <w:jc w:val="both"/>
        <w:ind w:right="20"/>
        <w:spacing w:after="0" w:line="356" w:lineRule="auto"/>
        <w:rPr>
          <w:sz w:val="20"/>
          <w:szCs w:val="20"/>
          <w:color w:val="auto"/>
        </w:rPr>
      </w:pPr>
      <w:r>
        <w:rPr>
          <w:rFonts w:ascii="Arial" w:cs="Arial" w:eastAsia="Arial" w:hAnsi="Arial"/>
          <w:sz w:val="20"/>
          <w:szCs w:val="20"/>
          <w:color w:val="auto"/>
        </w:rPr>
        <w:t>This release contains industry data, forecasts and other information that Sabre obtained from industry publications and surveys, public filings and internal company sources, and there can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40" w:right="339" w:bottom="1440" w:gutter="0" w:footer="0" w:header="0"/>
        </w:sectPr>
      </w:pPr>
    </w:p>
    <w:bookmarkStart w:id="12" w:name="page13"/>
    <w:bookmarkEnd w:id="12"/>
    <w:p>
      <w:pPr>
        <w:spacing w:after="0" w:line="15" w:lineRule="exact"/>
        <w:rPr>
          <w:sz w:val="20"/>
          <w:szCs w:val="20"/>
          <w:color w:val="auto"/>
        </w:rPr>
      </w:pPr>
    </w:p>
    <w:p>
      <w:pPr>
        <w:jc w:val="both"/>
        <w:spacing w:after="0" w:line="328" w:lineRule="auto"/>
        <w:rPr>
          <w:sz w:val="20"/>
          <w:szCs w:val="20"/>
          <w:color w:val="auto"/>
        </w:rPr>
      </w:pPr>
      <w:r>
        <w:rPr>
          <w:rFonts w:ascii="Arial" w:cs="Arial" w:eastAsia="Arial" w:hAnsi="Arial"/>
          <w:sz w:val="20"/>
          <w:szCs w:val="20"/>
          <w:color w:val="auto"/>
        </w:rPr>
        <w:t>no assurance as to the accuracy or completeness of the included information. Statements as to Sabre's ranking, market position, bookings share and market estimates are based on independent industry publications, government publications, third-party forecasts and management’s estimates and assumptions about our markets and our internal research. The Company has not independently verified this third-party information nor has it ascertained the underlying economic assumptions relied upon in those sources, and cannot assure you of the accuracy or completeness of this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on Non-GAAP Financial Measures</w:t>
      </w:r>
    </w:p>
    <w:p>
      <w:pPr>
        <w:spacing w:after="0" w:line="312" w:lineRule="exact"/>
        <w:rPr>
          <w:sz w:val="20"/>
          <w:szCs w:val="20"/>
          <w:color w:val="auto"/>
        </w:rPr>
      </w:pPr>
    </w:p>
    <w:p>
      <w:pPr>
        <w:jc w:val="both"/>
        <w:spacing w:after="0" w:line="324" w:lineRule="auto"/>
        <w:rPr>
          <w:sz w:val="20"/>
          <w:szCs w:val="20"/>
          <w:color w:val="auto"/>
        </w:rPr>
      </w:pPr>
      <w:r>
        <w:rPr>
          <w:rFonts w:ascii="Arial" w:cs="Arial" w:eastAsia="Arial" w:hAnsi="Arial"/>
          <w:sz w:val="20"/>
          <w:szCs w:val="20"/>
          <w:color w:val="auto"/>
        </w:rPr>
        <w:t>This press release includes unaudited non-GAAP financial measures, including Adjusted Net Loss from continuing operations ("Adjusted Net Loss"), Adjusted EBITDA, Adjusted EBITDA margin, Normalized Adjusted EBITDA, Normalized Adjusted EBITDA margin, Adjusted Net Loss from continuing operations per share ("Adjusted EPS"), Free Cash Flow and the ratios based on these financial measures. In addition, we provide certain forward guidance with respect to Adjusted EBITDA on a pro forma basis and Free Cash Flow. We do not provide reconciliations of these forward-looking non-GAAP financial measures to the respective GAAP metrics as we are unable to predict the components of the non-GAAP adjustments contained in the guidance with reasonable certainty and without unreasonable effort; however, see "Business and Pro Forma Financial Outlook" for additional information including estimates of certain components of the non-GAAP adjustments contained in the guidance.</w:t>
      </w:r>
    </w:p>
    <w:p>
      <w:pPr>
        <w:spacing w:after="0" w:line="216" w:lineRule="exact"/>
        <w:rPr>
          <w:sz w:val="20"/>
          <w:szCs w:val="20"/>
          <w:color w:val="auto"/>
        </w:rPr>
      </w:pPr>
    </w:p>
    <w:p>
      <w:pPr>
        <w:jc w:val="both"/>
        <w:spacing w:after="0" w:line="324" w:lineRule="auto"/>
        <w:rPr>
          <w:sz w:val="20"/>
          <w:szCs w:val="20"/>
          <w:color w:val="auto"/>
        </w:rPr>
      </w:pPr>
      <w:r>
        <w:rPr>
          <w:rFonts w:ascii="Arial" w:cs="Arial" w:eastAsia="Arial" w:hAnsi="Arial"/>
          <w:sz w:val="20"/>
          <w:szCs w:val="20"/>
          <w:color w:val="auto"/>
        </w:rPr>
        <w:t>We present non-GAAP measures when our management believes that the additional information provides useful information about our operating performance. Non-GAAP financial measures do not have any standardized meaning and are therefore unlikely to be comparable to similar measures presented by other companies. The presentation of non-GAAP financial measures is not intended to be a substitute for, and should not be considered in isolation from, the financial measures reported in accordance with GAAP. See “Non-GAAP Financial Measures” below for an explanation of the non-GAAP measures and “Tabular Reconciliations for Non-GAAP Measures” below for a reconciliation of the non-GAAP financial measures to the comparable GAAP measures.</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Discontinued Operations</w:t>
      </w:r>
    </w:p>
    <w:p>
      <w:pPr>
        <w:spacing w:after="0" w:line="326" w:lineRule="exact"/>
        <w:rPr>
          <w:sz w:val="20"/>
          <w:szCs w:val="20"/>
          <w:color w:val="auto"/>
        </w:rPr>
      </w:pPr>
    </w:p>
    <w:p>
      <w:pPr>
        <w:jc w:val="both"/>
        <w:spacing w:after="0" w:line="333" w:lineRule="auto"/>
        <w:rPr>
          <w:sz w:val="20"/>
          <w:szCs w:val="20"/>
          <w:color w:val="auto"/>
        </w:rPr>
      </w:pPr>
      <w:r>
        <w:rPr>
          <w:rFonts w:ascii="Arial" w:cs="Arial" w:eastAsia="Arial" w:hAnsi="Arial"/>
          <w:sz w:val="20"/>
          <w:szCs w:val="20"/>
          <w:color w:val="auto"/>
        </w:rPr>
        <w:t>On April 27, 2025, we entered into a definitive purchase agreement with an affiliate of TPG (the “Buyer”) pursuant to which the Buyer agreed to purchase our Hospitality Solutions business, and on July 3, 2025, we closed the sale (the “Hospitality Solutions Sale”). The assets and liabilities associated with the Hospitality Solutions Sale are presented as discontinued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40" w:right="339" w:bottom="1440" w:gutter="0" w:footer="0" w:header="0"/>
        </w:sectPr>
      </w:pPr>
    </w:p>
    <w:bookmarkStart w:id="13" w:name="page14"/>
    <w:bookmarkEnd w:id="13"/>
    <w:p>
      <w:pPr>
        <w:spacing w:after="0" w:line="15" w:lineRule="exact"/>
        <w:rPr>
          <w:sz w:val="20"/>
          <w:szCs w:val="20"/>
          <w:color w:val="auto"/>
        </w:rPr>
      </w:pPr>
    </w:p>
    <w:p>
      <w:pPr>
        <w:jc w:val="both"/>
        <w:spacing w:after="0" w:line="333" w:lineRule="auto"/>
        <w:rPr>
          <w:sz w:val="20"/>
          <w:szCs w:val="20"/>
          <w:color w:val="auto"/>
        </w:rPr>
      </w:pPr>
      <w:r>
        <w:rPr>
          <w:rFonts w:ascii="Arial" w:cs="Arial" w:eastAsia="Arial" w:hAnsi="Arial"/>
          <w:sz w:val="20"/>
          <w:szCs w:val="20"/>
          <w:color w:val="auto"/>
        </w:rPr>
        <w:t>operations on our consolidated balance sheet as of December 31, 2024, and the operating results of our Hospitality Solutions business are presented as discontinued operations on our consolidated statements of operations for all periods presented. Unless otherwise noted, results presented are based on continuing operations.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326" w:lineRule="exact"/>
        <w:rPr>
          <w:sz w:val="20"/>
          <w:szCs w:val="20"/>
          <w:color w:val="auto"/>
        </w:rPr>
      </w:pPr>
    </w:p>
    <w:p>
      <w:pPr>
        <w:jc w:val="both"/>
        <w:spacing w:after="0" w:line="321" w:lineRule="auto"/>
        <w:rPr>
          <w:sz w:val="20"/>
          <w:szCs w:val="20"/>
          <w:color w:val="auto"/>
        </w:rPr>
      </w:pPr>
      <w:r>
        <w:rPr>
          <w:rFonts w:ascii="Arial" w:cs="Arial" w:eastAsia="Arial" w:hAnsi="Arial"/>
          <w:sz w:val="20"/>
          <w:szCs w:val="20"/>
          <w:color w:val="auto"/>
        </w:rPr>
        <w:t>Certain statements herein are forward-looking statements within the meaning of the Private Securities Litigation Reform Act of 1995. These forward-looking statements include, without limitation, statements about trends, future events, uncertainties and our plans and expectations of what may happen in the future, including regarding the Company's plan for long-term growth ad value creation, trends in the travel industry, and the use of AI technologies to improve results. Any statements that are not historical or current facts are forward-looking statements and in many cases, you can identify forward-looking statements by terms such as "outlook," “pro forma,” “believe,” “momentum,” “confidence,” “position,” "plan," "expect," “encouraged,” “focus,” “optimistic,” “anticipate,” “will,” “long-term,” “sustainable,” “growth,” “accelerate,” “potential,” “opportunity,” “goal,” “estimate,” "commitment," “temporary,” “continue,” “progress,” “possible,” “outcome,” “assume,” “challenge,” "enhance," "guidance," "strategy," "on track," "objective," "target," "pipeline," "trajectory," "benefit," "forecast," "estimate," "project," "may," "should," "would," "intend," or the negative of these terms, where applicable, or other comparable terminology. Forward-looking statements involve known and unknown risks, uncertainties and other factors that may cause Sabre’s actual results, performance or achievements to be materially different from any future results, performances or achievements expressed or implied by the forward-looking statements. The potential risks and uncertainties include, among others, dependency on transaction volumes in the global travel industry, particularly air travel transaction volumes, the implementation and effects of our growth strategies, the completion and effects of travel platforms, exposure to pricing pressure from travel suppliers, changes affecting travel supplier customers, maintenance of the integrity of our systems and infrastructure and the effect of any security incidents, our ability to recruit, train and retain employees, competition in the travel distribution industry and solutions industry, failure to adapt to technological advancements, including AI, implementation of software solutions, implementation and effects of new, amended or renewed agreements and strategic partnerships, dependence on establishing, maintaining and renewing contracts with customers and other counterparties and collecting amounts due to us under these agreements, dependence on relationships with travel buyers, the ability to achieve our cost savings and efficiency goals and the effects of these goals, our collection, processing, storage, use and transmission of personal data and risks associated with PCI compliance, the effects of cost savings initiatives, the effects of new legislation or regulations or the failure to comply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40" w:right="339" w:bottom="1440" w:gutter="0" w:footer="0" w:header="0"/>
        </w:sectPr>
      </w:pPr>
    </w:p>
    <w:bookmarkStart w:id="14" w:name="page15"/>
    <w:bookmarkEnd w:id="14"/>
    <w:p>
      <w:pPr>
        <w:spacing w:after="0" w:line="15" w:lineRule="exact"/>
        <w:rPr>
          <w:sz w:val="20"/>
          <w:szCs w:val="20"/>
          <w:color w:val="auto"/>
        </w:rPr>
      </w:pPr>
    </w:p>
    <w:p>
      <w:pPr>
        <w:jc w:val="both"/>
        <w:spacing w:after="0" w:line="324" w:lineRule="auto"/>
        <w:rPr>
          <w:sz w:val="20"/>
          <w:szCs w:val="20"/>
          <w:color w:val="auto"/>
        </w:rPr>
      </w:pPr>
      <w:r>
        <w:rPr>
          <w:rFonts w:ascii="Arial" w:cs="Arial" w:eastAsia="Arial" w:hAnsi="Arial"/>
          <w:sz w:val="20"/>
          <w:szCs w:val="20"/>
          <w:color w:val="auto"/>
        </w:rPr>
        <w:t>regulations or other legal requirements, use of third-party distributor partners, the financial and business results and effects of acquisitions and divestitures of businesses or business operations, including the sale of Hospitality Solutions, reliance on the value of our brands, reliance on third parties to provide information technology services and the effects of these services, the effects of any profit enhancing measures we implement, the effects of any litigation, regulatory reviews and investigations, adverse global and regional economic and political conditions, risks related to global conflicts, risks arising from global operations, risks related to our significant amount of indebtedness, including increases in interest rates and our ability to refinance our debt, and tax-related matters.</w:t>
      </w:r>
    </w:p>
    <w:p>
      <w:pPr>
        <w:spacing w:after="0" w:line="216" w:lineRule="exact"/>
        <w:rPr>
          <w:sz w:val="20"/>
          <w:szCs w:val="20"/>
          <w:color w:val="auto"/>
        </w:rPr>
      </w:pPr>
    </w:p>
    <w:p>
      <w:pPr>
        <w:jc w:val="both"/>
        <w:spacing w:after="0" w:line="324" w:lineRule="auto"/>
        <w:rPr>
          <w:sz w:val="20"/>
          <w:szCs w:val="20"/>
          <w:color w:val="auto"/>
        </w:rPr>
      </w:pPr>
      <w:r>
        <w:rPr>
          <w:rFonts w:ascii="Arial" w:cs="Arial" w:eastAsia="Arial" w:hAnsi="Arial"/>
          <w:sz w:val="20"/>
          <w:szCs w:val="20"/>
          <w:color w:val="auto"/>
        </w:rPr>
        <w:t>More information about potential risks and uncertainties that could affect our business and results of operations is included in the "Risk Factors" and “Forward-Looking Statements” sections in our Annual Report on Form 10-K filed with the SEC on February 18, 2026 and in our other filings with the SEC. Although we believe that the expectations reflected in the forward-looking statements are reasonable, we cannot guarantee future events, outlook, guidance, results, actions, levels of activity, performance or achievements. Readers are cautioned not to place undue reliance on these forward-looking statements. Unless required by law, Sabre undertakes no obligation to publicly update or revise any forward-looking statements to reflect circumstances or events after the date they are made.</w:t>
      </w:r>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_______________________________</w:t>
      </w:r>
    </w:p>
    <w:p>
      <w:pPr>
        <w:spacing w:after="0" w:line="169" w:lineRule="exact"/>
        <w:rPr>
          <w:sz w:val="20"/>
          <w:szCs w:val="20"/>
          <w:color w:val="auto"/>
        </w:rPr>
      </w:pPr>
    </w:p>
    <w:p>
      <w:pPr>
        <w:jc w:val="both"/>
        <w:ind w:left="420" w:hanging="412"/>
        <w:spacing w:after="0" w:line="324" w:lineRule="auto"/>
        <w:tabs>
          <w:tab w:leader="none" w:pos="525" w:val="left"/>
        </w:tabs>
        <w:numPr>
          <w:ilvl w:val="0"/>
          <w:numId w:val="11"/>
        </w:numPr>
        <w:rPr>
          <w:rFonts w:ascii="Arial" w:cs="Arial" w:eastAsia="Arial" w:hAnsi="Arial"/>
          <w:sz w:val="20"/>
          <w:szCs w:val="20"/>
          <w:color w:val="auto"/>
        </w:rPr>
      </w:pPr>
      <w:r>
        <w:rPr>
          <w:rFonts w:ascii="Arial" w:cs="Arial" w:eastAsia="Arial" w:hAnsi="Arial"/>
          <w:sz w:val="20"/>
          <w:szCs w:val="20"/>
          <w:color w:val="auto"/>
        </w:rPr>
        <w:t>Adjusted Net Loss, Adjusted EPS, Adjusted EBITDA, Normalized Adjusted EBITDA, Adjusted EBITDA Margin, Normalized Adjusted EBITDA Margin, Pro Forma Adjusted EBITDA, Free Cash Flow, and Pro Forma Free Cash Flow are non-GAAP measures. See the appendix to this release for a discussion of non-GAAP financial measures, including reconciliations to the most closely correlated GAAP measure. Normalized Adjusted EBITDA is Adjusted EBITDA adjusted for estimated costs historically allocated to Hospitality Solutions. Pro Forma Free Cash Flow is calculated to give effect to the Hospitality Solutions Sale, and we have removed the impact of the $227 million payment-in-kind interest that was recorded in conjunction with the refinancing activity in the second quarter of 2025. We believe this presentation will enhance investors' ability to evaluate and compare the Company's operations on a go-forward basis.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p>
    <w:p>
      <w:pPr>
        <w:sectPr>
          <w:pgSz w:w="11900" w:h="16838" w:orient="portrait"/>
          <w:cols w:equalWidth="0" w:num="1">
            <w:col w:w="11240"/>
          </w:cols>
          <w:pgMar w:left="320" w:top="1440" w:right="339" w:bottom="1440" w:gutter="0" w:footer="0" w:header="0"/>
        </w:sectPr>
      </w:pPr>
    </w:p>
    <w:p>
      <w:pPr>
        <w:spacing w:after="0" w:line="81"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Media</w:t>
      </w:r>
    </w:p>
    <w:p>
      <w:pPr>
        <w:spacing w:after="0" w:line="43" w:lineRule="exact"/>
        <w:rPr>
          <w:sz w:val="20"/>
          <w:szCs w:val="20"/>
          <w:color w:val="auto"/>
        </w:rPr>
      </w:pPr>
    </w:p>
    <w:p>
      <w:pPr>
        <w:ind w:left="60"/>
        <w:spacing w:after="0"/>
        <w:rPr>
          <w:sz w:val="20"/>
          <w:szCs w:val="20"/>
          <w:color w:val="auto"/>
        </w:rPr>
      </w:pPr>
      <w:r>
        <w:rPr>
          <w:rFonts w:ascii="Arial" w:cs="Arial" w:eastAsia="Arial" w:hAnsi="Arial"/>
          <w:sz w:val="20"/>
          <w:szCs w:val="20"/>
          <w:color w:val="auto"/>
        </w:rPr>
        <w:t>Cassidy Smith-Broyles</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19"/>
          <w:szCs w:val="19"/>
          <w:color w:val="auto"/>
        </w:rPr>
        <w:t>cassidy.smith-broyles@sabre.com</w:t>
      </w:r>
    </w:p>
    <w:p>
      <w:pPr>
        <w:spacing w:after="0" w:line="38" w:lineRule="exact"/>
        <w:rPr>
          <w:sz w:val="20"/>
          <w:szCs w:val="20"/>
          <w:color w:val="auto"/>
        </w:rPr>
      </w:pPr>
    </w:p>
    <w:p>
      <w:pPr>
        <w:ind w:left="80"/>
        <w:spacing w:after="0"/>
        <w:rPr>
          <w:sz w:val="20"/>
          <w:szCs w:val="20"/>
          <w:color w:val="auto"/>
        </w:rPr>
      </w:pPr>
      <w:r>
        <w:rPr>
          <w:rFonts w:ascii="Arial" w:cs="Arial" w:eastAsia="Arial" w:hAnsi="Arial"/>
          <w:sz w:val="20"/>
          <w:szCs w:val="20"/>
          <w:color w:val="auto"/>
        </w:rPr>
        <w:t>sabrenews@sabre.com</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Investors</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Jim Mathias</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jim.mathias@sabre.com</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sabre.investorrelations@sabre.com</w:t>
      </w:r>
    </w:p>
    <w:p>
      <w:pPr>
        <w:spacing w:after="0" w:line="211" w:lineRule="exact"/>
        <w:rPr>
          <w:sz w:val="20"/>
          <w:szCs w:val="20"/>
          <w:color w:val="auto"/>
        </w:rPr>
      </w:pPr>
    </w:p>
    <w:p>
      <w:pPr>
        <w:sectPr>
          <w:pgSz w:w="11900" w:h="16838" w:orient="portrait"/>
          <w:cols w:equalWidth="0" w:num="2">
            <w:col w:w="5080" w:space="720"/>
            <w:col w:w="54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240"/>
          </w:cols>
          <w:pgMar w:left="320" w:top="1440" w:right="339" w:bottom="1440" w:gutter="0" w:footer="0" w:header="0"/>
          <w:type w:val="continuous"/>
        </w:sectPr>
      </w:pPr>
    </w:p>
    <w:bookmarkStart w:id="15" w:name="page16"/>
    <w:bookmarkEnd w:id="15"/>
    <w:p>
      <w:pPr>
        <w:jc w:val="center"/>
        <w:ind w:right="20"/>
        <w:spacing w:after="0"/>
        <w:rPr>
          <w:sz w:val="20"/>
          <w:szCs w:val="20"/>
          <w:color w:val="auto"/>
        </w:rPr>
      </w:pPr>
      <w:r>
        <w:rPr>
          <w:rFonts w:ascii="Arial" w:cs="Arial" w:eastAsia="Arial" w:hAnsi="Arial"/>
          <w:sz w:val="18"/>
          <w:szCs w:val="18"/>
          <w:b w:val="1"/>
          <w:bCs w:val="1"/>
          <w:color w:val="auto"/>
        </w:rPr>
        <w:t>SABRE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2"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(Unaudited)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20" w:type="dxa"/>
            <w:vAlign w:val="bottom"/>
            <w:gridSpan w:val="5"/>
          </w:tcPr>
          <w:p>
            <w:pPr>
              <w:ind w:left="100"/>
              <w:spacing w:after="0"/>
              <w:rPr>
                <w:sz w:val="20"/>
                <w:szCs w:val="20"/>
                <w:color w:val="auto"/>
              </w:rPr>
            </w:pPr>
            <w:r>
              <w:rPr>
                <w:rFonts w:ascii="Arial" w:cs="Arial" w:eastAsia="Arial" w:hAnsi="Arial"/>
                <w:sz w:val="13"/>
                <w:szCs w:val="13"/>
                <w:b w:val="1"/>
                <w:bCs w:val="1"/>
                <w:color w:val="auto"/>
              </w:rPr>
              <w:t>Three Months Ended December 31,</w:t>
            </w:r>
          </w:p>
        </w:tc>
        <w:tc>
          <w:tcPr>
            <w:tcW w:w="320" w:type="dxa"/>
            <w:vAlign w:val="bottom"/>
          </w:tcPr>
          <w:p>
            <w:pPr>
              <w:spacing w:after="0"/>
              <w:rPr>
                <w:sz w:val="15"/>
                <w:szCs w:val="15"/>
                <w:color w:val="auto"/>
              </w:rPr>
            </w:pPr>
          </w:p>
        </w:tc>
        <w:tc>
          <w:tcPr>
            <w:tcW w:w="2440" w:type="dxa"/>
            <w:vAlign w:val="bottom"/>
            <w:gridSpan w:val="4"/>
          </w:tcPr>
          <w:p>
            <w:pPr>
              <w:jc w:val="right"/>
              <w:ind w:right="520"/>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169"/>
        </w:trPr>
        <w:tc>
          <w:tcPr>
            <w:tcW w:w="548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3"/>
                <w:szCs w:val="13"/>
                <w:b w:val="1"/>
                <w:bCs w:val="1"/>
                <w:color w:val="auto"/>
              </w:rPr>
              <w:t>2025</w:t>
            </w:r>
          </w:p>
        </w:tc>
        <w:tc>
          <w:tcPr>
            <w:tcW w:w="12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3"/>
                <w:szCs w:val="13"/>
                <w:b w:val="1"/>
                <w:bCs w:val="1"/>
                <w:color w:val="auto"/>
              </w:rPr>
              <w:t>2024</w:t>
            </w:r>
          </w:p>
        </w:tc>
        <w:tc>
          <w:tcPr>
            <w:tcW w:w="0" w:type="dxa"/>
            <w:vAlign w:val="bottom"/>
          </w:tcPr>
          <w:p>
            <w:pPr>
              <w:spacing w:after="0"/>
              <w:rPr>
                <w:sz w:val="1"/>
                <w:szCs w:val="1"/>
                <w:color w:val="auto"/>
              </w:rPr>
            </w:pPr>
          </w:p>
        </w:tc>
      </w:tr>
      <w:tr>
        <w:trPr>
          <w:trHeight w:val="212"/>
        </w:trPr>
        <w:tc>
          <w:tcPr>
            <w:tcW w:w="5480" w:type="dxa"/>
            <w:vAlign w:val="bottom"/>
          </w:tcPr>
          <w:p>
            <w:pPr>
              <w:spacing w:after="0"/>
              <w:rPr>
                <w:sz w:val="20"/>
                <w:szCs w:val="20"/>
                <w:color w:val="auto"/>
              </w:rPr>
            </w:pPr>
            <w:r>
              <w:rPr>
                <w:rFonts w:ascii="Arial" w:cs="Arial" w:eastAsia="Arial" w:hAnsi="Arial"/>
                <w:sz w:val="16"/>
                <w:szCs w:val="16"/>
                <w:color w:val="auto"/>
              </w:rPr>
              <w:t>Revenue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666,525</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644,862</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2,770,983</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2,744,845</w:t>
            </w:r>
          </w:p>
        </w:tc>
        <w:tc>
          <w:tcPr>
            <w:tcW w:w="0" w:type="dxa"/>
            <w:vAlign w:val="bottom"/>
          </w:tcPr>
          <w:p>
            <w:pPr>
              <w:spacing w:after="0"/>
              <w:rPr>
                <w:sz w:val="1"/>
                <w:szCs w:val="1"/>
                <w:color w:val="auto"/>
              </w:rPr>
            </w:pPr>
          </w:p>
        </w:tc>
      </w:tr>
      <w:tr>
        <w:trPr>
          <w:trHeight w:val="215"/>
        </w:trPr>
        <w:tc>
          <w:tcPr>
            <w:tcW w:w="5480" w:type="dxa"/>
            <w:vAlign w:val="bottom"/>
          </w:tcPr>
          <w:p>
            <w:pPr>
              <w:spacing w:after="0"/>
              <w:rPr>
                <w:sz w:val="20"/>
                <w:szCs w:val="20"/>
                <w:color w:val="auto"/>
              </w:rPr>
            </w:pPr>
            <w:r>
              <w:rPr>
                <w:rFonts w:ascii="Arial" w:cs="Arial" w:eastAsia="Arial" w:hAnsi="Arial"/>
                <w:sz w:val="16"/>
                <w:szCs w:val="16"/>
                <w:color w:val="auto"/>
              </w:rPr>
              <w:t>Cost of revenue, excluding technology costs</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292,088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265,569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1,206,987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1,146,275</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6"/>
                <w:szCs w:val="16"/>
                <w:color w:val="auto"/>
              </w:rPr>
              <w:t>Technology costs</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195,290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190,698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711,100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780,749</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6"/>
                <w:szCs w:val="16"/>
                <w:color w:val="auto"/>
              </w:rPr>
              <w:t>Selling, general and administrative</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157,806</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142,504</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557,401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575,972</w:t>
            </w:r>
          </w:p>
        </w:tc>
        <w:tc>
          <w:tcPr>
            <w:tcW w:w="0" w:type="dxa"/>
            <w:vAlign w:val="bottom"/>
          </w:tcPr>
          <w:p>
            <w:pPr>
              <w:spacing w:after="0"/>
              <w:rPr>
                <w:sz w:val="1"/>
                <w:szCs w:val="1"/>
                <w:color w:val="auto"/>
              </w:rPr>
            </w:pPr>
          </w:p>
        </w:tc>
      </w:tr>
      <w:tr>
        <w:trPr>
          <w:trHeight w:val="210"/>
        </w:trPr>
        <w:tc>
          <w:tcPr>
            <w:tcW w:w="5480" w:type="dxa"/>
            <w:vAlign w:val="bottom"/>
          </w:tcPr>
          <w:p>
            <w:pPr>
              <w:ind w:left="440"/>
              <w:spacing w:after="0"/>
              <w:rPr>
                <w:sz w:val="20"/>
                <w:szCs w:val="20"/>
                <w:color w:val="auto"/>
              </w:rPr>
            </w:pPr>
            <w:r>
              <w:rPr>
                <w:rFonts w:ascii="Arial" w:cs="Arial" w:eastAsia="Arial" w:hAnsi="Arial"/>
                <w:sz w:val="16"/>
                <w:szCs w:val="16"/>
                <w:color w:val="auto"/>
              </w:rPr>
              <w:t>Operating income</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21,341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46,091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295,495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241,849</w:t>
            </w:r>
          </w:p>
        </w:tc>
        <w:tc>
          <w:tcPr>
            <w:tcW w:w="0" w:type="dxa"/>
            <w:vAlign w:val="bottom"/>
          </w:tcPr>
          <w:p>
            <w:pPr>
              <w:spacing w:after="0"/>
              <w:rPr>
                <w:sz w:val="1"/>
                <w:szCs w:val="1"/>
                <w:color w:val="auto"/>
              </w:rPr>
            </w:pPr>
          </w:p>
        </w:tc>
      </w:tr>
      <w:tr>
        <w:trPr>
          <w:trHeight w:val="215"/>
        </w:trPr>
        <w:tc>
          <w:tcPr>
            <w:tcW w:w="5480" w:type="dxa"/>
            <w:vAlign w:val="bottom"/>
          </w:tcPr>
          <w:p>
            <w:pPr>
              <w:spacing w:after="0"/>
              <w:rPr>
                <w:sz w:val="20"/>
                <w:szCs w:val="20"/>
                <w:color w:val="auto"/>
              </w:rPr>
            </w:pPr>
            <w:r>
              <w:rPr>
                <w:rFonts w:ascii="Arial" w:cs="Arial" w:eastAsia="Arial" w:hAnsi="Arial"/>
                <w:sz w:val="16"/>
                <w:szCs w:val="16"/>
                <w:color w:val="auto"/>
              </w:rPr>
              <w:t>Other expense:</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220"/>
              <w:spacing w:after="0"/>
              <w:rPr>
                <w:sz w:val="20"/>
                <w:szCs w:val="20"/>
                <w:color w:val="auto"/>
              </w:rPr>
            </w:pPr>
            <w:r>
              <w:rPr>
                <w:rFonts w:ascii="Arial" w:cs="Arial" w:eastAsia="Arial" w:hAnsi="Arial"/>
                <w:sz w:val="16"/>
                <w:szCs w:val="16"/>
                <w:color w:val="auto"/>
              </w:rPr>
              <w:t>Interest expense, net</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(115,483)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(111,839)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(447,829)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(453,274)</w:t>
            </w:r>
          </w:p>
        </w:tc>
        <w:tc>
          <w:tcPr>
            <w:tcW w:w="0" w:type="dxa"/>
            <w:vAlign w:val="bottom"/>
          </w:tcPr>
          <w:p>
            <w:pPr>
              <w:spacing w:after="0"/>
              <w:rPr>
                <w:sz w:val="1"/>
                <w:szCs w:val="1"/>
                <w:color w:val="auto"/>
              </w:rPr>
            </w:pPr>
          </w:p>
        </w:tc>
      </w:tr>
      <w:tr>
        <w:trPr>
          <w:trHeight w:val="216"/>
        </w:trPr>
        <w:tc>
          <w:tcPr>
            <w:tcW w:w="5480" w:type="dxa"/>
            <w:vAlign w:val="bottom"/>
          </w:tcPr>
          <w:p>
            <w:pPr>
              <w:ind w:left="220"/>
              <w:spacing w:after="0"/>
              <w:rPr>
                <w:sz w:val="20"/>
                <w:szCs w:val="20"/>
                <w:color w:val="auto"/>
              </w:rPr>
            </w:pPr>
            <w:r>
              <w:rPr>
                <w:rFonts w:ascii="Arial" w:cs="Arial" w:eastAsia="Arial" w:hAnsi="Arial"/>
                <w:sz w:val="16"/>
                <w:szCs w:val="16"/>
                <w:color w:val="auto"/>
              </w:rPr>
              <w:t>Loss on extinguishment of debt, net</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(5,498)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(90,680)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(37,994)</w:t>
            </w:r>
          </w:p>
        </w:tc>
        <w:tc>
          <w:tcPr>
            <w:tcW w:w="0" w:type="dxa"/>
            <w:vAlign w:val="bottom"/>
          </w:tcPr>
          <w:p>
            <w:pPr>
              <w:spacing w:after="0"/>
              <w:rPr>
                <w:sz w:val="1"/>
                <w:szCs w:val="1"/>
                <w:color w:val="auto"/>
              </w:rPr>
            </w:pPr>
          </w:p>
        </w:tc>
      </w:tr>
      <w:tr>
        <w:trPr>
          <w:trHeight w:val="216"/>
        </w:trPr>
        <w:tc>
          <w:tcPr>
            <w:tcW w:w="5480" w:type="dxa"/>
            <w:vAlign w:val="bottom"/>
          </w:tcPr>
          <w:p>
            <w:pPr>
              <w:ind w:left="220"/>
              <w:spacing w:after="0"/>
              <w:rPr>
                <w:sz w:val="20"/>
                <w:szCs w:val="20"/>
                <w:color w:val="auto"/>
              </w:rPr>
            </w:pPr>
            <w:r>
              <w:rPr>
                <w:rFonts w:ascii="Arial" w:cs="Arial" w:eastAsia="Arial" w:hAnsi="Arial"/>
                <w:sz w:val="16"/>
                <w:szCs w:val="16"/>
                <w:color w:val="auto"/>
              </w:rPr>
              <w:t>Equity method income</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1,609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747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3,389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2,606</w:t>
            </w:r>
          </w:p>
        </w:tc>
        <w:tc>
          <w:tcPr>
            <w:tcW w:w="0" w:type="dxa"/>
            <w:vAlign w:val="bottom"/>
          </w:tcPr>
          <w:p>
            <w:pPr>
              <w:spacing w:after="0"/>
              <w:rPr>
                <w:sz w:val="1"/>
                <w:szCs w:val="1"/>
                <w:color w:val="auto"/>
              </w:rPr>
            </w:pPr>
          </w:p>
        </w:tc>
      </w:tr>
      <w:tr>
        <w:trPr>
          <w:trHeight w:val="216"/>
        </w:trPr>
        <w:tc>
          <w:tcPr>
            <w:tcW w:w="5480" w:type="dxa"/>
            <w:vAlign w:val="bottom"/>
          </w:tcPr>
          <w:p>
            <w:pPr>
              <w:ind w:left="220"/>
              <w:spacing w:after="0"/>
              <w:rPr>
                <w:sz w:val="20"/>
                <w:szCs w:val="20"/>
                <w:color w:val="auto"/>
              </w:rPr>
            </w:pPr>
            <w:r>
              <w:rPr>
                <w:rFonts w:ascii="Arial" w:cs="Arial" w:eastAsia="Arial" w:hAnsi="Arial"/>
                <w:sz w:val="16"/>
                <w:szCs w:val="16"/>
                <w:color w:val="auto"/>
              </w:rPr>
              <w:t>Other, net</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(6,041)</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(19,765)</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(20,628)</w:t>
            </w:r>
          </w:p>
        </w:tc>
        <w:tc>
          <w:tcPr>
            <w:tcW w:w="0" w:type="dxa"/>
            <w:vAlign w:val="bottom"/>
          </w:tcPr>
          <w:p>
            <w:pPr>
              <w:spacing w:after="0"/>
              <w:rPr>
                <w:sz w:val="1"/>
                <w:szCs w:val="1"/>
                <w:color w:val="auto"/>
              </w:rPr>
            </w:pPr>
          </w:p>
        </w:tc>
      </w:tr>
      <w:tr>
        <w:trPr>
          <w:trHeight w:val="210"/>
        </w:trPr>
        <w:tc>
          <w:tcPr>
            <w:tcW w:w="5480" w:type="dxa"/>
            <w:vAlign w:val="bottom"/>
          </w:tcPr>
          <w:p>
            <w:pPr>
              <w:spacing w:after="0"/>
              <w:rPr>
                <w:sz w:val="20"/>
                <w:szCs w:val="20"/>
                <w:color w:val="auto"/>
              </w:rPr>
            </w:pPr>
            <w:r>
              <w:rPr>
                <w:rFonts w:ascii="Arial" w:cs="Arial" w:eastAsia="Arial" w:hAnsi="Arial"/>
                <w:sz w:val="16"/>
                <w:szCs w:val="16"/>
                <w:color w:val="auto"/>
              </w:rPr>
              <w:t>Total other expense, net</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(125,413)</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(130,857)</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(534,729)</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(509,290)</w:t>
            </w:r>
          </w:p>
        </w:tc>
        <w:tc>
          <w:tcPr>
            <w:tcW w:w="0" w:type="dxa"/>
            <w:vAlign w:val="bottom"/>
          </w:tcPr>
          <w:p>
            <w:pPr>
              <w:spacing w:after="0"/>
              <w:rPr>
                <w:sz w:val="1"/>
                <w:szCs w:val="1"/>
                <w:color w:val="auto"/>
              </w:rPr>
            </w:pPr>
          </w:p>
        </w:tc>
      </w:tr>
      <w:tr>
        <w:trPr>
          <w:trHeight w:val="209"/>
        </w:trPr>
        <w:tc>
          <w:tcPr>
            <w:tcW w:w="5480" w:type="dxa"/>
            <w:vAlign w:val="bottom"/>
          </w:tcPr>
          <w:p>
            <w:pPr>
              <w:spacing w:after="0"/>
              <w:rPr>
                <w:sz w:val="20"/>
                <w:szCs w:val="20"/>
                <w:color w:val="auto"/>
              </w:rPr>
            </w:pPr>
            <w:r>
              <w:rPr>
                <w:rFonts w:ascii="Arial" w:cs="Arial" w:eastAsia="Arial" w:hAnsi="Arial"/>
                <w:sz w:val="16"/>
                <w:szCs w:val="16"/>
                <w:color w:val="auto"/>
              </w:rPr>
              <w:t>Loss from continuing operations before income taxes</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(104,072)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(84,766)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(239,234)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(267,441)</w:t>
            </w:r>
          </w:p>
        </w:tc>
        <w:tc>
          <w:tcPr>
            <w:tcW w:w="0" w:type="dxa"/>
            <w:vAlign w:val="bottom"/>
          </w:tcPr>
          <w:p>
            <w:pPr>
              <w:spacing w:after="0"/>
              <w:rPr>
                <w:sz w:val="1"/>
                <w:szCs w:val="1"/>
                <w:color w:val="auto"/>
              </w:rPr>
            </w:pPr>
          </w:p>
        </w:tc>
      </w:tr>
      <w:tr>
        <w:trPr>
          <w:trHeight w:val="215"/>
        </w:trPr>
        <w:tc>
          <w:tcPr>
            <w:tcW w:w="5480" w:type="dxa"/>
            <w:vAlign w:val="bottom"/>
          </w:tcPr>
          <w:p>
            <w:pPr>
              <w:spacing w:after="0"/>
              <w:rPr>
                <w:sz w:val="20"/>
                <w:szCs w:val="20"/>
                <w:color w:val="auto"/>
              </w:rPr>
            </w:pPr>
            <w:r>
              <w:rPr>
                <w:rFonts w:ascii="Arial" w:cs="Arial" w:eastAsia="Arial" w:hAnsi="Arial"/>
                <w:sz w:val="16"/>
                <w:szCs w:val="16"/>
                <w:color w:val="auto"/>
              </w:rPr>
              <w:t>(Benefit) provision for income taxes</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(4,812)</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(12,457)</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16,256</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4,107</w:t>
            </w:r>
          </w:p>
        </w:tc>
        <w:tc>
          <w:tcPr>
            <w:tcW w:w="0" w:type="dxa"/>
            <w:vAlign w:val="bottom"/>
          </w:tcPr>
          <w:p>
            <w:pPr>
              <w:spacing w:after="0"/>
              <w:rPr>
                <w:sz w:val="1"/>
                <w:szCs w:val="1"/>
                <w:color w:val="auto"/>
              </w:rPr>
            </w:pPr>
          </w:p>
        </w:tc>
      </w:tr>
      <w:tr>
        <w:trPr>
          <w:trHeight w:val="210"/>
        </w:trPr>
        <w:tc>
          <w:tcPr>
            <w:tcW w:w="5480" w:type="dxa"/>
            <w:vAlign w:val="bottom"/>
          </w:tcPr>
          <w:p>
            <w:pPr>
              <w:spacing w:after="0"/>
              <w:rPr>
                <w:sz w:val="20"/>
                <w:szCs w:val="20"/>
                <w:color w:val="auto"/>
              </w:rPr>
            </w:pPr>
            <w:r>
              <w:rPr>
                <w:rFonts w:ascii="Arial" w:cs="Arial" w:eastAsia="Arial" w:hAnsi="Arial"/>
                <w:sz w:val="16"/>
                <w:szCs w:val="16"/>
                <w:color w:val="auto"/>
              </w:rPr>
              <w:t>Loss from continuing operations</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(99,260)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(72,309)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(255,490)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(271,548)</w:t>
            </w:r>
          </w:p>
        </w:tc>
        <w:tc>
          <w:tcPr>
            <w:tcW w:w="0" w:type="dxa"/>
            <w:vAlign w:val="bottom"/>
          </w:tcPr>
          <w:p>
            <w:pPr>
              <w:spacing w:after="0"/>
              <w:rPr>
                <w:sz w:val="1"/>
                <w:szCs w:val="1"/>
                <w:color w:val="auto"/>
              </w:rPr>
            </w:pPr>
          </w:p>
        </w:tc>
      </w:tr>
      <w:tr>
        <w:trPr>
          <w:trHeight w:val="215"/>
        </w:trPr>
        <w:tc>
          <w:tcPr>
            <w:tcW w:w="5480" w:type="dxa"/>
            <w:vAlign w:val="bottom"/>
          </w:tcPr>
          <w:p>
            <w:pPr>
              <w:spacing w:after="0"/>
              <w:rPr>
                <w:sz w:val="20"/>
                <w:szCs w:val="20"/>
                <w:color w:val="auto"/>
              </w:rPr>
            </w:pPr>
            <w:r>
              <w:rPr>
                <w:rFonts w:ascii="Arial" w:cs="Arial" w:eastAsia="Arial" w:hAnsi="Arial"/>
                <w:sz w:val="16"/>
                <w:szCs w:val="16"/>
                <w:color w:val="auto"/>
              </w:rPr>
              <w:t>(Loss) income from discontinued operations, net of tax</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(4,273)</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(2,651)</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779,452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(7,135)</w:t>
            </w:r>
          </w:p>
        </w:tc>
        <w:tc>
          <w:tcPr>
            <w:tcW w:w="0" w:type="dxa"/>
            <w:vAlign w:val="bottom"/>
          </w:tcPr>
          <w:p>
            <w:pPr>
              <w:spacing w:after="0"/>
              <w:rPr>
                <w:sz w:val="1"/>
                <w:szCs w:val="1"/>
                <w:color w:val="auto"/>
              </w:rPr>
            </w:pPr>
          </w:p>
        </w:tc>
      </w:tr>
      <w:tr>
        <w:trPr>
          <w:trHeight w:val="210"/>
        </w:trPr>
        <w:tc>
          <w:tcPr>
            <w:tcW w:w="5480" w:type="dxa"/>
            <w:vAlign w:val="bottom"/>
          </w:tcPr>
          <w:p>
            <w:pPr>
              <w:spacing w:after="0"/>
              <w:rPr>
                <w:sz w:val="20"/>
                <w:szCs w:val="20"/>
                <w:color w:val="auto"/>
              </w:rPr>
            </w:pPr>
            <w:r>
              <w:rPr>
                <w:rFonts w:ascii="Arial" w:cs="Arial" w:eastAsia="Arial" w:hAnsi="Arial"/>
                <w:sz w:val="16"/>
                <w:szCs w:val="16"/>
                <w:color w:val="auto"/>
              </w:rPr>
              <w:t>Net (loss) income</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(103,533)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(74,960)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523,962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(278,683)</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6"/>
                <w:szCs w:val="16"/>
                <w:color w:val="auto"/>
              </w:rPr>
              <w:t>Net (loss) income attributable to noncontrolling interests</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1"/>
        </w:trPr>
        <w:tc>
          <w:tcPr>
            <w:tcW w:w="5480" w:type="dxa"/>
            <w:vAlign w:val="bottom"/>
          </w:tcPr>
          <w:p>
            <w:pPr>
              <w:spacing w:after="0"/>
              <w:rPr>
                <w:sz w:val="20"/>
                <w:szCs w:val="20"/>
                <w:color w:val="auto"/>
              </w:rPr>
            </w:pPr>
            <w:r>
              <w:rPr>
                <w:rFonts w:ascii="Arial" w:cs="Arial" w:eastAsia="Arial" w:hAnsi="Arial"/>
                <w:sz w:val="16"/>
                <w:szCs w:val="16"/>
                <w:color w:val="auto"/>
              </w:rPr>
              <w:t>Net (loss) income attributable to common stockholders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(103,099)</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(74,698)</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524,617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(278,759)</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6"/>
                <w:szCs w:val="16"/>
                <w:color w:val="auto"/>
              </w:rPr>
              <w:t>Basic net (loss) income per share attributable to common stockholders:</w:t>
            </w: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1"/>
        </w:trPr>
        <w:tc>
          <w:tcPr>
            <w:tcW w:w="54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220"/>
              <w:spacing w:after="0"/>
              <w:rPr>
                <w:sz w:val="20"/>
                <w:szCs w:val="20"/>
                <w:color w:val="auto"/>
              </w:rPr>
            </w:pPr>
            <w:r>
              <w:rPr>
                <w:rFonts w:ascii="Arial" w:cs="Arial" w:eastAsia="Arial" w:hAnsi="Arial"/>
                <w:sz w:val="16"/>
                <w:szCs w:val="16"/>
                <w:color w:val="auto"/>
              </w:rPr>
              <w:t>Loss from continuing operations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(0.25)</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(0.19)</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(0.65)</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(0.71)</w:t>
            </w:r>
          </w:p>
        </w:tc>
        <w:tc>
          <w:tcPr>
            <w:tcW w:w="0" w:type="dxa"/>
            <w:vAlign w:val="bottom"/>
          </w:tcPr>
          <w:p>
            <w:pPr>
              <w:spacing w:after="0"/>
              <w:rPr>
                <w:sz w:val="1"/>
                <w:szCs w:val="1"/>
                <w:color w:val="auto"/>
              </w:rPr>
            </w:pPr>
          </w:p>
        </w:tc>
      </w:tr>
      <w:tr>
        <w:trPr>
          <w:trHeight w:val="217"/>
        </w:trPr>
        <w:tc>
          <w:tcPr>
            <w:tcW w:w="5480" w:type="dxa"/>
            <w:vAlign w:val="bottom"/>
          </w:tcPr>
          <w:p>
            <w:pPr>
              <w:ind w:left="220"/>
              <w:spacing w:after="0"/>
              <w:rPr>
                <w:sz w:val="20"/>
                <w:szCs w:val="20"/>
                <w:color w:val="auto"/>
              </w:rPr>
            </w:pPr>
            <w:r>
              <w:rPr>
                <w:rFonts w:ascii="Arial" w:cs="Arial" w:eastAsia="Arial" w:hAnsi="Arial"/>
                <w:sz w:val="16"/>
                <w:szCs w:val="16"/>
                <w:color w:val="auto"/>
              </w:rPr>
              <w:t>(Loss) income from discontinued operations</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10"/>
        </w:trPr>
        <w:tc>
          <w:tcPr>
            <w:tcW w:w="5480" w:type="dxa"/>
            <w:vAlign w:val="bottom"/>
          </w:tcPr>
          <w:p>
            <w:pPr>
              <w:ind w:left="220"/>
              <w:spacing w:after="0"/>
              <w:rPr>
                <w:sz w:val="20"/>
                <w:szCs w:val="20"/>
                <w:color w:val="auto"/>
              </w:rPr>
            </w:pPr>
            <w:r>
              <w:rPr>
                <w:rFonts w:ascii="Arial" w:cs="Arial" w:eastAsia="Arial" w:hAnsi="Arial"/>
                <w:sz w:val="16"/>
                <w:szCs w:val="16"/>
                <w:color w:val="auto"/>
              </w:rPr>
              <w:t>Net (loss) income per common share</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(0.26)</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(0.20)</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(0.73)</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6"/>
                <w:szCs w:val="16"/>
                <w:color w:val="auto"/>
              </w:rPr>
              <w:t>Diluted net (loss) income per share attributable to common stockholders:</w:t>
            </w: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4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220"/>
              <w:spacing w:after="0"/>
              <w:rPr>
                <w:sz w:val="20"/>
                <w:szCs w:val="20"/>
                <w:color w:val="auto"/>
              </w:rPr>
            </w:pPr>
            <w:r>
              <w:rPr>
                <w:rFonts w:ascii="Arial" w:cs="Arial" w:eastAsia="Arial" w:hAnsi="Arial"/>
                <w:sz w:val="16"/>
                <w:szCs w:val="16"/>
                <w:color w:val="auto"/>
              </w:rPr>
              <w:t>Loss from continuing operations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(0.25)</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(0.19)</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(0.65)</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(0.71)</w:t>
            </w:r>
          </w:p>
        </w:tc>
        <w:tc>
          <w:tcPr>
            <w:tcW w:w="0" w:type="dxa"/>
            <w:vAlign w:val="bottom"/>
          </w:tcPr>
          <w:p>
            <w:pPr>
              <w:spacing w:after="0"/>
              <w:rPr>
                <w:sz w:val="1"/>
                <w:szCs w:val="1"/>
                <w:color w:val="auto"/>
              </w:rPr>
            </w:pPr>
          </w:p>
        </w:tc>
      </w:tr>
      <w:tr>
        <w:trPr>
          <w:trHeight w:val="217"/>
        </w:trPr>
        <w:tc>
          <w:tcPr>
            <w:tcW w:w="5480" w:type="dxa"/>
            <w:vAlign w:val="bottom"/>
          </w:tcPr>
          <w:p>
            <w:pPr>
              <w:ind w:left="220"/>
              <w:spacing w:after="0"/>
              <w:rPr>
                <w:sz w:val="20"/>
                <w:szCs w:val="20"/>
                <w:color w:val="auto"/>
              </w:rPr>
            </w:pPr>
            <w:r>
              <w:rPr>
                <w:rFonts w:ascii="Arial" w:cs="Arial" w:eastAsia="Arial" w:hAnsi="Arial"/>
                <w:sz w:val="16"/>
                <w:szCs w:val="16"/>
                <w:color w:val="auto"/>
              </w:rPr>
              <w:t>(Loss) income from discontinued operations</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10"/>
        </w:trPr>
        <w:tc>
          <w:tcPr>
            <w:tcW w:w="5480" w:type="dxa"/>
            <w:vAlign w:val="bottom"/>
          </w:tcPr>
          <w:p>
            <w:pPr>
              <w:ind w:left="220"/>
              <w:spacing w:after="0"/>
              <w:rPr>
                <w:sz w:val="20"/>
                <w:szCs w:val="20"/>
                <w:color w:val="auto"/>
              </w:rPr>
            </w:pPr>
            <w:r>
              <w:rPr>
                <w:rFonts w:ascii="Arial" w:cs="Arial" w:eastAsia="Arial" w:hAnsi="Arial"/>
                <w:sz w:val="16"/>
                <w:szCs w:val="16"/>
                <w:color w:val="auto"/>
              </w:rPr>
              <w:t>Net (loss) income per common share</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(0.26)</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(0.20)</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(0.73)</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6"/>
                <w:szCs w:val="16"/>
                <w:color w:val="auto"/>
              </w:rPr>
              <w:t>Weighted-average common shares outstanding:</w:t>
            </w: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54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220"/>
              <w:spacing w:after="0"/>
              <w:rPr>
                <w:sz w:val="20"/>
                <w:szCs w:val="20"/>
                <w:color w:val="auto"/>
              </w:rPr>
            </w:pPr>
            <w:r>
              <w:rPr>
                <w:rFonts w:ascii="Arial" w:cs="Arial" w:eastAsia="Arial" w:hAnsi="Arial"/>
                <w:sz w:val="16"/>
                <w:szCs w:val="16"/>
                <w:color w:val="auto"/>
              </w:rPr>
              <w:t>Basic</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394,944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385,880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391,707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383,733</w:t>
            </w:r>
          </w:p>
        </w:tc>
        <w:tc>
          <w:tcPr>
            <w:tcW w:w="0" w:type="dxa"/>
            <w:vAlign w:val="bottom"/>
          </w:tcPr>
          <w:p>
            <w:pPr>
              <w:spacing w:after="0"/>
              <w:rPr>
                <w:sz w:val="1"/>
                <w:szCs w:val="1"/>
                <w:color w:val="auto"/>
              </w:rPr>
            </w:pPr>
          </w:p>
        </w:tc>
      </w:tr>
      <w:tr>
        <w:trPr>
          <w:trHeight w:val="216"/>
        </w:trPr>
        <w:tc>
          <w:tcPr>
            <w:tcW w:w="5480" w:type="dxa"/>
            <w:vAlign w:val="bottom"/>
          </w:tcPr>
          <w:p>
            <w:pPr>
              <w:ind w:left="220"/>
              <w:spacing w:after="0"/>
              <w:rPr>
                <w:sz w:val="20"/>
                <w:szCs w:val="20"/>
                <w:color w:val="auto"/>
              </w:rPr>
            </w:pPr>
            <w:r>
              <w:rPr>
                <w:rFonts w:ascii="Arial" w:cs="Arial" w:eastAsia="Arial" w:hAnsi="Arial"/>
                <w:sz w:val="16"/>
                <w:szCs w:val="16"/>
                <w:color w:val="auto"/>
              </w:rPr>
              <w:t>Diluted</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394,944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385,880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391,707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383,733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340" w:top="364" w:right="339" w:bottom="1440" w:gutter="0" w:footer="0" w:header="0"/>
        </w:sectPr>
      </w:pPr>
    </w:p>
    <w:bookmarkStart w:id="16" w:name="page17"/>
    <w:bookmarkEnd w:id="16"/>
    <w:p>
      <w:pPr>
        <w:jc w:val="center"/>
        <w:ind w:right="80"/>
        <w:spacing w:after="0"/>
        <w:rPr>
          <w:sz w:val="20"/>
          <w:szCs w:val="20"/>
          <w:color w:val="auto"/>
        </w:rPr>
      </w:pPr>
      <w:r>
        <w:rPr>
          <w:rFonts w:ascii="Arial" w:cs="Arial" w:eastAsia="Arial" w:hAnsi="Arial"/>
          <w:sz w:val="18"/>
          <w:szCs w:val="18"/>
          <w:b w:val="1"/>
          <w:bCs w:val="1"/>
          <w:color w:val="auto"/>
        </w:rPr>
        <w:t>SABRE CORPORATION</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(Unaudited)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color w:val="auto"/>
              </w:rPr>
              <w:t>December 31, 2025</w:t>
            </w:r>
          </w:p>
        </w:tc>
        <w:tc>
          <w:tcPr>
            <w:tcW w:w="2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December 31, 2024</w:t>
            </w:r>
          </w:p>
        </w:tc>
        <w:tc>
          <w:tcPr>
            <w:tcW w:w="0" w:type="dxa"/>
            <w:vAlign w:val="bottom"/>
          </w:tcPr>
          <w:p>
            <w:pPr>
              <w:spacing w:after="0"/>
              <w:rPr>
                <w:sz w:val="1"/>
                <w:szCs w:val="1"/>
                <w:color w:val="auto"/>
              </w:rPr>
            </w:pPr>
          </w:p>
        </w:tc>
      </w:tr>
      <w:tr>
        <w:trPr>
          <w:trHeight w:val="187"/>
        </w:trPr>
        <w:tc>
          <w:tcPr>
            <w:tcW w:w="744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3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7440" w:type="dxa"/>
            <w:vAlign w:val="bottom"/>
          </w:tcPr>
          <w:p>
            <w:pPr>
              <w:spacing w:after="0"/>
              <w:rPr>
                <w:sz w:val="20"/>
                <w:szCs w:val="20"/>
                <w:color w:val="auto"/>
              </w:rPr>
            </w:pPr>
            <w:r>
              <w:rPr>
                <w:rFonts w:ascii="Arial" w:cs="Arial" w:eastAsia="Arial" w:hAnsi="Arial"/>
                <w:sz w:val="14"/>
                <w:szCs w:val="14"/>
                <w:color w:val="auto"/>
              </w:rPr>
              <w:t>Current assets</w:t>
            </w: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200"/>
              <w:spacing w:after="0"/>
              <w:rPr>
                <w:sz w:val="20"/>
                <w:szCs w:val="20"/>
                <w:color w:val="auto"/>
              </w:rPr>
            </w:pPr>
            <w:r>
              <w:rPr>
                <w:rFonts w:ascii="Arial" w:cs="Arial" w:eastAsia="Arial" w:hAnsi="Arial"/>
                <w:sz w:val="14"/>
                <w:szCs w:val="14"/>
                <w:color w:val="auto"/>
              </w:rPr>
              <w:t>Cash and cash equivalents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791,555</w:t>
            </w:r>
          </w:p>
        </w:tc>
        <w:tc>
          <w:tcPr>
            <w:tcW w:w="12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724,479</w:t>
            </w:r>
          </w:p>
        </w:tc>
        <w:tc>
          <w:tcPr>
            <w:tcW w:w="0" w:type="dxa"/>
            <w:vAlign w:val="bottom"/>
          </w:tcPr>
          <w:p>
            <w:pPr>
              <w:spacing w:after="0"/>
              <w:rPr>
                <w:sz w:val="1"/>
                <w:szCs w:val="1"/>
                <w:color w:val="auto"/>
              </w:rPr>
            </w:pPr>
          </w:p>
        </w:tc>
      </w:tr>
      <w:tr>
        <w:trPr>
          <w:trHeight w:val="203"/>
        </w:trPr>
        <w:tc>
          <w:tcPr>
            <w:tcW w:w="7440" w:type="dxa"/>
            <w:vAlign w:val="bottom"/>
          </w:tcPr>
          <w:p>
            <w:pPr>
              <w:ind w:left="200"/>
              <w:spacing w:after="0"/>
              <w:rPr>
                <w:sz w:val="20"/>
                <w:szCs w:val="20"/>
                <w:color w:val="auto"/>
              </w:rPr>
            </w:pPr>
            <w:r>
              <w:rPr>
                <w:rFonts w:ascii="Arial" w:cs="Arial" w:eastAsia="Arial" w:hAnsi="Arial"/>
                <w:sz w:val="14"/>
                <w:szCs w:val="14"/>
                <w:color w:val="auto"/>
              </w:rPr>
              <w:t>Restricted cash</w:t>
            </w:r>
          </w:p>
        </w:tc>
        <w:tc>
          <w:tcPr>
            <w:tcW w:w="3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118,558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21,039</w:t>
            </w:r>
          </w:p>
        </w:tc>
        <w:tc>
          <w:tcPr>
            <w:tcW w:w="0" w:type="dxa"/>
            <w:vAlign w:val="bottom"/>
          </w:tcPr>
          <w:p>
            <w:pPr>
              <w:spacing w:after="0"/>
              <w:rPr>
                <w:sz w:val="1"/>
                <w:szCs w:val="1"/>
                <w:color w:val="auto"/>
              </w:rPr>
            </w:pPr>
          </w:p>
        </w:tc>
      </w:tr>
      <w:tr>
        <w:trPr>
          <w:trHeight w:val="203"/>
        </w:trPr>
        <w:tc>
          <w:tcPr>
            <w:tcW w:w="7440" w:type="dxa"/>
            <w:vAlign w:val="bottom"/>
          </w:tcPr>
          <w:p>
            <w:pPr>
              <w:ind w:left="200"/>
              <w:spacing w:after="0"/>
              <w:rPr>
                <w:sz w:val="20"/>
                <w:szCs w:val="20"/>
                <w:color w:val="auto"/>
              </w:rPr>
            </w:pPr>
            <w:r>
              <w:rPr>
                <w:rFonts w:ascii="Arial" w:cs="Arial" w:eastAsia="Arial" w:hAnsi="Arial"/>
                <w:sz w:val="14"/>
                <w:szCs w:val="14"/>
                <w:color w:val="auto"/>
              </w:rPr>
              <w:t>Accounts receivable, net</w:t>
            </w:r>
          </w:p>
        </w:tc>
        <w:tc>
          <w:tcPr>
            <w:tcW w:w="3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311,870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286,601</w:t>
            </w:r>
          </w:p>
        </w:tc>
        <w:tc>
          <w:tcPr>
            <w:tcW w:w="0" w:type="dxa"/>
            <w:vAlign w:val="bottom"/>
          </w:tcPr>
          <w:p>
            <w:pPr>
              <w:spacing w:after="0"/>
              <w:rPr>
                <w:sz w:val="1"/>
                <w:szCs w:val="1"/>
                <w:color w:val="auto"/>
              </w:rPr>
            </w:pPr>
          </w:p>
        </w:tc>
      </w:tr>
      <w:tr>
        <w:trPr>
          <w:trHeight w:val="203"/>
        </w:trPr>
        <w:tc>
          <w:tcPr>
            <w:tcW w:w="7440" w:type="dxa"/>
            <w:vAlign w:val="bottom"/>
          </w:tcPr>
          <w:p>
            <w:pPr>
              <w:ind w:left="200"/>
              <w:spacing w:after="0"/>
              <w:rPr>
                <w:sz w:val="20"/>
                <w:szCs w:val="20"/>
                <w:color w:val="auto"/>
              </w:rPr>
            </w:pPr>
            <w:r>
              <w:rPr>
                <w:rFonts w:ascii="Arial" w:cs="Arial" w:eastAsia="Arial" w:hAnsi="Arial"/>
                <w:sz w:val="14"/>
                <w:szCs w:val="14"/>
                <w:color w:val="auto"/>
              </w:rPr>
              <w:t>Prepaid expenses and other current assets</w:t>
            </w:r>
          </w:p>
        </w:tc>
        <w:tc>
          <w:tcPr>
            <w:tcW w:w="3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74,055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76,518</w:t>
            </w:r>
          </w:p>
        </w:tc>
        <w:tc>
          <w:tcPr>
            <w:tcW w:w="0" w:type="dxa"/>
            <w:vAlign w:val="bottom"/>
          </w:tcPr>
          <w:p>
            <w:pPr>
              <w:spacing w:after="0"/>
              <w:rPr>
                <w:sz w:val="1"/>
                <w:szCs w:val="1"/>
                <w:color w:val="auto"/>
              </w:rPr>
            </w:pPr>
          </w:p>
        </w:tc>
      </w:tr>
      <w:tr>
        <w:trPr>
          <w:trHeight w:val="204"/>
        </w:trPr>
        <w:tc>
          <w:tcPr>
            <w:tcW w:w="7440" w:type="dxa"/>
            <w:vAlign w:val="bottom"/>
          </w:tcPr>
          <w:p>
            <w:pPr>
              <w:ind w:left="220"/>
              <w:spacing w:after="0"/>
              <w:rPr>
                <w:sz w:val="20"/>
                <w:szCs w:val="20"/>
                <w:color w:val="auto"/>
              </w:rPr>
            </w:pPr>
            <w:r>
              <w:rPr>
                <w:rFonts w:ascii="Arial" w:cs="Arial" w:eastAsia="Arial" w:hAnsi="Arial"/>
                <w:sz w:val="14"/>
                <w:szCs w:val="14"/>
                <w:color w:val="auto"/>
              </w:rPr>
              <w:t>Discontinued operations</w:t>
            </w:r>
          </w:p>
        </w:tc>
        <w:tc>
          <w:tcPr>
            <w:tcW w:w="300" w:type="dxa"/>
            <w:vAlign w:val="bottom"/>
          </w:tcPr>
          <w:p>
            <w:pPr>
              <w:spacing w:after="0"/>
              <w:rPr>
                <w:sz w:val="17"/>
                <w:szCs w:val="17"/>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54,581</w:t>
            </w:r>
          </w:p>
        </w:tc>
        <w:tc>
          <w:tcPr>
            <w:tcW w:w="0" w:type="dxa"/>
            <w:vAlign w:val="bottom"/>
          </w:tcPr>
          <w:p>
            <w:pPr>
              <w:spacing w:after="0"/>
              <w:rPr>
                <w:sz w:val="1"/>
                <w:szCs w:val="1"/>
                <w:color w:val="auto"/>
              </w:rPr>
            </w:pPr>
          </w:p>
        </w:tc>
      </w:tr>
      <w:tr>
        <w:trPr>
          <w:trHeight w:val="194"/>
        </w:trPr>
        <w:tc>
          <w:tcPr>
            <w:tcW w:w="7440" w:type="dxa"/>
            <w:vAlign w:val="bottom"/>
          </w:tcPr>
          <w:p>
            <w:pPr>
              <w:ind w:left="340"/>
              <w:spacing w:after="0"/>
              <w:rPr>
                <w:sz w:val="20"/>
                <w:szCs w:val="20"/>
                <w:color w:val="auto"/>
              </w:rPr>
            </w:pPr>
            <w:r>
              <w:rPr>
                <w:rFonts w:ascii="Arial" w:cs="Arial" w:eastAsia="Arial" w:hAnsi="Arial"/>
                <w:sz w:val="14"/>
                <w:szCs w:val="14"/>
                <w:color w:val="auto"/>
              </w:rPr>
              <w:t>Total current assets</w:t>
            </w:r>
          </w:p>
        </w:tc>
        <w:tc>
          <w:tcPr>
            <w:tcW w:w="3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1,296,038</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1,163,218</w:t>
            </w:r>
          </w:p>
        </w:tc>
        <w:tc>
          <w:tcPr>
            <w:tcW w:w="0" w:type="dxa"/>
            <w:vAlign w:val="bottom"/>
          </w:tcPr>
          <w:p>
            <w:pPr>
              <w:spacing w:after="0"/>
              <w:rPr>
                <w:sz w:val="1"/>
                <w:szCs w:val="1"/>
                <w:color w:val="auto"/>
              </w:rPr>
            </w:pPr>
          </w:p>
        </w:tc>
      </w:tr>
      <w:tr>
        <w:trPr>
          <w:trHeight w:val="203"/>
        </w:trPr>
        <w:tc>
          <w:tcPr>
            <w:tcW w:w="7440" w:type="dxa"/>
            <w:vAlign w:val="bottom"/>
          </w:tcPr>
          <w:p>
            <w:pPr>
              <w:spacing w:after="0"/>
              <w:rPr>
                <w:sz w:val="20"/>
                <w:szCs w:val="20"/>
                <w:color w:val="auto"/>
              </w:rPr>
            </w:pPr>
            <w:r>
              <w:rPr>
                <w:rFonts w:ascii="Arial" w:cs="Arial" w:eastAsia="Arial" w:hAnsi="Arial"/>
                <w:sz w:val="14"/>
                <w:szCs w:val="14"/>
                <w:color w:val="auto"/>
              </w:rPr>
              <w:t>Property and equipment, net of accumulated depreciation</w:t>
            </w:r>
          </w:p>
        </w:tc>
        <w:tc>
          <w:tcPr>
            <w:tcW w:w="3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255,323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233,785</w:t>
            </w:r>
          </w:p>
        </w:tc>
        <w:tc>
          <w:tcPr>
            <w:tcW w:w="0" w:type="dxa"/>
            <w:vAlign w:val="bottom"/>
          </w:tcPr>
          <w:p>
            <w:pPr>
              <w:spacing w:after="0"/>
              <w:rPr>
                <w:sz w:val="1"/>
                <w:szCs w:val="1"/>
                <w:color w:val="auto"/>
              </w:rPr>
            </w:pPr>
          </w:p>
        </w:tc>
      </w:tr>
      <w:tr>
        <w:trPr>
          <w:trHeight w:val="203"/>
        </w:trPr>
        <w:tc>
          <w:tcPr>
            <w:tcW w:w="7440" w:type="dxa"/>
            <w:vAlign w:val="bottom"/>
          </w:tcPr>
          <w:p>
            <w:pPr>
              <w:spacing w:after="0"/>
              <w:rPr>
                <w:sz w:val="20"/>
                <w:szCs w:val="20"/>
                <w:color w:val="auto"/>
              </w:rPr>
            </w:pPr>
            <w:r>
              <w:rPr>
                <w:rFonts w:ascii="Arial" w:cs="Arial" w:eastAsia="Arial" w:hAnsi="Arial"/>
                <w:sz w:val="14"/>
                <w:szCs w:val="14"/>
                <w:color w:val="auto"/>
              </w:rPr>
              <w:t>Equity method investments</w:t>
            </w:r>
          </w:p>
        </w:tc>
        <w:tc>
          <w:tcPr>
            <w:tcW w:w="3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23,082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22,470</w:t>
            </w:r>
          </w:p>
        </w:tc>
        <w:tc>
          <w:tcPr>
            <w:tcW w:w="0" w:type="dxa"/>
            <w:vAlign w:val="bottom"/>
          </w:tcPr>
          <w:p>
            <w:pPr>
              <w:spacing w:after="0"/>
              <w:rPr>
                <w:sz w:val="1"/>
                <w:szCs w:val="1"/>
                <w:color w:val="auto"/>
              </w:rPr>
            </w:pPr>
          </w:p>
        </w:tc>
      </w:tr>
      <w:tr>
        <w:trPr>
          <w:trHeight w:val="203"/>
        </w:trPr>
        <w:tc>
          <w:tcPr>
            <w:tcW w:w="7440" w:type="dxa"/>
            <w:vAlign w:val="bottom"/>
          </w:tcPr>
          <w:p>
            <w:pPr>
              <w:spacing w:after="0"/>
              <w:rPr>
                <w:sz w:val="20"/>
                <w:szCs w:val="20"/>
                <w:color w:val="auto"/>
              </w:rPr>
            </w:pPr>
            <w:r>
              <w:rPr>
                <w:rFonts w:ascii="Arial" w:cs="Arial" w:eastAsia="Arial" w:hAnsi="Arial"/>
                <w:sz w:val="14"/>
                <w:szCs w:val="14"/>
                <w:color w:val="auto"/>
              </w:rPr>
              <w:t>Goodwill</w:t>
            </w:r>
          </w:p>
        </w:tc>
        <w:tc>
          <w:tcPr>
            <w:tcW w:w="3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2,384,191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2,383,380</w:t>
            </w:r>
          </w:p>
        </w:tc>
        <w:tc>
          <w:tcPr>
            <w:tcW w:w="0" w:type="dxa"/>
            <w:vAlign w:val="bottom"/>
          </w:tcPr>
          <w:p>
            <w:pPr>
              <w:spacing w:after="0"/>
              <w:rPr>
                <w:sz w:val="1"/>
                <w:szCs w:val="1"/>
                <w:color w:val="auto"/>
              </w:rPr>
            </w:pPr>
          </w:p>
        </w:tc>
      </w:tr>
      <w:tr>
        <w:trPr>
          <w:trHeight w:val="203"/>
        </w:trPr>
        <w:tc>
          <w:tcPr>
            <w:tcW w:w="7440" w:type="dxa"/>
            <w:vAlign w:val="bottom"/>
          </w:tcPr>
          <w:p>
            <w:pPr>
              <w:spacing w:after="0"/>
              <w:rPr>
                <w:sz w:val="20"/>
                <w:szCs w:val="20"/>
                <w:color w:val="auto"/>
              </w:rPr>
            </w:pPr>
            <w:r>
              <w:rPr>
                <w:rFonts w:ascii="Arial" w:cs="Arial" w:eastAsia="Arial" w:hAnsi="Arial"/>
                <w:sz w:val="14"/>
                <w:szCs w:val="14"/>
                <w:color w:val="auto"/>
              </w:rPr>
              <w:t>Acquired customer relationships, net of accumulated amortization</w:t>
            </w:r>
          </w:p>
        </w:tc>
        <w:tc>
          <w:tcPr>
            <w:tcW w:w="3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159,326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177,874</w:t>
            </w:r>
          </w:p>
        </w:tc>
        <w:tc>
          <w:tcPr>
            <w:tcW w:w="0" w:type="dxa"/>
            <w:vAlign w:val="bottom"/>
          </w:tcPr>
          <w:p>
            <w:pPr>
              <w:spacing w:after="0"/>
              <w:rPr>
                <w:sz w:val="1"/>
                <w:szCs w:val="1"/>
                <w:color w:val="auto"/>
              </w:rPr>
            </w:pPr>
          </w:p>
        </w:tc>
      </w:tr>
      <w:tr>
        <w:trPr>
          <w:trHeight w:val="203"/>
        </w:trPr>
        <w:tc>
          <w:tcPr>
            <w:tcW w:w="7440" w:type="dxa"/>
            <w:vAlign w:val="bottom"/>
          </w:tcPr>
          <w:p>
            <w:pPr>
              <w:spacing w:after="0"/>
              <w:rPr>
                <w:sz w:val="20"/>
                <w:szCs w:val="20"/>
                <w:color w:val="auto"/>
              </w:rPr>
            </w:pPr>
            <w:r>
              <w:rPr>
                <w:rFonts w:ascii="Arial" w:cs="Arial" w:eastAsia="Arial" w:hAnsi="Arial"/>
                <w:sz w:val="14"/>
                <w:szCs w:val="14"/>
                <w:color w:val="auto"/>
              </w:rPr>
              <w:t>Other intangible assets, net of accumulated amortization</w:t>
            </w:r>
          </w:p>
        </w:tc>
        <w:tc>
          <w:tcPr>
            <w:tcW w:w="3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125,556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137,411</w:t>
            </w:r>
          </w:p>
        </w:tc>
        <w:tc>
          <w:tcPr>
            <w:tcW w:w="0" w:type="dxa"/>
            <w:vAlign w:val="bottom"/>
          </w:tcPr>
          <w:p>
            <w:pPr>
              <w:spacing w:after="0"/>
              <w:rPr>
                <w:sz w:val="1"/>
                <w:szCs w:val="1"/>
                <w:color w:val="auto"/>
              </w:rPr>
            </w:pPr>
          </w:p>
        </w:tc>
      </w:tr>
      <w:tr>
        <w:trPr>
          <w:trHeight w:val="203"/>
        </w:trPr>
        <w:tc>
          <w:tcPr>
            <w:tcW w:w="7440" w:type="dxa"/>
            <w:vAlign w:val="bottom"/>
          </w:tcPr>
          <w:p>
            <w:pPr>
              <w:spacing w:after="0"/>
              <w:rPr>
                <w:sz w:val="20"/>
                <w:szCs w:val="20"/>
                <w:color w:val="auto"/>
              </w:rPr>
            </w:pPr>
            <w:r>
              <w:rPr>
                <w:rFonts w:ascii="Arial" w:cs="Arial" w:eastAsia="Arial" w:hAnsi="Arial"/>
                <w:sz w:val="14"/>
                <w:szCs w:val="14"/>
                <w:color w:val="auto"/>
              </w:rPr>
              <w:t>Deferred income taxes</w:t>
            </w:r>
          </w:p>
        </w:tc>
        <w:tc>
          <w:tcPr>
            <w:tcW w:w="3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3,874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8,113</w:t>
            </w:r>
          </w:p>
        </w:tc>
        <w:tc>
          <w:tcPr>
            <w:tcW w:w="0" w:type="dxa"/>
            <w:vAlign w:val="bottom"/>
          </w:tcPr>
          <w:p>
            <w:pPr>
              <w:spacing w:after="0"/>
              <w:rPr>
                <w:sz w:val="1"/>
                <w:szCs w:val="1"/>
                <w:color w:val="auto"/>
              </w:rPr>
            </w:pPr>
          </w:p>
        </w:tc>
      </w:tr>
      <w:tr>
        <w:trPr>
          <w:trHeight w:val="203"/>
        </w:trPr>
        <w:tc>
          <w:tcPr>
            <w:tcW w:w="7440" w:type="dxa"/>
            <w:vAlign w:val="bottom"/>
          </w:tcPr>
          <w:p>
            <w:pPr>
              <w:spacing w:after="0"/>
              <w:rPr>
                <w:sz w:val="20"/>
                <w:szCs w:val="20"/>
                <w:color w:val="auto"/>
              </w:rPr>
            </w:pPr>
            <w:r>
              <w:rPr>
                <w:rFonts w:ascii="Arial" w:cs="Arial" w:eastAsia="Arial" w:hAnsi="Arial"/>
                <w:sz w:val="14"/>
                <w:szCs w:val="14"/>
                <w:color w:val="auto"/>
              </w:rPr>
              <w:t>Other assets, net</w:t>
            </w:r>
          </w:p>
        </w:tc>
        <w:tc>
          <w:tcPr>
            <w:tcW w:w="3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254,738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272,876</w:t>
            </w:r>
          </w:p>
        </w:tc>
        <w:tc>
          <w:tcPr>
            <w:tcW w:w="0" w:type="dxa"/>
            <w:vAlign w:val="bottom"/>
          </w:tcPr>
          <w:p>
            <w:pPr>
              <w:spacing w:after="0"/>
              <w:rPr>
                <w:sz w:val="1"/>
                <w:szCs w:val="1"/>
                <w:color w:val="auto"/>
              </w:rPr>
            </w:pPr>
          </w:p>
        </w:tc>
      </w:tr>
      <w:tr>
        <w:trPr>
          <w:trHeight w:val="206"/>
        </w:trPr>
        <w:tc>
          <w:tcPr>
            <w:tcW w:w="7440" w:type="dxa"/>
            <w:vAlign w:val="bottom"/>
          </w:tcPr>
          <w:p>
            <w:pPr>
              <w:spacing w:after="0"/>
              <w:rPr>
                <w:sz w:val="20"/>
                <w:szCs w:val="20"/>
                <w:color w:val="auto"/>
              </w:rPr>
            </w:pPr>
            <w:r>
              <w:rPr>
                <w:rFonts w:ascii="Arial" w:cs="Arial" w:eastAsia="Arial" w:hAnsi="Arial"/>
                <w:sz w:val="14"/>
                <w:szCs w:val="14"/>
                <w:color w:val="auto"/>
              </w:rPr>
              <w:t>Discontinued operations</w:t>
            </w:r>
          </w:p>
        </w:tc>
        <w:tc>
          <w:tcPr>
            <w:tcW w:w="300" w:type="dxa"/>
            <w:vAlign w:val="bottom"/>
          </w:tcPr>
          <w:p>
            <w:pPr>
              <w:spacing w:after="0"/>
              <w:rPr>
                <w:sz w:val="17"/>
                <w:szCs w:val="17"/>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235,802</w:t>
            </w:r>
          </w:p>
        </w:tc>
        <w:tc>
          <w:tcPr>
            <w:tcW w:w="0" w:type="dxa"/>
            <w:vAlign w:val="bottom"/>
          </w:tcPr>
          <w:p>
            <w:pPr>
              <w:spacing w:after="0"/>
              <w:rPr>
                <w:sz w:val="1"/>
                <w:szCs w:val="1"/>
                <w:color w:val="auto"/>
              </w:rPr>
            </w:pPr>
          </w:p>
        </w:tc>
      </w:tr>
      <w:tr>
        <w:trPr>
          <w:trHeight w:val="200"/>
        </w:trPr>
        <w:tc>
          <w:tcPr>
            <w:tcW w:w="7440" w:type="dxa"/>
            <w:vAlign w:val="bottom"/>
          </w:tcPr>
          <w:p>
            <w:pPr>
              <w:ind w:left="340"/>
              <w:spacing w:after="0"/>
              <w:rPr>
                <w:sz w:val="20"/>
                <w:szCs w:val="20"/>
                <w:color w:val="auto"/>
              </w:rPr>
            </w:pPr>
            <w:r>
              <w:rPr>
                <w:rFonts w:ascii="Arial" w:cs="Arial" w:eastAsia="Arial" w:hAnsi="Arial"/>
                <w:sz w:val="14"/>
                <w:szCs w:val="14"/>
                <w:color w:val="auto"/>
              </w:rPr>
              <w:t>Total assets</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4,502,128</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4,634,929</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deficit</w:t>
            </w: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9"/>
        </w:trPr>
        <w:tc>
          <w:tcPr>
            <w:tcW w:w="74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7440" w:type="dxa"/>
            <w:vAlign w:val="bottom"/>
          </w:tcPr>
          <w:p>
            <w:pPr>
              <w:spacing w:after="0"/>
              <w:rPr>
                <w:sz w:val="20"/>
                <w:szCs w:val="20"/>
                <w:color w:val="auto"/>
              </w:rPr>
            </w:pPr>
            <w:r>
              <w:rPr>
                <w:rFonts w:ascii="Arial" w:cs="Arial" w:eastAsia="Arial" w:hAnsi="Arial"/>
                <w:sz w:val="14"/>
                <w:szCs w:val="14"/>
                <w:color w:val="auto"/>
              </w:rPr>
              <w:t>Current liabilities</w:t>
            </w: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200"/>
              <w:spacing w:after="0"/>
              <w:rPr>
                <w:sz w:val="20"/>
                <w:szCs w:val="20"/>
                <w:color w:val="auto"/>
              </w:rPr>
            </w:pPr>
            <w:r>
              <w:rPr>
                <w:rFonts w:ascii="Arial" w:cs="Arial" w:eastAsia="Arial" w:hAnsi="Arial"/>
                <w:sz w:val="14"/>
                <w:szCs w:val="14"/>
                <w:color w:val="auto"/>
              </w:rPr>
              <w:t>Accounts payable</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260,035</w:t>
            </w:r>
          </w:p>
        </w:tc>
        <w:tc>
          <w:tcPr>
            <w:tcW w:w="12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242,992</w:t>
            </w:r>
          </w:p>
        </w:tc>
        <w:tc>
          <w:tcPr>
            <w:tcW w:w="0" w:type="dxa"/>
            <w:vAlign w:val="bottom"/>
          </w:tcPr>
          <w:p>
            <w:pPr>
              <w:spacing w:after="0"/>
              <w:rPr>
                <w:sz w:val="1"/>
                <w:szCs w:val="1"/>
                <w:color w:val="auto"/>
              </w:rPr>
            </w:pPr>
          </w:p>
        </w:tc>
      </w:tr>
      <w:tr>
        <w:trPr>
          <w:trHeight w:val="203"/>
        </w:trPr>
        <w:tc>
          <w:tcPr>
            <w:tcW w:w="7440" w:type="dxa"/>
            <w:vAlign w:val="bottom"/>
          </w:tcPr>
          <w:p>
            <w:pPr>
              <w:ind w:left="200"/>
              <w:spacing w:after="0"/>
              <w:rPr>
                <w:sz w:val="20"/>
                <w:szCs w:val="20"/>
                <w:color w:val="auto"/>
              </w:rPr>
            </w:pPr>
            <w:r>
              <w:rPr>
                <w:rFonts w:ascii="Arial" w:cs="Arial" w:eastAsia="Arial" w:hAnsi="Arial"/>
                <w:sz w:val="14"/>
                <w:szCs w:val="14"/>
                <w:color w:val="auto"/>
              </w:rPr>
              <w:t>Accrued compensation and related benefits</w:t>
            </w:r>
          </w:p>
        </w:tc>
        <w:tc>
          <w:tcPr>
            <w:tcW w:w="3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103,521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105,533</w:t>
            </w:r>
          </w:p>
        </w:tc>
        <w:tc>
          <w:tcPr>
            <w:tcW w:w="0" w:type="dxa"/>
            <w:vAlign w:val="bottom"/>
          </w:tcPr>
          <w:p>
            <w:pPr>
              <w:spacing w:after="0"/>
              <w:rPr>
                <w:sz w:val="1"/>
                <w:szCs w:val="1"/>
                <w:color w:val="auto"/>
              </w:rPr>
            </w:pPr>
          </w:p>
        </w:tc>
      </w:tr>
      <w:tr>
        <w:trPr>
          <w:trHeight w:val="203"/>
        </w:trPr>
        <w:tc>
          <w:tcPr>
            <w:tcW w:w="7440" w:type="dxa"/>
            <w:vAlign w:val="bottom"/>
          </w:tcPr>
          <w:p>
            <w:pPr>
              <w:ind w:left="200"/>
              <w:spacing w:after="0"/>
              <w:rPr>
                <w:sz w:val="20"/>
                <w:szCs w:val="20"/>
                <w:color w:val="auto"/>
              </w:rPr>
            </w:pPr>
            <w:r>
              <w:rPr>
                <w:rFonts w:ascii="Arial" w:cs="Arial" w:eastAsia="Arial" w:hAnsi="Arial"/>
                <w:sz w:val="14"/>
                <w:szCs w:val="14"/>
                <w:color w:val="auto"/>
              </w:rPr>
              <w:t>Accrued subscriber incentives</w:t>
            </w:r>
          </w:p>
        </w:tc>
        <w:tc>
          <w:tcPr>
            <w:tcW w:w="3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289,095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265,065</w:t>
            </w:r>
          </w:p>
        </w:tc>
        <w:tc>
          <w:tcPr>
            <w:tcW w:w="0" w:type="dxa"/>
            <w:vAlign w:val="bottom"/>
          </w:tcPr>
          <w:p>
            <w:pPr>
              <w:spacing w:after="0"/>
              <w:rPr>
                <w:sz w:val="1"/>
                <w:szCs w:val="1"/>
                <w:color w:val="auto"/>
              </w:rPr>
            </w:pPr>
          </w:p>
        </w:tc>
      </w:tr>
      <w:tr>
        <w:trPr>
          <w:trHeight w:val="203"/>
        </w:trPr>
        <w:tc>
          <w:tcPr>
            <w:tcW w:w="7440" w:type="dxa"/>
            <w:vAlign w:val="bottom"/>
          </w:tcPr>
          <w:p>
            <w:pPr>
              <w:ind w:left="200"/>
              <w:spacing w:after="0"/>
              <w:rPr>
                <w:sz w:val="20"/>
                <w:szCs w:val="20"/>
                <w:color w:val="auto"/>
              </w:rPr>
            </w:pPr>
            <w:r>
              <w:rPr>
                <w:rFonts w:ascii="Arial" w:cs="Arial" w:eastAsia="Arial" w:hAnsi="Arial"/>
                <w:sz w:val="14"/>
                <w:szCs w:val="14"/>
                <w:color w:val="auto"/>
              </w:rPr>
              <w:t>Deferred revenues</w:t>
            </w:r>
          </w:p>
        </w:tc>
        <w:tc>
          <w:tcPr>
            <w:tcW w:w="3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58,413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60,200</w:t>
            </w:r>
          </w:p>
        </w:tc>
        <w:tc>
          <w:tcPr>
            <w:tcW w:w="0" w:type="dxa"/>
            <w:vAlign w:val="bottom"/>
          </w:tcPr>
          <w:p>
            <w:pPr>
              <w:spacing w:after="0"/>
              <w:rPr>
                <w:sz w:val="1"/>
                <w:szCs w:val="1"/>
                <w:color w:val="auto"/>
              </w:rPr>
            </w:pPr>
          </w:p>
        </w:tc>
      </w:tr>
      <w:tr>
        <w:trPr>
          <w:trHeight w:val="203"/>
        </w:trPr>
        <w:tc>
          <w:tcPr>
            <w:tcW w:w="7440" w:type="dxa"/>
            <w:vAlign w:val="bottom"/>
          </w:tcPr>
          <w:p>
            <w:pPr>
              <w:ind w:left="200"/>
              <w:spacing w:after="0"/>
              <w:rPr>
                <w:sz w:val="20"/>
                <w:szCs w:val="20"/>
                <w:color w:val="auto"/>
              </w:rPr>
            </w:pPr>
            <w:r>
              <w:rPr>
                <w:rFonts w:ascii="Arial" w:cs="Arial" w:eastAsia="Arial" w:hAnsi="Arial"/>
                <w:sz w:val="14"/>
                <w:szCs w:val="14"/>
                <w:color w:val="auto"/>
              </w:rPr>
              <w:t>Other accrued liabilities</w:t>
            </w:r>
          </w:p>
        </w:tc>
        <w:tc>
          <w:tcPr>
            <w:tcW w:w="3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256,856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186,563</w:t>
            </w:r>
          </w:p>
        </w:tc>
        <w:tc>
          <w:tcPr>
            <w:tcW w:w="0" w:type="dxa"/>
            <w:vAlign w:val="bottom"/>
          </w:tcPr>
          <w:p>
            <w:pPr>
              <w:spacing w:after="0"/>
              <w:rPr>
                <w:sz w:val="1"/>
                <w:szCs w:val="1"/>
                <w:color w:val="auto"/>
              </w:rPr>
            </w:pPr>
          </w:p>
        </w:tc>
      </w:tr>
      <w:tr>
        <w:trPr>
          <w:trHeight w:val="203"/>
        </w:trPr>
        <w:tc>
          <w:tcPr>
            <w:tcW w:w="7440" w:type="dxa"/>
            <w:vAlign w:val="bottom"/>
          </w:tcPr>
          <w:p>
            <w:pPr>
              <w:ind w:left="200"/>
              <w:spacing w:after="0"/>
              <w:rPr>
                <w:sz w:val="20"/>
                <w:szCs w:val="20"/>
                <w:color w:val="auto"/>
              </w:rPr>
            </w:pPr>
            <w:r>
              <w:rPr>
                <w:rFonts w:ascii="Arial" w:cs="Arial" w:eastAsia="Arial" w:hAnsi="Arial"/>
                <w:sz w:val="14"/>
                <w:szCs w:val="14"/>
                <w:color w:val="auto"/>
              </w:rPr>
              <w:t>Current portion of debt</w:t>
            </w:r>
          </w:p>
        </w:tc>
        <w:tc>
          <w:tcPr>
            <w:tcW w:w="3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245,651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230,214</w:t>
            </w:r>
          </w:p>
        </w:tc>
        <w:tc>
          <w:tcPr>
            <w:tcW w:w="0" w:type="dxa"/>
            <w:vAlign w:val="bottom"/>
          </w:tcPr>
          <w:p>
            <w:pPr>
              <w:spacing w:after="0"/>
              <w:rPr>
                <w:sz w:val="1"/>
                <w:szCs w:val="1"/>
                <w:color w:val="auto"/>
              </w:rPr>
            </w:pPr>
          </w:p>
        </w:tc>
      </w:tr>
      <w:tr>
        <w:trPr>
          <w:trHeight w:val="204"/>
        </w:trPr>
        <w:tc>
          <w:tcPr>
            <w:tcW w:w="7440" w:type="dxa"/>
            <w:vAlign w:val="bottom"/>
          </w:tcPr>
          <w:p>
            <w:pPr>
              <w:ind w:left="200"/>
              <w:spacing w:after="0"/>
              <w:rPr>
                <w:sz w:val="20"/>
                <w:szCs w:val="20"/>
                <w:color w:val="auto"/>
              </w:rPr>
            </w:pPr>
            <w:r>
              <w:rPr>
                <w:rFonts w:ascii="Arial" w:cs="Arial" w:eastAsia="Arial" w:hAnsi="Arial"/>
                <w:sz w:val="14"/>
                <w:szCs w:val="14"/>
                <w:color w:val="auto"/>
              </w:rPr>
              <w:t>Discontinued operations</w:t>
            </w:r>
          </w:p>
        </w:tc>
        <w:tc>
          <w:tcPr>
            <w:tcW w:w="300" w:type="dxa"/>
            <w:vAlign w:val="bottom"/>
          </w:tcPr>
          <w:p>
            <w:pPr>
              <w:spacing w:after="0"/>
              <w:rPr>
                <w:sz w:val="17"/>
                <w:szCs w:val="17"/>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51,207</w:t>
            </w:r>
          </w:p>
        </w:tc>
        <w:tc>
          <w:tcPr>
            <w:tcW w:w="0" w:type="dxa"/>
            <w:vAlign w:val="bottom"/>
          </w:tcPr>
          <w:p>
            <w:pPr>
              <w:spacing w:after="0"/>
              <w:rPr>
                <w:sz w:val="1"/>
                <w:szCs w:val="1"/>
                <w:color w:val="auto"/>
              </w:rPr>
            </w:pPr>
          </w:p>
        </w:tc>
      </w:tr>
      <w:tr>
        <w:trPr>
          <w:trHeight w:val="194"/>
        </w:trPr>
        <w:tc>
          <w:tcPr>
            <w:tcW w:w="7440" w:type="dxa"/>
            <w:vAlign w:val="bottom"/>
          </w:tcPr>
          <w:p>
            <w:pPr>
              <w:ind w:left="340"/>
              <w:spacing w:after="0"/>
              <w:rPr>
                <w:sz w:val="20"/>
                <w:szCs w:val="20"/>
                <w:color w:val="auto"/>
              </w:rPr>
            </w:pPr>
            <w:r>
              <w:rPr>
                <w:rFonts w:ascii="Arial" w:cs="Arial" w:eastAsia="Arial" w:hAnsi="Arial"/>
                <w:sz w:val="14"/>
                <w:szCs w:val="14"/>
                <w:color w:val="auto"/>
              </w:rPr>
              <w:t>Total current liabilities</w:t>
            </w:r>
          </w:p>
        </w:tc>
        <w:tc>
          <w:tcPr>
            <w:tcW w:w="3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1,213,571</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1,141,774</w:t>
            </w:r>
          </w:p>
        </w:tc>
        <w:tc>
          <w:tcPr>
            <w:tcW w:w="0" w:type="dxa"/>
            <w:vAlign w:val="bottom"/>
          </w:tcPr>
          <w:p>
            <w:pPr>
              <w:spacing w:after="0"/>
              <w:rPr>
                <w:sz w:val="1"/>
                <w:szCs w:val="1"/>
                <w:color w:val="auto"/>
              </w:rPr>
            </w:pPr>
          </w:p>
        </w:tc>
      </w:tr>
      <w:tr>
        <w:trPr>
          <w:trHeight w:val="203"/>
        </w:trPr>
        <w:tc>
          <w:tcPr>
            <w:tcW w:w="7440" w:type="dxa"/>
            <w:vAlign w:val="bottom"/>
          </w:tcPr>
          <w:p>
            <w:pPr>
              <w:spacing w:after="0"/>
              <w:rPr>
                <w:sz w:val="20"/>
                <w:szCs w:val="20"/>
                <w:color w:val="auto"/>
              </w:rPr>
            </w:pPr>
            <w:r>
              <w:rPr>
                <w:rFonts w:ascii="Arial" w:cs="Arial" w:eastAsia="Arial" w:hAnsi="Arial"/>
                <w:sz w:val="14"/>
                <w:szCs w:val="14"/>
                <w:color w:val="auto"/>
              </w:rPr>
              <w:t>Deferred income taxes</w:t>
            </w:r>
          </w:p>
        </w:tc>
        <w:tc>
          <w:tcPr>
            <w:tcW w:w="3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36,614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30,120</w:t>
            </w:r>
          </w:p>
        </w:tc>
        <w:tc>
          <w:tcPr>
            <w:tcW w:w="0" w:type="dxa"/>
            <w:vAlign w:val="bottom"/>
          </w:tcPr>
          <w:p>
            <w:pPr>
              <w:spacing w:after="0"/>
              <w:rPr>
                <w:sz w:val="1"/>
                <w:szCs w:val="1"/>
                <w:color w:val="auto"/>
              </w:rPr>
            </w:pPr>
          </w:p>
        </w:tc>
      </w:tr>
      <w:tr>
        <w:trPr>
          <w:trHeight w:val="203"/>
        </w:trPr>
        <w:tc>
          <w:tcPr>
            <w:tcW w:w="744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3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173,172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204,041</w:t>
            </w:r>
          </w:p>
        </w:tc>
        <w:tc>
          <w:tcPr>
            <w:tcW w:w="0" w:type="dxa"/>
            <w:vAlign w:val="bottom"/>
          </w:tcPr>
          <w:p>
            <w:pPr>
              <w:spacing w:after="0"/>
              <w:rPr>
                <w:sz w:val="1"/>
                <w:szCs w:val="1"/>
                <w:color w:val="auto"/>
              </w:rPr>
            </w:pPr>
          </w:p>
        </w:tc>
      </w:tr>
      <w:tr>
        <w:trPr>
          <w:trHeight w:val="203"/>
        </w:trPr>
        <w:tc>
          <w:tcPr>
            <w:tcW w:w="7440" w:type="dxa"/>
            <w:vAlign w:val="bottom"/>
          </w:tcPr>
          <w:p>
            <w:pPr>
              <w:spacing w:after="0"/>
              <w:rPr>
                <w:sz w:val="20"/>
                <w:szCs w:val="20"/>
                <w:color w:val="auto"/>
              </w:rPr>
            </w:pPr>
            <w:r>
              <w:rPr>
                <w:rFonts w:ascii="Arial" w:cs="Arial" w:eastAsia="Arial" w:hAnsi="Arial"/>
                <w:sz w:val="14"/>
                <w:szCs w:val="14"/>
                <w:color w:val="auto"/>
              </w:rPr>
              <w:t>Discontinued operations</w:t>
            </w:r>
          </w:p>
        </w:tc>
        <w:tc>
          <w:tcPr>
            <w:tcW w:w="300" w:type="dxa"/>
            <w:vAlign w:val="bottom"/>
          </w:tcPr>
          <w:p>
            <w:pPr>
              <w:spacing w:after="0"/>
              <w:rPr>
                <w:sz w:val="17"/>
                <w:szCs w:val="17"/>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15,989</w:t>
            </w:r>
          </w:p>
        </w:tc>
        <w:tc>
          <w:tcPr>
            <w:tcW w:w="0" w:type="dxa"/>
            <w:vAlign w:val="bottom"/>
          </w:tcPr>
          <w:p>
            <w:pPr>
              <w:spacing w:after="0"/>
              <w:rPr>
                <w:sz w:val="1"/>
                <w:szCs w:val="1"/>
                <w:color w:val="auto"/>
              </w:rPr>
            </w:pPr>
          </w:p>
        </w:tc>
      </w:tr>
      <w:tr>
        <w:trPr>
          <w:trHeight w:val="203"/>
        </w:trPr>
        <w:tc>
          <w:tcPr>
            <w:tcW w:w="7440" w:type="dxa"/>
            <w:vAlign w:val="bottom"/>
          </w:tcPr>
          <w:p>
            <w:pPr>
              <w:spacing w:after="0"/>
              <w:rPr>
                <w:sz w:val="20"/>
                <w:szCs w:val="20"/>
                <w:color w:val="auto"/>
              </w:rPr>
            </w:pPr>
            <w:r>
              <w:rPr>
                <w:rFonts w:ascii="Arial" w:cs="Arial" w:eastAsia="Arial" w:hAnsi="Arial"/>
                <w:sz w:val="14"/>
                <w:szCs w:val="14"/>
                <w:color w:val="auto"/>
              </w:rPr>
              <w:t>Long-term debt</w:t>
            </w:r>
          </w:p>
        </w:tc>
        <w:tc>
          <w:tcPr>
            <w:tcW w:w="3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4,103,208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4,834,776</w:t>
            </w:r>
          </w:p>
        </w:tc>
        <w:tc>
          <w:tcPr>
            <w:tcW w:w="0" w:type="dxa"/>
            <w:vAlign w:val="bottom"/>
          </w:tcPr>
          <w:p>
            <w:pPr>
              <w:spacing w:after="0"/>
              <w:rPr>
                <w:sz w:val="1"/>
                <w:szCs w:val="1"/>
                <w:color w:val="auto"/>
              </w:rPr>
            </w:pPr>
          </w:p>
        </w:tc>
      </w:tr>
      <w:tr>
        <w:trPr>
          <w:trHeight w:val="203"/>
        </w:trPr>
        <w:tc>
          <w:tcPr>
            <w:tcW w:w="7440" w:type="dxa"/>
            <w:vAlign w:val="bottom"/>
          </w:tcPr>
          <w:p>
            <w:pPr>
              <w:spacing w:after="0"/>
              <w:rPr>
                <w:sz w:val="20"/>
                <w:szCs w:val="20"/>
                <w:color w:val="auto"/>
              </w:rPr>
            </w:pPr>
            <w:r>
              <w:rPr>
                <w:rFonts w:ascii="Arial" w:cs="Arial" w:eastAsia="Arial" w:hAnsi="Arial"/>
                <w:sz w:val="14"/>
                <w:szCs w:val="14"/>
                <w:color w:val="auto"/>
              </w:rPr>
              <w:t>Redeemable noncontrolling interests</w:t>
            </w:r>
          </w:p>
        </w:tc>
        <w:tc>
          <w:tcPr>
            <w:tcW w:w="3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12,057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12,928</w:t>
            </w:r>
          </w:p>
        </w:tc>
        <w:tc>
          <w:tcPr>
            <w:tcW w:w="0" w:type="dxa"/>
            <w:vAlign w:val="bottom"/>
          </w:tcPr>
          <w:p>
            <w:pPr>
              <w:spacing w:after="0"/>
              <w:rPr>
                <w:sz w:val="1"/>
                <w:szCs w:val="1"/>
                <w:color w:val="auto"/>
              </w:rPr>
            </w:pPr>
          </w:p>
        </w:tc>
      </w:tr>
      <w:tr>
        <w:trPr>
          <w:trHeight w:val="203"/>
        </w:trPr>
        <w:tc>
          <w:tcPr>
            <w:tcW w:w="7440" w:type="dxa"/>
            <w:vAlign w:val="bottom"/>
          </w:tcPr>
          <w:p>
            <w:pPr>
              <w:spacing w:after="0"/>
              <w:rPr>
                <w:sz w:val="20"/>
                <w:szCs w:val="20"/>
                <w:color w:val="auto"/>
              </w:rPr>
            </w:pPr>
            <w:r>
              <w:rPr>
                <w:rFonts w:ascii="Arial" w:cs="Arial" w:eastAsia="Arial" w:hAnsi="Arial"/>
                <w:sz w:val="14"/>
                <w:szCs w:val="14"/>
                <w:color w:val="auto"/>
              </w:rPr>
              <w:t>Stockholders’ equity</w:t>
            </w: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7440" w:type="dxa"/>
            <w:vAlign w:val="bottom"/>
          </w:tcPr>
          <w:p>
            <w:pPr>
              <w:ind w:left="200"/>
              <w:spacing w:after="0"/>
              <w:rPr>
                <w:sz w:val="20"/>
                <w:szCs w:val="20"/>
                <w:color w:val="auto"/>
              </w:rPr>
            </w:pPr>
            <w:r>
              <w:rPr>
                <w:rFonts w:ascii="Arial" w:cs="Arial" w:eastAsia="Arial" w:hAnsi="Arial"/>
                <w:sz w:val="14"/>
                <w:szCs w:val="14"/>
                <w:color w:val="auto"/>
              </w:rPr>
              <w:t>Common stock: $0.01 par value; 1,000,000 authorized shares; 427,366 and 414,754 shares issued, 395,004 and</w:t>
            </w:r>
          </w:p>
        </w:tc>
        <w:tc>
          <w:tcPr>
            <w:tcW w:w="300" w:type="dxa"/>
            <w:vAlign w:val="bottom"/>
          </w:tcPr>
          <w:p>
            <w:pPr>
              <w:spacing w:after="0"/>
              <w:rPr>
                <w:sz w:val="13"/>
                <w:szCs w:val="13"/>
                <w:color w:val="auto"/>
              </w:rPr>
            </w:pP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4,274</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4,147</w:t>
            </w:r>
          </w:p>
        </w:tc>
        <w:tc>
          <w:tcPr>
            <w:tcW w:w="0" w:type="dxa"/>
            <w:vAlign w:val="bottom"/>
          </w:tcPr>
          <w:p>
            <w:pPr>
              <w:spacing w:after="0"/>
              <w:rPr>
                <w:sz w:val="1"/>
                <w:szCs w:val="1"/>
                <w:color w:val="auto"/>
              </w:rPr>
            </w:pPr>
          </w:p>
        </w:tc>
      </w:tr>
      <w:tr>
        <w:trPr>
          <w:trHeight w:val="189"/>
        </w:trPr>
        <w:tc>
          <w:tcPr>
            <w:tcW w:w="7440" w:type="dxa"/>
            <w:vAlign w:val="bottom"/>
          </w:tcPr>
          <w:p>
            <w:pPr>
              <w:ind w:left="200"/>
              <w:spacing w:after="0"/>
              <w:rPr>
                <w:sz w:val="20"/>
                <w:szCs w:val="20"/>
                <w:color w:val="auto"/>
              </w:rPr>
            </w:pPr>
            <w:r>
              <w:rPr>
                <w:rFonts w:ascii="Arial" w:cs="Arial" w:eastAsia="Arial" w:hAnsi="Arial"/>
                <w:sz w:val="14"/>
                <w:szCs w:val="14"/>
                <w:color w:val="auto"/>
              </w:rPr>
              <w:t>385,932 shares outstanding at December 31, 2025 and 2024, respectively</w:t>
            </w:r>
          </w:p>
        </w:tc>
        <w:tc>
          <w:tcPr>
            <w:tcW w:w="3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40" w:type="dxa"/>
            <w:vAlign w:val="bottom"/>
          </w:tcPr>
          <w:p>
            <w:pPr>
              <w:ind w:left="200"/>
              <w:spacing w:after="0"/>
              <w:rPr>
                <w:sz w:val="20"/>
                <w:szCs w:val="20"/>
                <w:color w:val="auto"/>
              </w:rPr>
            </w:pPr>
            <w:r>
              <w:rPr>
                <w:rFonts w:ascii="Arial" w:cs="Arial" w:eastAsia="Arial" w:hAnsi="Arial"/>
                <w:sz w:val="14"/>
                <w:szCs w:val="14"/>
                <w:color w:val="auto"/>
              </w:rPr>
              <w:t>Additional paid-in capital</w:t>
            </w:r>
          </w:p>
        </w:tc>
        <w:tc>
          <w:tcPr>
            <w:tcW w:w="3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3,351,111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3,304,466</w:t>
            </w:r>
          </w:p>
        </w:tc>
        <w:tc>
          <w:tcPr>
            <w:tcW w:w="0" w:type="dxa"/>
            <w:vAlign w:val="bottom"/>
          </w:tcPr>
          <w:p>
            <w:pPr>
              <w:spacing w:after="0"/>
              <w:rPr>
                <w:sz w:val="1"/>
                <w:szCs w:val="1"/>
                <w:color w:val="auto"/>
              </w:rPr>
            </w:pPr>
          </w:p>
        </w:tc>
      </w:tr>
      <w:tr>
        <w:trPr>
          <w:trHeight w:val="203"/>
        </w:trPr>
        <w:tc>
          <w:tcPr>
            <w:tcW w:w="7440" w:type="dxa"/>
            <w:vAlign w:val="bottom"/>
          </w:tcPr>
          <w:p>
            <w:pPr>
              <w:ind w:left="200"/>
              <w:spacing w:after="0"/>
              <w:rPr>
                <w:sz w:val="20"/>
                <w:szCs w:val="20"/>
                <w:color w:val="auto"/>
              </w:rPr>
            </w:pPr>
            <w:r>
              <w:rPr>
                <w:rFonts w:ascii="Arial" w:cs="Arial" w:eastAsia="Arial" w:hAnsi="Arial"/>
                <w:sz w:val="14"/>
                <w:szCs w:val="14"/>
                <w:color w:val="auto"/>
              </w:rPr>
              <w:t>Treasury stock, at cost, 32,362 and 28,822 shares at December 31, 2025 and 2024, respectively</w:t>
            </w:r>
          </w:p>
        </w:tc>
        <w:tc>
          <w:tcPr>
            <w:tcW w:w="3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(537,197)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(526,789)</w:t>
            </w:r>
          </w:p>
        </w:tc>
        <w:tc>
          <w:tcPr>
            <w:tcW w:w="0" w:type="dxa"/>
            <w:vAlign w:val="bottom"/>
          </w:tcPr>
          <w:p>
            <w:pPr>
              <w:spacing w:after="0"/>
              <w:rPr>
                <w:sz w:val="1"/>
                <w:szCs w:val="1"/>
                <w:color w:val="auto"/>
              </w:rPr>
            </w:pPr>
          </w:p>
        </w:tc>
      </w:tr>
      <w:tr>
        <w:trPr>
          <w:trHeight w:val="203"/>
        </w:trPr>
        <w:tc>
          <w:tcPr>
            <w:tcW w:w="7440" w:type="dxa"/>
            <w:vAlign w:val="bottom"/>
          </w:tcPr>
          <w:p>
            <w:pPr>
              <w:ind w:left="200"/>
              <w:spacing w:after="0"/>
              <w:rPr>
                <w:sz w:val="20"/>
                <w:szCs w:val="20"/>
                <w:color w:val="auto"/>
              </w:rPr>
            </w:pPr>
            <w:r>
              <w:rPr>
                <w:rFonts w:ascii="Arial" w:cs="Arial" w:eastAsia="Arial" w:hAnsi="Arial"/>
                <w:sz w:val="14"/>
                <w:szCs w:val="14"/>
                <w:color w:val="auto"/>
              </w:rPr>
              <w:t>Accumulated deficit</w:t>
            </w:r>
          </w:p>
        </w:tc>
        <w:tc>
          <w:tcPr>
            <w:tcW w:w="3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(3,802,535)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(4,327,152)</w:t>
            </w:r>
          </w:p>
        </w:tc>
        <w:tc>
          <w:tcPr>
            <w:tcW w:w="0" w:type="dxa"/>
            <w:vAlign w:val="bottom"/>
          </w:tcPr>
          <w:p>
            <w:pPr>
              <w:spacing w:after="0"/>
              <w:rPr>
                <w:sz w:val="1"/>
                <w:szCs w:val="1"/>
                <w:color w:val="auto"/>
              </w:rPr>
            </w:pPr>
          </w:p>
        </w:tc>
      </w:tr>
      <w:tr>
        <w:trPr>
          <w:trHeight w:val="203"/>
        </w:trPr>
        <w:tc>
          <w:tcPr>
            <w:tcW w:w="7440" w:type="dxa"/>
            <w:vAlign w:val="bottom"/>
          </w:tcPr>
          <w:p>
            <w:pPr>
              <w:ind w:left="200"/>
              <w:spacing w:after="0"/>
              <w:rPr>
                <w:sz w:val="20"/>
                <w:szCs w:val="20"/>
                <w:color w:val="auto"/>
              </w:rPr>
            </w:pPr>
            <w:r>
              <w:rPr>
                <w:rFonts w:ascii="Arial" w:cs="Arial" w:eastAsia="Arial" w:hAnsi="Arial"/>
                <w:sz w:val="14"/>
                <w:szCs w:val="14"/>
                <w:color w:val="auto"/>
              </w:rPr>
              <w:t>Accumulated other comprehensive loss</w:t>
            </w:r>
          </w:p>
        </w:tc>
        <w:tc>
          <w:tcPr>
            <w:tcW w:w="3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(66,656)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(73,747)</w:t>
            </w:r>
          </w:p>
        </w:tc>
        <w:tc>
          <w:tcPr>
            <w:tcW w:w="0" w:type="dxa"/>
            <w:vAlign w:val="bottom"/>
          </w:tcPr>
          <w:p>
            <w:pPr>
              <w:spacing w:after="0"/>
              <w:rPr>
                <w:sz w:val="1"/>
                <w:szCs w:val="1"/>
                <w:color w:val="auto"/>
              </w:rPr>
            </w:pPr>
          </w:p>
        </w:tc>
      </w:tr>
      <w:tr>
        <w:trPr>
          <w:trHeight w:val="204"/>
        </w:trPr>
        <w:tc>
          <w:tcPr>
            <w:tcW w:w="7440" w:type="dxa"/>
            <w:vAlign w:val="bottom"/>
          </w:tcPr>
          <w:p>
            <w:pPr>
              <w:ind w:left="200"/>
              <w:spacing w:after="0"/>
              <w:rPr>
                <w:sz w:val="20"/>
                <w:szCs w:val="20"/>
                <w:color w:val="auto"/>
              </w:rPr>
            </w:pPr>
            <w:r>
              <w:rPr>
                <w:rFonts w:ascii="Arial" w:cs="Arial" w:eastAsia="Arial" w:hAnsi="Arial"/>
                <w:sz w:val="14"/>
                <w:szCs w:val="14"/>
                <w:color w:val="auto"/>
              </w:rPr>
              <w:t>Noncontrolling interest</w:t>
            </w:r>
          </w:p>
        </w:tc>
        <w:tc>
          <w:tcPr>
            <w:tcW w:w="3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14,509</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14,376</w:t>
            </w:r>
          </w:p>
        </w:tc>
        <w:tc>
          <w:tcPr>
            <w:tcW w:w="0" w:type="dxa"/>
            <w:vAlign w:val="bottom"/>
          </w:tcPr>
          <w:p>
            <w:pPr>
              <w:spacing w:after="0"/>
              <w:rPr>
                <w:sz w:val="1"/>
                <w:szCs w:val="1"/>
                <w:color w:val="auto"/>
              </w:rPr>
            </w:pPr>
          </w:p>
        </w:tc>
      </w:tr>
      <w:tr>
        <w:trPr>
          <w:trHeight w:val="198"/>
        </w:trPr>
        <w:tc>
          <w:tcPr>
            <w:tcW w:w="7440" w:type="dxa"/>
            <w:vAlign w:val="bottom"/>
          </w:tcPr>
          <w:p>
            <w:pPr>
              <w:ind w:left="340"/>
              <w:spacing w:after="0"/>
              <w:rPr>
                <w:sz w:val="20"/>
                <w:szCs w:val="20"/>
                <w:color w:val="auto"/>
              </w:rPr>
            </w:pPr>
            <w:r>
              <w:rPr>
                <w:rFonts w:ascii="Arial" w:cs="Arial" w:eastAsia="Arial" w:hAnsi="Arial"/>
                <w:sz w:val="14"/>
                <w:szCs w:val="14"/>
                <w:color w:val="auto"/>
              </w:rPr>
              <w:t>Total stockholders’ deficit</w:t>
            </w:r>
          </w:p>
        </w:tc>
        <w:tc>
          <w:tcPr>
            <w:tcW w:w="3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(1,036,494)</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(1,604,699)</w:t>
            </w:r>
          </w:p>
        </w:tc>
        <w:tc>
          <w:tcPr>
            <w:tcW w:w="0" w:type="dxa"/>
            <w:vAlign w:val="bottom"/>
          </w:tcPr>
          <w:p>
            <w:pPr>
              <w:spacing w:after="0"/>
              <w:rPr>
                <w:sz w:val="1"/>
                <w:szCs w:val="1"/>
                <w:color w:val="auto"/>
              </w:rPr>
            </w:pPr>
          </w:p>
        </w:tc>
      </w:tr>
      <w:tr>
        <w:trPr>
          <w:trHeight w:val="200"/>
        </w:trPr>
        <w:tc>
          <w:tcPr>
            <w:tcW w:w="7440" w:type="dxa"/>
            <w:vAlign w:val="bottom"/>
          </w:tcPr>
          <w:p>
            <w:pPr>
              <w:ind w:left="340"/>
              <w:spacing w:after="0"/>
              <w:rPr>
                <w:sz w:val="20"/>
                <w:szCs w:val="20"/>
                <w:color w:val="auto"/>
              </w:rPr>
            </w:pPr>
            <w:r>
              <w:rPr>
                <w:rFonts w:ascii="Arial" w:cs="Arial" w:eastAsia="Arial" w:hAnsi="Arial"/>
                <w:sz w:val="14"/>
                <w:szCs w:val="14"/>
                <w:color w:val="auto"/>
              </w:rPr>
              <w:t>Total liabilities and stockholders’ deficit</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4,502,128</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4,634,929</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60"/>
          </w:cols>
          <w:pgMar w:left="400" w:top="364" w:right="339" w:bottom="1440" w:gutter="0" w:footer="0" w:header="0"/>
        </w:sectPr>
      </w:pPr>
    </w:p>
    <w:bookmarkStart w:id="17" w:name="page18"/>
    <w:bookmarkEnd w:id="17"/>
    <w:p>
      <w:pPr>
        <w:jc w:val="center"/>
        <w:ind w:right="80"/>
        <w:spacing w:after="0"/>
        <w:rPr>
          <w:sz w:val="20"/>
          <w:szCs w:val="20"/>
          <w:color w:val="auto"/>
        </w:rPr>
      </w:pPr>
      <w:r>
        <w:rPr>
          <w:rFonts w:ascii="Arial" w:cs="Arial" w:eastAsia="Arial" w:hAnsi="Arial"/>
          <w:sz w:val="18"/>
          <w:szCs w:val="18"/>
          <w:b w:val="1"/>
          <w:bCs w:val="1"/>
          <w:color w:val="auto"/>
        </w:rPr>
        <w:t>SABRE CORPORATION</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(Unaudited)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9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4"/>
          </w:tcPr>
          <w:p>
            <w:pPr>
              <w:jc w:val="right"/>
              <w:ind w:right="777"/>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169"/>
        </w:trPr>
        <w:tc>
          <w:tcPr>
            <w:tcW w:w="79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77"/>
              <w:spacing w:after="0"/>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77"/>
              <w:spacing w:after="0"/>
              <w:rPr>
                <w:sz w:val="20"/>
                <w:szCs w:val="20"/>
                <w:color w:val="auto"/>
              </w:rPr>
            </w:pPr>
            <w:r>
              <w:rPr>
                <w:rFonts w:ascii="Arial" w:cs="Arial" w:eastAsia="Arial" w:hAnsi="Arial"/>
                <w:sz w:val="13"/>
                <w:szCs w:val="13"/>
                <w:b w:val="1"/>
                <w:bCs w:val="1"/>
                <w:color w:val="auto"/>
              </w:rPr>
              <w:t>2024</w:t>
            </w:r>
          </w:p>
        </w:tc>
        <w:tc>
          <w:tcPr>
            <w:tcW w:w="0" w:type="dxa"/>
            <w:vAlign w:val="bottom"/>
          </w:tcPr>
          <w:p>
            <w:pPr>
              <w:spacing w:after="0"/>
              <w:rPr>
                <w:sz w:val="1"/>
                <w:szCs w:val="1"/>
                <w:color w:val="auto"/>
              </w:rPr>
            </w:pPr>
          </w:p>
        </w:tc>
      </w:tr>
      <w:tr>
        <w:trPr>
          <w:trHeight w:val="152"/>
        </w:trPr>
        <w:tc>
          <w:tcPr>
            <w:tcW w:w="7900" w:type="dxa"/>
            <w:vAlign w:val="bottom"/>
          </w:tcPr>
          <w:p>
            <w:pPr>
              <w:spacing w:after="0"/>
              <w:rPr>
                <w:sz w:val="20"/>
                <w:szCs w:val="20"/>
                <w:color w:val="auto"/>
              </w:rPr>
            </w:pPr>
            <w:r>
              <w:rPr>
                <w:rFonts w:ascii="Arial" w:cs="Arial" w:eastAsia="Arial" w:hAnsi="Arial"/>
                <w:sz w:val="13"/>
                <w:szCs w:val="13"/>
                <w:b w:val="1"/>
                <w:bCs w:val="1"/>
                <w:color w:val="auto"/>
              </w:rPr>
              <w:t>Operating Activities</w:t>
            </w: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900" w:type="dxa"/>
            <w:vAlign w:val="bottom"/>
          </w:tcPr>
          <w:p>
            <w:pPr>
              <w:ind w:left="120"/>
              <w:spacing w:after="0"/>
              <w:rPr>
                <w:sz w:val="20"/>
                <w:szCs w:val="20"/>
                <w:color w:val="auto"/>
              </w:rPr>
            </w:pPr>
            <w:r>
              <w:rPr>
                <w:rFonts w:ascii="Arial" w:cs="Arial" w:eastAsia="Arial" w:hAnsi="Arial"/>
                <w:sz w:val="13"/>
                <w:szCs w:val="13"/>
                <w:color w:val="auto"/>
              </w:rPr>
              <w:t>Net income (loss)</w:t>
            </w: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ind w:right="17"/>
              <w:spacing w:after="0"/>
              <w:rPr>
                <w:sz w:val="20"/>
                <w:szCs w:val="20"/>
                <w:color w:val="auto"/>
              </w:rPr>
            </w:pPr>
            <w:r>
              <w:rPr>
                <w:rFonts w:ascii="Arial" w:cs="Arial" w:eastAsia="Arial" w:hAnsi="Arial"/>
                <w:sz w:val="13"/>
                <w:szCs w:val="13"/>
                <w:color w:val="auto"/>
              </w:rPr>
              <w:t>523,962</w:t>
            </w:r>
          </w:p>
        </w:tc>
        <w:tc>
          <w:tcPr>
            <w:tcW w:w="100" w:type="dxa"/>
            <w:vAlign w:val="bottom"/>
          </w:tcPr>
          <w:p>
            <w:pPr>
              <w:spacing w:after="0"/>
              <w:rPr>
                <w:sz w:val="14"/>
                <w:szCs w:val="14"/>
                <w:color w:val="auto"/>
              </w:rPr>
            </w:pPr>
          </w:p>
        </w:tc>
        <w:tc>
          <w:tcPr>
            <w:tcW w:w="360" w:type="dxa"/>
            <w:vAlign w:val="bottom"/>
          </w:tcPr>
          <w:p>
            <w:pPr>
              <w:jc w:val="right"/>
              <w:ind w:right="217"/>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(278,683)</w:t>
            </w:r>
          </w:p>
        </w:tc>
        <w:tc>
          <w:tcPr>
            <w:tcW w:w="0" w:type="dxa"/>
            <w:vAlign w:val="bottom"/>
          </w:tcPr>
          <w:p>
            <w:pPr>
              <w:spacing w:after="0"/>
              <w:rPr>
                <w:sz w:val="1"/>
                <w:szCs w:val="1"/>
                <w:color w:val="auto"/>
              </w:rPr>
            </w:pPr>
          </w:p>
        </w:tc>
      </w:tr>
      <w:tr>
        <w:trPr>
          <w:trHeight w:val="176"/>
        </w:trPr>
        <w:tc>
          <w:tcPr>
            <w:tcW w:w="7900" w:type="dxa"/>
            <w:vAlign w:val="bottom"/>
          </w:tcPr>
          <w:p>
            <w:pPr>
              <w:ind w:left="200"/>
              <w:spacing w:after="0"/>
              <w:rPr>
                <w:sz w:val="20"/>
                <w:szCs w:val="20"/>
                <w:color w:val="auto"/>
              </w:rPr>
            </w:pPr>
            <w:r>
              <w:rPr>
                <w:rFonts w:ascii="Arial" w:cs="Arial" w:eastAsia="Arial" w:hAnsi="Arial"/>
                <w:sz w:val="13"/>
                <w:szCs w:val="13"/>
                <w:color w:val="auto"/>
              </w:rPr>
              <w:t>Adjustments to reconcile net (loss) income to cash provided by operating activities:</w:t>
            </w: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900" w:type="dxa"/>
            <w:vAlign w:val="bottom"/>
          </w:tcPr>
          <w:p>
            <w:pPr>
              <w:ind w:left="460"/>
              <w:spacing w:after="0"/>
              <w:rPr>
                <w:sz w:val="20"/>
                <w:szCs w:val="20"/>
                <w:color w:val="auto"/>
              </w:rPr>
            </w:pPr>
            <w:r>
              <w:rPr>
                <w:rFonts w:ascii="Arial" w:cs="Arial" w:eastAsia="Arial" w:hAnsi="Arial"/>
                <w:sz w:val="13"/>
                <w:szCs w:val="13"/>
                <w:color w:val="auto"/>
              </w:rPr>
              <w:t>Income (loss) from discontinued operations</w:t>
            </w: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(779,452)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7,135</w:t>
            </w:r>
          </w:p>
        </w:tc>
        <w:tc>
          <w:tcPr>
            <w:tcW w:w="0" w:type="dxa"/>
            <w:vAlign w:val="bottom"/>
          </w:tcPr>
          <w:p>
            <w:pPr>
              <w:spacing w:after="0"/>
              <w:rPr>
                <w:sz w:val="1"/>
                <w:szCs w:val="1"/>
                <w:color w:val="auto"/>
              </w:rPr>
            </w:pPr>
          </w:p>
        </w:tc>
      </w:tr>
      <w:tr>
        <w:trPr>
          <w:trHeight w:val="176"/>
        </w:trPr>
        <w:tc>
          <w:tcPr>
            <w:tcW w:w="7900" w:type="dxa"/>
            <w:vAlign w:val="bottom"/>
          </w:tcPr>
          <w:p>
            <w:pPr>
              <w:ind w:left="460"/>
              <w:spacing w:after="0"/>
              <w:rPr>
                <w:sz w:val="20"/>
                <w:szCs w:val="20"/>
                <w:color w:val="auto"/>
              </w:rPr>
            </w:pPr>
            <w:r>
              <w:rPr>
                <w:rFonts w:ascii="Arial" w:cs="Arial" w:eastAsia="Arial" w:hAnsi="Arial"/>
                <w:sz w:val="13"/>
                <w:szCs w:val="13"/>
                <w:color w:val="auto"/>
              </w:rPr>
              <w:t>Payment of previously paid-in-kind interest</w:t>
            </w: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(199,938)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7900" w:type="dxa"/>
            <w:vAlign w:val="bottom"/>
          </w:tcPr>
          <w:p>
            <w:pPr>
              <w:ind w:left="460"/>
              <w:spacing w:after="0"/>
              <w:rPr>
                <w:sz w:val="20"/>
                <w:szCs w:val="20"/>
                <w:color w:val="auto"/>
              </w:rPr>
            </w:pPr>
            <w:r>
              <w:rPr>
                <w:rFonts w:ascii="Arial" w:cs="Arial" w:eastAsia="Arial" w:hAnsi="Arial"/>
                <w:sz w:val="13"/>
                <w:szCs w:val="13"/>
                <w:color w:val="auto"/>
              </w:rPr>
              <w:t>Depreciation and amortization</w:t>
            </w:r>
          </w:p>
        </w:tc>
        <w:tc>
          <w:tcPr>
            <w:tcW w:w="340" w:type="dxa"/>
            <w:vAlign w:val="bottom"/>
          </w:tcPr>
          <w:p>
            <w:pPr>
              <w:spacing w:after="0"/>
              <w:rPr>
                <w:sz w:val="15"/>
                <w:szCs w:val="15"/>
                <w:color w:val="auto"/>
              </w:rPr>
            </w:pPr>
          </w:p>
        </w:tc>
        <w:tc>
          <w:tcPr>
            <w:tcW w:w="1200" w:type="dxa"/>
            <w:vAlign w:val="bottom"/>
          </w:tcPr>
          <w:p>
            <w:pPr>
              <w:jc w:val="right"/>
              <w:ind w:right="17"/>
              <w:spacing w:after="0"/>
              <w:rPr>
                <w:sz w:val="20"/>
                <w:szCs w:val="20"/>
                <w:color w:val="auto"/>
              </w:rPr>
            </w:pPr>
            <w:r>
              <w:rPr>
                <w:rFonts w:ascii="Arial" w:cs="Arial" w:eastAsia="Arial" w:hAnsi="Arial"/>
                <w:sz w:val="13"/>
                <w:szCs w:val="13"/>
                <w:color w:val="auto"/>
              </w:rPr>
              <w:t>105,920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109,521</w:t>
            </w:r>
          </w:p>
        </w:tc>
        <w:tc>
          <w:tcPr>
            <w:tcW w:w="0" w:type="dxa"/>
            <w:vAlign w:val="bottom"/>
          </w:tcPr>
          <w:p>
            <w:pPr>
              <w:spacing w:after="0"/>
              <w:rPr>
                <w:sz w:val="1"/>
                <w:szCs w:val="1"/>
                <w:color w:val="auto"/>
              </w:rPr>
            </w:pPr>
          </w:p>
        </w:tc>
      </w:tr>
      <w:tr>
        <w:trPr>
          <w:trHeight w:val="176"/>
        </w:trPr>
        <w:tc>
          <w:tcPr>
            <w:tcW w:w="7900" w:type="dxa"/>
            <w:vAlign w:val="bottom"/>
          </w:tcPr>
          <w:p>
            <w:pPr>
              <w:ind w:left="460"/>
              <w:spacing w:after="0"/>
              <w:rPr>
                <w:sz w:val="20"/>
                <w:szCs w:val="20"/>
                <w:color w:val="auto"/>
              </w:rPr>
            </w:pPr>
            <w:r>
              <w:rPr>
                <w:rFonts w:ascii="Arial" w:cs="Arial" w:eastAsia="Arial" w:hAnsi="Arial"/>
                <w:sz w:val="13"/>
                <w:szCs w:val="13"/>
                <w:color w:val="auto"/>
              </w:rPr>
              <w:t>Loss on extinguishment of debt, net</w:t>
            </w:r>
          </w:p>
        </w:tc>
        <w:tc>
          <w:tcPr>
            <w:tcW w:w="340" w:type="dxa"/>
            <w:vAlign w:val="bottom"/>
          </w:tcPr>
          <w:p>
            <w:pPr>
              <w:spacing w:after="0"/>
              <w:rPr>
                <w:sz w:val="15"/>
                <w:szCs w:val="15"/>
                <w:color w:val="auto"/>
              </w:rPr>
            </w:pPr>
          </w:p>
        </w:tc>
        <w:tc>
          <w:tcPr>
            <w:tcW w:w="1200" w:type="dxa"/>
            <w:vAlign w:val="bottom"/>
          </w:tcPr>
          <w:p>
            <w:pPr>
              <w:jc w:val="right"/>
              <w:ind w:right="17"/>
              <w:spacing w:after="0"/>
              <w:rPr>
                <w:sz w:val="20"/>
                <w:szCs w:val="20"/>
                <w:color w:val="auto"/>
              </w:rPr>
            </w:pPr>
            <w:r>
              <w:rPr>
                <w:rFonts w:ascii="Arial" w:cs="Arial" w:eastAsia="Arial" w:hAnsi="Arial"/>
                <w:sz w:val="13"/>
                <w:szCs w:val="13"/>
                <w:color w:val="auto"/>
              </w:rPr>
              <w:t>90,680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37,994</w:t>
            </w:r>
          </w:p>
        </w:tc>
        <w:tc>
          <w:tcPr>
            <w:tcW w:w="0" w:type="dxa"/>
            <w:vAlign w:val="bottom"/>
          </w:tcPr>
          <w:p>
            <w:pPr>
              <w:spacing w:after="0"/>
              <w:rPr>
                <w:sz w:val="1"/>
                <w:szCs w:val="1"/>
                <w:color w:val="auto"/>
              </w:rPr>
            </w:pPr>
          </w:p>
        </w:tc>
      </w:tr>
      <w:tr>
        <w:trPr>
          <w:trHeight w:val="176"/>
        </w:trPr>
        <w:tc>
          <w:tcPr>
            <w:tcW w:w="7900" w:type="dxa"/>
            <w:vAlign w:val="bottom"/>
          </w:tcPr>
          <w:p>
            <w:pPr>
              <w:ind w:left="460"/>
              <w:spacing w:after="0"/>
              <w:rPr>
                <w:sz w:val="20"/>
                <w:szCs w:val="20"/>
                <w:color w:val="auto"/>
              </w:rPr>
            </w:pPr>
            <w:r>
              <w:rPr>
                <w:rFonts w:ascii="Arial" w:cs="Arial" w:eastAsia="Arial" w:hAnsi="Arial"/>
                <w:sz w:val="13"/>
                <w:szCs w:val="13"/>
                <w:color w:val="auto"/>
              </w:rPr>
              <w:t>Stock-based compensation expense</w:t>
            </w:r>
          </w:p>
        </w:tc>
        <w:tc>
          <w:tcPr>
            <w:tcW w:w="340" w:type="dxa"/>
            <w:vAlign w:val="bottom"/>
          </w:tcPr>
          <w:p>
            <w:pPr>
              <w:spacing w:after="0"/>
              <w:rPr>
                <w:sz w:val="15"/>
                <w:szCs w:val="15"/>
                <w:color w:val="auto"/>
              </w:rPr>
            </w:pPr>
          </w:p>
        </w:tc>
        <w:tc>
          <w:tcPr>
            <w:tcW w:w="1200" w:type="dxa"/>
            <w:vAlign w:val="bottom"/>
          </w:tcPr>
          <w:p>
            <w:pPr>
              <w:jc w:val="right"/>
              <w:ind w:right="17"/>
              <w:spacing w:after="0"/>
              <w:rPr>
                <w:sz w:val="20"/>
                <w:szCs w:val="20"/>
                <w:color w:val="auto"/>
              </w:rPr>
            </w:pPr>
            <w:r>
              <w:rPr>
                <w:rFonts w:ascii="Arial" w:cs="Arial" w:eastAsia="Arial" w:hAnsi="Arial"/>
                <w:sz w:val="13"/>
                <w:szCs w:val="13"/>
                <w:color w:val="auto"/>
              </w:rPr>
              <w:t>45,661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49,027</w:t>
            </w:r>
          </w:p>
        </w:tc>
        <w:tc>
          <w:tcPr>
            <w:tcW w:w="0" w:type="dxa"/>
            <w:vAlign w:val="bottom"/>
          </w:tcPr>
          <w:p>
            <w:pPr>
              <w:spacing w:after="0"/>
              <w:rPr>
                <w:sz w:val="1"/>
                <w:szCs w:val="1"/>
                <w:color w:val="auto"/>
              </w:rPr>
            </w:pPr>
          </w:p>
        </w:tc>
      </w:tr>
      <w:tr>
        <w:trPr>
          <w:trHeight w:val="175"/>
        </w:trPr>
        <w:tc>
          <w:tcPr>
            <w:tcW w:w="7900" w:type="dxa"/>
            <w:vAlign w:val="bottom"/>
          </w:tcPr>
          <w:p>
            <w:pPr>
              <w:ind w:left="460"/>
              <w:spacing w:after="0"/>
              <w:rPr>
                <w:sz w:val="20"/>
                <w:szCs w:val="20"/>
                <w:color w:val="auto"/>
              </w:rPr>
            </w:pPr>
            <w:r>
              <w:rPr>
                <w:rFonts w:ascii="Arial" w:cs="Arial" w:eastAsia="Arial" w:hAnsi="Arial"/>
                <w:sz w:val="13"/>
                <w:szCs w:val="13"/>
                <w:color w:val="auto"/>
              </w:rPr>
              <w:t>Amortization of upfront incentive consideration</w:t>
            </w:r>
          </w:p>
        </w:tc>
        <w:tc>
          <w:tcPr>
            <w:tcW w:w="340" w:type="dxa"/>
            <w:vAlign w:val="bottom"/>
          </w:tcPr>
          <w:p>
            <w:pPr>
              <w:spacing w:after="0"/>
              <w:rPr>
                <w:sz w:val="15"/>
                <w:szCs w:val="15"/>
                <w:color w:val="auto"/>
              </w:rPr>
            </w:pPr>
          </w:p>
        </w:tc>
        <w:tc>
          <w:tcPr>
            <w:tcW w:w="1200" w:type="dxa"/>
            <w:vAlign w:val="bottom"/>
          </w:tcPr>
          <w:p>
            <w:pPr>
              <w:jc w:val="right"/>
              <w:ind w:right="17"/>
              <w:spacing w:after="0"/>
              <w:rPr>
                <w:sz w:val="20"/>
                <w:szCs w:val="20"/>
                <w:color w:val="auto"/>
              </w:rPr>
            </w:pPr>
            <w:r>
              <w:rPr>
                <w:rFonts w:ascii="Arial" w:cs="Arial" w:eastAsia="Arial" w:hAnsi="Arial"/>
                <w:sz w:val="13"/>
                <w:szCs w:val="13"/>
                <w:color w:val="auto"/>
              </w:rPr>
              <w:t>38,225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34,317</w:t>
            </w:r>
          </w:p>
        </w:tc>
        <w:tc>
          <w:tcPr>
            <w:tcW w:w="0" w:type="dxa"/>
            <w:vAlign w:val="bottom"/>
          </w:tcPr>
          <w:p>
            <w:pPr>
              <w:spacing w:after="0"/>
              <w:rPr>
                <w:sz w:val="1"/>
                <w:szCs w:val="1"/>
                <w:color w:val="auto"/>
              </w:rPr>
            </w:pPr>
          </w:p>
        </w:tc>
      </w:tr>
      <w:tr>
        <w:trPr>
          <w:trHeight w:val="176"/>
        </w:trPr>
        <w:tc>
          <w:tcPr>
            <w:tcW w:w="7900" w:type="dxa"/>
            <w:vAlign w:val="bottom"/>
          </w:tcPr>
          <w:p>
            <w:pPr>
              <w:ind w:left="460"/>
              <w:spacing w:after="0"/>
              <w:rPr>
                <w:sz w:val="20"/>
                <w:szCs w:val="20"/>
                <w:color w:val="auto"/>
              </w:rPr>
            </w:pPr>
            <w:r>
              <w:rPr>
                <w:rFonts w:ascii="Arial" w:cs="Arial" w:eastAsia="Arial" w:hAnsi="Arial"/>
                <w:sz w:val="13"/>
                <w:szCs w:val="13"/>
                <w:color w:val="auto"/>
              </w:rPr>
              <w:t>Amortization of debt discount and debt issuance costs</w:t>
            </w:r>
          </w:p>
        </w:tc>
        <w:tc>
          <w:tcPr>
            <w:tcW w:w="340" w:type="dxa"/>
            <w:vAlign w:val="bottom"/>
          </w:tcPr>
          <w:p>
            <w:pPr>
              <w:spacing w:after="0"/>
              <w:rPr>
                <w:sz w:val="15"/>
                <w:szCs w:val="15"/>
                <w:color w:val="auto"/>
              </w:rPr>
            </w:pPr>
          </w:p>
        </w:tc>
        <w:tc>
          <w:tcPr>
            <w:tcW w:w="1200" w:type="dxa"/>
            <w:vAlign w:val="bottom"/>
          </w:tcPr>
          <w:p>
            <w:pPr>
              <w:jc w:val="right"/>
              <w:ind w:right="17"/>
              <w:spacing w:after="0"/>
              <w:rPr>
                <w:sz w:val="20"/>
                <w:szCs w:val="20"/>
                <w:color w:val="auto"/>
              </w:rPr>
            </w:pPr>
            <w:r>
              <w:rPr>
                <w:rFonts w:ascii="Arial" w:cs="Arial" w:eastAsia="Arial" w:hAnsi="Arial"/>
                <w:sz w:val="13"/>
                <w:szCs w:val="13"/>
                <w:color w:val="auto"/>
              </w:rPr>
              <w:t>28,611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26,634</w:t>
            </w:r>
          </w:p>
        </w:tc>
        <w:tc>
          <w:tcPr>
            <w:tcW w:w="0" w:type="dxa"/>
            <w:vAlign w:val="bottom"/>
          </w:tcPr>
          <w:p>
            <w:pPr>
              <w:spacing w:after="0"/>
              <w:rPr>
                <w:sz w:val="1"/>
                <w:szCs w:val="1"/>
                <w:color w:val="auto"/>
              </w:rPr>
            </w:pPr>
          </w:p>
        </w:tc>
      </w:tr>
      <w:tr>
        <w:trPr>
          <w:trHeight w:val="175"/>
        </w:trPr>
        <w:tc>
          <w:tcPr>
            <w:tcW w:w="7900" w:type="dxa"/>
            <w:vAlign w:val="bottom"/>
          </w:tcPr>
          <w:p>
            <w:pPr>
              <w:ind w:left="460"/>
              <w:spacing w:after="0"/>
              <w:rPr>
                <w:sz w:val="20"/>
                <w:szCs w:val="20"/>
                <w:color w:val="auto"/>
              </w:rPr>
            </w:pPr>
            <w:r>
              <w:rPr>
                <w:rFonts w:ascii="Arial" w:cs="Arial" w:eastAsia="Arial" w:hAnsi="Arial"/>
                <w:sz w:val="13"/>
                <w:szCs w:val="13"/>
                <w:color w:val="auto"/>
              </w:rPr>
              <w:t>Paid-in-kind interest</w:t>
            </w:r>
          </w:p>
        </w:tc>
        <w:tc>
          <w:tcPr>
            <w:tcW w:w="340" w:type="dxa"/>
            <w:vAlign w:val="bottom"/>
          </w:tcPr>
          <w:p>
            <w:pPr>
              <w:spacing w:after="0"/>
              <w:rPr>
                <w:sz w:val="15"/>
                <w:szCs w:val="15"/>
                <w:color w:val="auto"/>
              </w:rPr>
            </w:pPr>
          </w:p>
        </w:tc>
        <w:tc>
          <w:tcPr>
            <w:tcW w:w="1200" w:type="dxa"/>
            <w:vAlign w:val="bottom"/>
          </w:tcPr>
          <w:p>
            <w:pPr>
              <w:jc w:val="right"/>
              <w:ind w:right="17"/>
              <w:spacing w:after="0"/>
              <w:rPr>
                <w:sz w:val="20"/>
                <w:szCs w:val="20"/>
                <w:color w:val="auto"/>
              </w:rPr>
            </w:pPr>
            <w:r>
              <w:rPr>
                <w:rFonts w:ascii="Arial" w:cs="Arial" w:eastAsia="Arial" w:hAnsi="Arial"/>
                <w:sz w:val="13"/>
                <w:szCs w:val="13"/>
                <w:color w:val="auto"/>
              </w:rPr>
              <w:t>28,327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117,752</w:t>
            </w:r>
          </w:p>
        </w:tc>
        <w:tc>
          <w:tcPr>
            <w:tcW w:w="0" w:type="dxa"/>
            <w:vAlign w:val="bottom"/>
          </w:tcPr>
          <w:p>
            <w:pPr>
              <w:spacing w:after="0"/>
              <w:rPr>
                <w:sz w:val="1"/>
                <w:szCs w:val="1"/>
                <w:color w:val="auto"/>
              </w:rPr>
            </w:pPr>
          </w:p>
        </w:tc>
      </w:tr>
      <w:tr>
        <w:trPr>
          <w:trHeight w:val="176"/>
        </w:trPr>
        <w:tc>
          <w:tcPr>
            <w:tcW w:w="7900" w:type="dxa"/>
            <w:vAlign w:val="bottom"/>
          </w:tcPr>
          <w:p>
            <w:pPr>
              <w:ind w:left="460"/>
              <w:spacing w:after="0"/>
              <w:rPr>
                <w:sz w:val="20"/>
                <w:szCs w:val="20"/>
                <w:color w:val="auto"/>
              </w:rPr>
            </w:pPr>
            <w:r>
              <w:rPr>
                <w:rFonts w:ascii="Arial" w:cs="Arial" w:eastAsia="Arial" w:hAnsi="Arial"/>
                <w:sz w:val="13"/>
                <w:szCs w:val="13"/>
                <w:color w:val="auto"/>
              </w:rPr>
              <w:t>Other</w:t>
            </w: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(6,264)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6,988</w:t>
            </w:r>
          </w:p>
        </w:tc>
        <w:tc>
          <w:tcPr>
            <w:tcW w:w="0" w:type="dxa"/>
            <w:vAlign w:val="bottom"/>
          </w:tcPr>
          <w:p>
            <w:pPr>
              <w:spacing w:after="0"/>
              <w:rPr>
                <w:sz w:val="1"/>
                <w:szCs w:val="1"/>
                <w:color w:val="auto"/>
              </w:rPr>
            </w:pPr>
          </w:p>
        </w:tc>
      </w:tr>
      <w:tr>
        <w:trPr>
          <w:trHeight w:val="175"/>
        </w:trPr>
        <w:tc>
          <w:tcPr>
            <w:tcW w:w="7900" w:type="dxa"/>
            <w:vAlign w:val="bottom"/>
          </w:tcPr>
          <w:p>
            <w:pPr>
              <w:ind w:left="460"/>
              <w:spacing w:after="0"/>
              <w:rPr>
                <w:sz w:val="20"/>
                <w:szCs w:val="20"/>
                <w:color w:val="auto"/>
              </w:rPr>
            </w:pPr>
            <w:r>
              <w:rPr>
                <w:rFonts w:ascii="Arial" w:cs="Arial" w:eastAsia="Arial" w:hAnsi="Arial"/>
                <w:sz w:val="13"/>
                <w:szCs w:val="13"/>
                <w:color w:val="auto"/>
              </w:rPr>
              <w:t>(Gain) on sale of assets</w:t>
            </w: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(5,191)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7900" w:type="dxa"/>
            <w:vAlign w:val="bottom"/>
          </w:tcPr>
          <w:p>
            <w:pPr>
              <w:ind w:left="460"/>
              <w:spacing w:after="0"/>
              <w:rPr>
                <w:sz w:val="20"/>
                <w:szCs w:val="20"/>
                <w:color w:val="auto"/>
              </w:rPr>
            </w:pPr>
            <w:r>
              <w:rPr>
                <w:rFonts w:ascii="Arial" w:cs="Arial" w:eastAsia="Arial" w:hAnsi="Arial"/>
                <w:sz w:val="13"/>
                <w:szCs w:val="13"/>
                <w:color w:val="auto"/>
              </w:rPr>
              <w:t>Deferred income taxes</w:t>
            </w:r>
          </w:p>
        </w:tc>
        <w:tc>
          <w:tcPr>
            <w:tcW w:w="340" w:type="dxa"/>
            <w:vAlign w:val="bottom"/>
          </w:tcPr>
          <w:p>
            <w:pPr>
              <w:spacing w:after="0"/>
              <w:rPr>
                <w:sz w:val="15"/>
                <w:szCs w:val="15"/>
                <w:color w:val="auto"/>
              </w:rPr>
            </w:pPr>
          </w:p>
        </w:tc>
        <w:tc>
          <w:tcPr>
            <w:tcW w:w="1200" w:type="dxa"/>
            <w:vAlign w:val="bottom"/>
          </w:tcPr>
          <w:p>
            <w:pPr>
              <w:jc w:val="right"/>
              <w:ind w:right="17"/>
              <w:spacing w:after="0"/>
              <w:rPr>
                <w:sz w:val="20"/>
                <w:szCs w:val="20"/>
                <w:color w:val="auto"/>
              </w:rPr>
            </w:pPr>
            <w:r>
              <w:rPr>
                <w:rFonts w:ascii="Arial" w:cs="Arial" w:eastAsia="Arial" w:hAnsi="Arial"/>
                <w:sz w:val="13"/>
                <w:szCs w:val="13"/>
                <w:color w:val="auto"/>
              </w:rPr>
              <w:t>5,134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(1,802)</w:t>
            </w:r>
          </w:p>
        </w:tc>
        <w:tc>
          <w:tcPr>
            <w:tcW w:w="0" w:type="dxa"/>
            <w:vAlign w:val="bottom"/>
          </w:tcPr>
          <w:p>
            <w:pPr>
              <w:spacing w:after="0"/>
              <w:rPr>
                <w:sz w:val="1"/>
                <w:szCs w:val="1"/>
                <w:color w:val="auto"/>
              </w:rPr>
            </w:pPr>
          </w:p>
        </w:tc>
      </w:tr>
      <w:tr>
        <w:trPr>
          <w:trHeight w:val="176"/>
        </w:trPr>
        <w:tc>
          <w:tcPr>
            <w:tcW w:w="7900" w:type="dxa"/>
            <w:vAlign w:val="bottom"/>
          </w:tcPr>
          <w:p>
            <w:pPr>
              <w:ind w:left="460"/>
              <w:spacing w:after="0"/>
              <w:rPr>
                <w:sz w:val="20"/>
                <w:szCs w:val="20"/>
                <w:color w:val="auto"/>
              </w:rPr>
            </w:pPr>
            <w:r>
              <w:rPr>
                <w:rFonts w:ascii="Arial" w:cs="Arial" w:eastAsia="Arial" w:hAnsi="Arial"/>
                <w:sz w:val="13"/>
                <w:szCs w:val="13"/>
                <w:color w:val="auto"/>
              </w:rPr>
              <w:t>Provision for expected credit losses</w:t>
            </w:r>
          </w:p>
        </w:tc>
        <w:tc>
          <w:tcPr>
            <w:tcW w:w="340" w:type="dxa"/>
            <w:vAlign w:val="bottom"/>
          </w:tcPr>
          <w:p>
            <w:pPr>
              <w:spacing w:after="0"/>
              <w:rPr>
                <w:sz w:val="15"/>
                <w:szCs w:val="15"/>
                <w:color w:val="auto"/>
              </w:rPr>
            </w:pPr>
          </w:p>
        </w:tc>
        <w:tc>
          <w:tcPr>
            <w:tcW w:w="1200" w:type="dxa"/>
            <w:vAlign w:val="bottom"/>
          </w:tcPr>
          <w:p>
            <w:pPr>
              <w:jc w:val="right"/>
              <w:ind w:right="17"/>
              <w:spacing w:after="0"/>
              <w:rPr>
                <w:sz w:val="20"/>
                <w:szCs w:val="20"/>
                <w:color w:val="auto"/>
              </w:rPr>
            </w:pPr>
            <w:r>
              <w:rPr>
                <w:rFonts w:ascii="Arial" w:cs="Arial" w:eastAsia="Arial" w:hAnsi="Arial"/>
                <w:sz w:val="13"/>
                <w:szCs w:val="13"/>
                <w:color w:val="auto"/>
              </w:rPr>
              <w:t>1,869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2,194</w:t>
            </w:r>
          </w:p>
        </w:tc>
        <w:tc>
          <w:tcPr>
            <w:tcW w:w="0" w:type="dxa"/>
            <w:vAlign w:val="bottom"/>
          </w:tcPr>
          <w:p>
            <w:pPr>
              <w:spacing w:after="0"/>
              <w:rPr>
                <w:sz w:val="1"/>
                <w:szCs w:val="1"/>
                <w:color w:val="auto"/>
              </w:rPr>
            </w:pPr>
          </w:p>
        </w:tc>
      </w:tr>
      <w:tr>
        <w:trPr>
          <w:trHeight w:val="175"/>
        </w:trPr>
        <w:tc>
          <w:tcPr>
            <w:tcW w:w="7900" w:type="dxa"/>
            <w:vAlign w:val="bottom"/>
          </w:tcPr>
          <w:p>
            <w:pPr>
              <w:ind w:left="460"/>
              <w:spacing w:after="0"/>
              <w:rPr>
                <w:sz w:val="20"/>
                <w:szCs w:val="20"/>
                <w:color w:val="auto"/>
              </w:rPr>
            </w:pPr>
            <w:r>
              <w:rPr>
                <w:rFonts w:ascii="Arial" w:cs="Arial" w:eastAsia="Arial" w:hAnsi="Arial"/>
                <w:sz w:val="13"/>
                <w:szCs w:val="13"/>
                <w:color w:val="auto"/>
              </w:rPr>
              <w:t>(Gain) loss on investment fair value adjustment</w:t>
            </w:r>
          </w:p>
        </w:tc>
        <w:tc>
          <w:tcPr>
            <w:tcW w:w="340" w:type="dxa"/>
            <w:vAlign w:val="bottom"/>
          </w:tcPr>
          <w:p>
            <w:pPr>
              <w:spacing w:after="0"/>
              <w:rPr>
                <w:sz w:val="15"/>
                <w:szCs w:val="15"/>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(3,234)</w:t>
            </w:r>
          </w:p>
        </w:tc>
        <w:tc>
          <w:tcPr>
            <w:tcW w:w="0" w:type="dxa"/>
            <w:vAlign w:val="bottom"/>
          </w:tcPr>
          <w:p>
            <w:pPr>
              <w:spacing w:after="0"/>
              <w:rPr>
                <w:sz w:val="1"/>
                <w:szCs w:val="1"/>
                <w:color w:val="auto"/>
              </w:rPr>
            </w:pPr>
          </w:p>
        </w:tc>
      </w:tr>
      <w:tr>
        <w:trPr>
          <w:trHeight w:val="176"/>
        </w:trPr>
        <w:tc>
          <w:tcPr>
            <w:tcW w:w="7900" w:type="dxa"/>
            <w:vAlign w:val="bottom"/>
          </w:tcPr>
          <w:p>
            <w:pPr>
              <w:ind w:left="200"/>
              <w:spacing w:after="0"/>
              <w:rPr>
                <w:sz w:val="20"/>
                <w:szCs w:val="20"/>
                <w:color w:val="auto"/>
              </w:rPr>
            </w:pPr>
            <w:r>
              <w:rPr>
                <w:rFonts w:ascii="Arial" w:cs="Arial" w:eastAsia="Arial" w:hAnsi="Arial"/>
                <w:sz w:val="13"/>
                <w:szCs w:val="13"/>
                <w:color w:val="auto"/>
              </w:rPr>
              <w:t>Changes in operating assets and liabilities:</w:t>
            </w: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900" w:type="dxa"/>
            <w:vAlign w:val="bottom"/>
          </w:tcPr>
          <w:p>
            <w:pPr>
              <w:ind w:left="460"/>
              <w:spacing w:after="0"/>
              <w:rPr>
                <w:sz w:val="20"/>
                <w:szCs w:val="20"/>
                <w:color w:val="auto"/>
              </w:rPr>
            </w:pPr>
            <w:r>
              <w:rPr>
                <w:rFonts w:ascii="Arial" w:cs="Arial" w:eastAsia="Arial" w:hAnsi="Arial"/>
                <w:sz w:val="13"/>
                <w:szCs w:val="13"/>
                <w:color w:val="auto"/>
              </w:rPr>
              <w:t>Accounts and other receivables</w:t>
            </w: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(65,288)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18,029</w:t>
            </w:r>
          </w:p>
        </w:tc>
        <w:tc>
          <w:tcPr>
            <w:tcW w:w="0" w:type="dxa"/>
            <w:vAlign w:val="bottom"/>
          </w:tcPr>
          <w:p>
            <w:pPr>
              <w:spacing w:after="0"/>
              <w:rPr>
                <w:sz w:val="1"/>
                <w:szCs w:val="1"/>
                <w:color w:val="auto"/>
              </w:rPr>
            </w:pPr>
          </w:p>
        </w:tc>
      </w:tr>
      <w:tr>
        <w:trPr>
          <w:trHeight w:val="176"/>
        </w:trPr>
        <w:tc>
          <w:tcPr>
            <w:tcW w:w="7900" w:type="dxa"/>
            <w:vAlign w:val="bottom"/>
          </w:tcPr>
          <w:p>
            <w:pPr>
              <w:ind w:left="460"/>
              <w:spacing w:after="0"/>
              <w:rPr>
                <w:sz w:val="20"/>
                <w:szCs w:val="20"/>
                <w:color w:val="auto"/>
              </w:rPr>
            </w:pPr>
            <w:r>
              <w:rPr>
                <w:rFonts w:ascii="Arial" w:cs="Arial" w:eastAsia="Arial" w:hAnsi="Arial"/>
                <w:sz w:val="13"/>
                <w:szCs w:val="13"/>
                <w:color w:val="auto"/>
              </w:rPr>
              <w:t>Prepaid expenses and other current assets</w:t>
            </w:r>
          </w:p>
        </w:tc>
        <w:tc>
          <w:tcPr>
            <w:tcW w:w="340" w:type="dxa"/>
            <w:vAlign w:val="bottom"/>
          </w:tcPr>
          <w:p>
            <w:pPr>
              <w:spacing w:after="0"/>
              <w:rPr>
                <w:sz w:val="15"/>
                <w:szCs w:val="15"/>
                <w:color w:val="auto"/>
              </w:rPr>
            </w:pPr>
          </w:p>
        </w:tc>
        <w:tc>
          <w:tcPr>
            <w:tcW w:w="1200" w:type="dxa"/>
            <w:vAlign w:val="bottom"/>
          </w:tcPr>
          <w:p>
            <w:pPr>
              <w:jc w:val="right"/>
              <w:ind w:right="17"/>
              <w:spacing w:after="0"/>
              <w:rPr>
                <w:sz w:val="20"/>
                <w:szCs w:val="20"/>
                <w:color w:val="auto"/>
              </w:rPr>
            </w:pPr>
            <w:r>
              <w:rPr>
                <w:rFonts w:ascii="Arial" w:cs="Arial" w:eastAsia="Arial" w:hAnsi="Arial"/>
                <w:sz w:val="13"/>
                <w:szCs w:val="13"/>
                <w:color w:val="auto"/>
              </w:rPr>
              <w:t>37,794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4,280</w:t>
            </w:r>
          </w:p>
        </w:tc>
        <w:tc>
          <w:tcPr>
            <w:tcW w:w="0" w:type="dxa"/>
            <w:vAlign w:val="bottom"/>
          </w:tcPr>
          <w:p>
            <w:pPr>
              <w:spacing w:after="0"/>
              <w:rPr>
                <w:sz w:val="1"/>
                <w:szCs w:val="1"/>
                <w:color w:val="auto"/>
              </w:rPr>
            </w:pPr>
          </w:p>
        </w:tc>
      </w:tr>
      <w:tr>
        <w:trPr>
          <w:trHeight w:val="176"/>
        </w:trPr>
        <w:tc>
          <w:tcPr>
            <w:tcW w:w="7900" w:type="dxa"/>
            <w:vAlign w:val="bottom"/>
          </w:tcPr>
          <w:p>
            <w:pPr>
              <w:ind w:left="460"/>
              <w:spacing w:after="0"/>
              <w:rPr>
                <w:sz w:val="20"/>
                <w:szCs w:val="20"/>
                <w:color w:val="auto"/>
              </w:rPr>
            </w:pPr>
            <w:r>
              <w:rPr>
                <w:rFonts w:ascii="Arial" w:cs="Arial" w:eastAsia="Arial" w:hAnsi="Arial"/>
                <w:sz w:val="13"/>
                <w:szCs w:val="13"/>
                <w:color w:val="auto"/>
              </w:rPr>
              <w:t>Capitalized implementation costs</w:t>
            </w: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(8,563)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(13,085)</w:t>
            </w:r>
          </w:p>
        </w:tc>
        <w:tc>
          <w:tcPr>
            <w:tcW w:w="0" w:type="dxa"/>
            <w:vAlign w:val="bottom"/>
          </w:tcPr>
          <w:p>
            <w:pPr>
              <w:spacing w:after="0"/>
              <w:rPr>
                <w:sz w:val="1"/>
                <w:szCs w:val="1"/>
                <w:color w:val="auto"/>
              </w:rPr>
            </w:pPr>
          </w:p>
        </w:tc>
      </w:tr>
      <w:tr>
        <w:trPr>
          <w:trHeight w:val="175"/>
        </w:trPr>
        <w:tc>
          <w:tcPr>
            <w:tcW w:w="7900" w:type="dxa"/>
            <w:vAlign w:val="bottom"/>
          </w:tcPr>
          <w:p>
            <w:pPr>
              <w:ind w:left="460"/>
              <w:spacing w:after="0"/>
              <w:rPr>
                <w:sz w:val="20"/>
                <w:szCs w:val="20"/>
                <w:color w:val="auto"/>
              </w:rPr>
            </w:pPr>
            <w:r>
              <w:rPr>
                <w:rFonts w:ascii="Arial" w:cs="Arial" w:eastAsia="Arial" w:hAnsi="Arial"/>
                <w:sz w:val="13"/>
                <w:szCs w:val="13"/>
                <w:color w:val="auto"/>
              </w:rPr>
              <w:t>Upfront incentive consideration</w:t>
            </w: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(23,712)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(9,432)</w:t>
            </w:r>
          </w:p>
        </w:tc>
        <w:tc>
          <w:tcPr>
            <w:tcW w:w="0" w:type="dxa"/>
            <w:vAlign w:val="bottom"/>
          </w:tcPr>
          <w:p>
            <w:pPr>
              <w:spacing w:after="0"/>
              <w:rPr>
                <w:sz w:val="1"/>
                <w:szCs w:val="1"/>
                <w:color w:val="auto"/>
              </w:rPr>
            </w:pPr>
          </w:p>
        </w:tc>
      </w:tr>
      <w:tr>
        <w:trPr>
          <w:trHeight w:val="176"/>
        </w:trPr>
        <w:tc>
          <w:tcPr>
            <w:tcW w:w="7900" w:type="dxa"/>
            <w:vAlign w:val="bottom"/>
          </w:tcPr>
          <w:p>
            <w:pPr>
              <w:ind w:left="460"/>
              <w:spacing w:after="0"/>
              <w:rPr>
                <w:sz w:val="20"/>
                <w:szCs w:val="20"/>
                <w:color w:val="auto"/>
              </w:rPr>
            </w:pPr>
            <w:r>
              <w:rPr>
                <w:rFonts w:ascii="Arial" w:cs="Arial" w:eastAsia="Arial" w:hAnsi="Arial"/>
                <w:sz w:val="13"/>
                <w:szCs w:val="13"/>
                <w:color w:val="auto"/>
              </w:rPr>
              <w:t>Other assets</w:t>
            </w: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(13,892)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(4,391)</w:t>
            </w:r>
          </w:p>
        </w:tc>
        <w:tc>
          <w:tcPr>
            <w:tcW w:w="0" w:type="dxa"/>
            <w:vAlign w:val="bottom"/>
          </w:tcPr>
          <w:p>
            <w:pPr>
              <w:spacing w:after="0"/>
              <w:rPr>
                <w:sz w:val="1"/>
                <w:szCs w:val="1"/>
                <w:color w:val="auto"/>
              </w:rPr>
            </w:pPr>
          </w:p>
        </w:tc>
      </w:tr>
      <w:tr>
        <w:trPr>
          <w:trHeight w:val="175"/>
        </w:trPr>
        <w:tc>
          <w:tcPr>
            <w:tcW w:w="7900" w:type="dxa"/>
            <w:vAlign w:val="bottom"/>
          </w:tcPr>
          <w:p>
            <w:pPr>
              <w:ind w:left="460"/>
              <w:spacing w:after="0"/>
              <w:rPr>
                <w:sz w:val="20"/>
                <w:szCs w:val="20"/>
                <w:color w:val="auto"/>
              </w:rPr>
            </w:pPr>
            <w:r>
              <w:rPr>
                <w:rFonts w:ascii="Arial" w:cs="Arial" w:eastAsia="Arial" w:hAnsi="Arial"/>
                <w:sz w:val="13"/>
                <w:szCs w:val="13"/>
                <w:color w:val="auto"/>
              </w:rPr>
              <w:t>Accrued compensation and related benefits</w:t>
            </w: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(18,921)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(31,246)</w:t>
            </w:r>
          </w:p>
        </w:tc>
        <w:tc>
          <w:tcPr>
            <w:tcW w:w="0" w:type="dxa"/>
            <w:vAlign w:val="bottom"/>
          </w:tcPr>
          <w:p>
            <w:pPr>
              <w:spacing w:after="0"/>
              <w:rPr>
                <w:sz w:val="1"/>
                <w:szCs w:val="1"/>
                <w:color w:val="auto"/>
              </w:rPr>
            </w:pPr>
          </w:p>
        </w:tc>
      </w:tr>
      <w:tr>
        <w:trPr>
          <w:trHeight w:val="176"/>
        </w:trPr>
        <w:tc>
          <w:tcPr>
            <w:tcW w:w="7900" w:type="dxa"/>
            <w:vAlign w:val="bottom"/>
          </w:tcPr>
          <w:p>
            <w:pPr>
              <w:ind w:left="460"/>
              <w:spacing w:after="0"/>
              <w:rPr>
                <w:sz w:val="20"/>
                <w:szCs w:val="20"/>
                <w:color w:val="auto"/>
              </w:rPr>
            </w:pPr>
            <w:r>
              <w:rPr>
                <w:rFonts w:ascii="Arial" w:cs="Arial" w:eastAsia="Arial" w:hAnsi="Arial"/>
                <w:sz w:val="13"/>
                <w:szCs w:val="13"/>
                <w:color w:val="auto"/>
              </w:rPr>
              <w:t>Accounts payable and other accrued liabilities</w:t>
            </w:r>
          </w:p>
        </w:tc>
        <w:tc>
          <w:tcPr>
            <w:tcW w:w="340" w:type="dxa"/>
            <w:vAlign w:val="bottom"/>
          </w:tcPr>
          <w:p>
            <w:pPr>
              <w:spacing w:after="0"/>
              <w:rPr>
                <w:sz w:val="15"/>
                <w:szCs w:val="15"/>
                <w:color w:val="auto"/>
              </w:rPr>
            </w:pPr>
          </w:p>
        </w:tc>
        <w:tc>
          <w:tcPr>
            <w:tcW w:w="1200" w:type="dxa"/>
            <w:vAlign w:val="bottom"/>
          </w:tcPr>
          <w:p>
            <w:pPr>
              <w:jc w:val="right"/>
              <w:ind w:right="17"/>
              <w:spacing w:after="0"/>
              <w:rPr>
                <w:sz w:val="20"/>
                <w:szCs w:val="20"/>
                <w:color w:val="auto"/>
              </w:rPr>
            </w:pPr>
            <w:r>
              <w:rPr>
                <w:rFonts w:ascii="Arial" w:cs="Arial" w:eastAsia="Arial" w:hAnsi="Arial"/>
                <w:sz w:val="13"/>
                <w:szCs w:val="13"/>
                <w:color w:val="auto"/>
              </w:rPr>
              <w:t>126,177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36,971</w:t>
            </w:r>
          </w:p>
        </w:tc>
        <w:tc>
          <w:tcPr>
            <w:tcW w:w="0" w:type="dxa"/>
            <w:vAlign w:val="bottom"/>
          </w:tcPr>
          <w:p>
            <w:pPr>
              <w:spacing w:after="0"/>
              <w:rPr>
                <w:sz w:val="1"/>
                <w:szCs w:val="1"/>
                <w:color w:val="auto"/>
              </w:rPr>
            </w:pPr>
          </w:p>
        </w:tc>
      </w:tr>
      <w:tr>
        <w:trPr>
          <w:trHeight w:val="183"/>
        </w:trPr>
        <w:tc>
          <w:tcPr>
            <w:tcW w:w="7900" w:type="dxa"/>
            <w:vAlign w:val="bottom"/>
          </w:tcPr>
          <w:p>
            <w:pPr>
              <w:ind w:left="460"/>
              <w:spacing w:after="0"/>
              <w:rPr>
                <w:sz w:val="20"/>
                <w:szCs w:val="20"/>
                <w:color w:val="auto"/>
              </w:rPr>
            </w:pPr>
            <w:r>
              <w:rPr>
                <w:rFonts w:ascii="Arial" w:cs="Arial" w:eastAsia="Arial" w:hAnsi="Arial"/>
                <w:sz w:val="13"/>
                <w:szCs w:val="13"/>
                <w:color w:val="auto"/>
              </w:rPr>
              <w:t>Deferred revenue including upfront solution fees</w:t>
            </w: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(20,003)</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(38,720)</w:t>
            </w:r>
          </w:p>
        </w:tc>
        <w:tc>
          <w:tcPr>
            <w:tcW w:w="0" w:type="dxa"/>
            <w:vAlign w:val="bottom"/>
          </w:tcPr>
          <w:p>
            <w:pPr>
              <w:spacing w:after="0"/>
              <w:rPr>
                <w:sz w:val="1"/>
                <w:szCs w:val="1"/>
                <w:color w:val="auto"/>
              </w:rPr>
            </w:pPr>
          </w:p>
        </w:tc>
      </w:tr>
      <w:tr>
        <w:trPr>
          <w:trHeight w:val="166"/>
        </w:trPr>
        <w:tc>
          <w:tcPr>
            <w:tcW w:w="7900" w:type="dxa"/>
            <w:vAlign w:val="bottom"/>
          </w:tcPr>
          <w:p>
            <w:pPr>
              <w:ind w:left="660"/>
              <w:spacing w:after="0" w:line="148" w:lineRule="exact"/>
              <w:rPr>
                <w:sz w:val="20"/>
                <w:szCs w:val="20"/>
                <w:color w:val="auto"/>
              </w:rPr>
            </w:pPr>
            <w:r>
              <w:rPr>
                <w:rFonts w:ascii="Arial" w:cs="Arial" w:eastAsia="Arial" w:hAnsi="Arial"/>
                <w:sz w:val="13"/>
                <w:szCs w:val="13"/>
                <w:color w:val="auto"/>
              </w:rPr>
              <w:t>Cash (used in) provided by operating activities</w:t>
            </w: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(108,864)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70,249</w:t>
            </w:r>
          </w:p>
        </w:tc>
        <w:tc>
          <w:tcPr>
            <w:tcW w:w="0" w:type="dxa"/>
            <w:vAlign w:val="bottom"/>
          </w:tcPr>
          <w:p>
            <w:pPr>
              <w:spacing w:after="0"/>
              <w:rPr>
                <w:sz w:val="1"/>
                <w:szCs w:val="1"/>
                <w:color w:val="auto"/>
              </w:rPr>
            </w:pPr>
          </w:p>
        </w:tc>
      </w:tr>
      <w:tr>
        <w:trPr>
          <w:trHeight w:val="177"/>
        </w:trPr>
        <w:tc>
          <w:tcPr>
            <w:tcW w:w="7900" w:type="dxa"/>
            <w:vAlign w:val="bottom"/>
          </w:tcPr>
          <w:p>
            <w:pPr>
              <w:spacing w:after="0"/>
              <w:rPr>
                <w:sz w:val="20"/>
                <w:szCs w:val="20"/>
                <w:color w:val="auto"/>
              </w:rPr>
            </w:pPr>
            <w:r>
              <w:rPr>
                <w:rFonts w:ascii="Arial" w:cs="Arial" w:eastAsia="Arial" w:hAnsi="Arial"/>
                <w:sz w:val="13"/>
                <w:szCs w:val="13"/>
                <w:b w:val="1"/>
                <w:bCs w:val="1"/>
                <w:color w:val="auto"/>
              </w:rPr>
              <w:t>Investing Activities</w:t>
            </w: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900" w:type="dxa"/>
            <w:vAlign w:val="bottom"/>
          </w:tcPr>
          <w:p>
            <w:pPr>
              <w:ind w:left="200"/>
              <w:spacing w:after="0"/>
              <w:rPr>
                <w:sz w:val="20"/>
                <w:szCs w:val="20"/>
                <w:color w:val="auto"/>
              </w:rPr>
            </w:pPr>
            <w:r>
              <w:rPr>
                <w:rFonts w:ascii="Arial" w:cs="Arial" w:eastAsia="Arial" w:hAnsi="Arial"/>
                <w:sz w:val="13"/>
                <w:szCs w:val="13"/>
                <w:color w:val="auto"/>
              </w:rPr>
              <w:t>Additions to property and equipment</w:t>
            </w: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(82,887)</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(79,527)</w:t>
            </w:r>
          </w:p>
        </w:tc>
        <w:tc>
          <w:tcPr>
            <w:tcW w:w="0" w:type="dxa"/>
            <w:vAlign w:val="bottom"/>
          </w:tcPr>
          <w:p>
            <w:pPr>
              <w:spacing w:after="0"/>
              <w:rPr>
                <w:sz w:val="1"/>
                <w:szCs w:val="1"/>
                <w:color w:val="auto"/>
              </w:rPr>
            </w:pPr>
          </w:p>
        </w:tc>
      </w:tr>
      <w:tr>
        <w:trPr>
          <w:trHeight w:val="176"/>
        </w:trPr>
        <w:tc>
          <w:tcPr>
            <w:tcW w:w="7900" w:type="dxa"/>
            <w:vAlign w:val="bottom"/>
          </w:tcPr>
          <w:p>
            <w:pPr>
              <w:ind w:left="200"/>
              <w:spacing w:after="0"/>
              <w:rPr>
                <w:sz w:val="20"/>
                <w:szCs w:val="20"/>
                <w:color w:val="auto"/>
              </w:rPr>
            </w:pPr>
            <w:r>
              <w:rPr>
                <w:rFonts w:ascii="Arial" w:cs="Arial" w:eastAsia="Arial" w:hAnsi="Arial"/>
                <w:sz w:val="13"/>
                <w:szCs w:val="13"/>
                <w:color w:val="auto"/>
              </w:rPr>
              <w:t>Proceeds from sale of assets</w:t>
            </w:r>
          </w:p>
        </w:tc>
        <w:tc>
          <w:tcPr>
            <w:tcW w:w="340" w:type="dxa"/>
            <w:vAlign w:val="bottom"/>
          </w:tcPr>
          <w:p>
            <w:pPr>
              <w:spacing w:after="0"/>
              <w:rPr>
                <w:sz w:val="15"/>
                <w:szCs w:val="15"/>
                <w:color w:val="auto"/>
              </w:rPr>
            </w:pPr>
          </w:p>
        </w:tc>
        <w:tc>
          <w:tcPr>
            <w:tcW w:w="1200" w:type="dxa"/>
            <w:vAlign w:val="bottom"/>
          </w:tcPr>
          <w:p>
            <w:pPr>
              <w:jc w:val="right"/>
              <w:ind w:right="17"/>
              <w:spacing w:after="0"/>
              <w:rPr>
                <w:sz w:val="20"/>
                <w:szCs w:val="20"/>
                <w:color w:val="auto"/>
              </w:rPr>
            </w:pPr>
            <w:r>
              <w:rPr>
                <w:rFonts w:ascii="Arial" w:cs="Arial" w:eastAsia="Arial" w:hAnsi="Arial"/>
                <w:sz w:val="13"/>
                <w:szCs w:val="13"/>
                <w:color w:val="auto"/>
              </w:rPr>
              <w:t>9,267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7900" w:type="dxa"/>
            <w:vAlign w:val="bottom"/>
          </w:tcPr>
          <w:p>
            <w:pPr>
              <w:ind w:left="200"/>
              <w:spacing w:after="0"/>
              <w:rPr>
                <w:sz w:val="20"/>
                <w:szCs w:val="20"/>
                <w:color w:val="auto"/>
              </w:rPr>
            </w:pPr>
            <w:r>
              <w:rPr>
                <w:rFonts w:ascii="Arial" w:cs="Arial" w:eastAsia="Arial" w:hAnsi="Arial"/>
                <w:sz w:val="13"/>
                <w:szCs w:val="13"/>
                <w:color w:val="auto"/>
              </w:rPr>
              <w:t>Other investing activities</w:t>
            </w: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(200)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(300)</w:t>
            </w:r>
          </w:p>
        </w:tc>
        <w:tc>
          <w:tcPr>
            <w:tcW w:w="0" w:type="dxa"/>
            <w:vAlign w:val="bottom"/>
          </w:tcPr>
          <w:p>
            <w:pPr>
              <w:spacing w:after="0"/>
              <w:rPr>
                <w:sz w:val="1"/>
                <w:szCs w:val="1"/>
                <w:color w:val="auto"/>
              </w:rPr>
            </w:pPr>
          </w:p>
        </w:tc>
      </w:tr>
      <w:tr>
        <w:trPr>
          <w:trHeight w:val="183"/>
        </w:trPr>
        <w:tc>
          <w:tcPr>
            <w:tcW w:w="7900" w:type="dxa"/>
            <w:vAlign w:val="bottom"/>
          </w:tcPr>
          <w:p>
            <w:pPr>
              <w:ind w:left="200"/>
              <w:spacing w:after="0"/>
              <w:rPr>
                <w:sz w:val="20"/>
                <w:szCs w:val="20"/>
                <w:color w:val="auto"/>
              </w:rPr>
            </w:pPr>
            <w:r>
              <w:rPr>
                <w:rFonts w:ascii="Arial" w:cs="Arial" w:eastAsia="Arial" w:hAnsi="Arial"/>
                <w:sz w:val="13"/>
                <w:szCs w:val="13"/>
                <w:color w:val="auto"/>
              </w:rPr>
              <w:t>Proceeds from sale of investments in securities</w:t>
            </w:r>
          </w:p>
        </w:tc>
        <w:tc>
          <w:tcPr>
            <w:tcW w:w="340" w:type="dxa"/>
            <w:vAlign w:val="bottom"/>
          </w:tcPr>
          <w:p>
            <w:pPr>
              <w:spacing w:after="0"/>
              <w:rPr>
                <w:sz w:val="15"/>
                <w:szCs w:val="15"/>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54,834</w:t>
            </w:r>
          </w:p>
        </w:tc>
        <w:tc>
          <w:tcPr>
            <w:tcW w:w="0" w:type="dxa"/>
            <w:vAlign w:val="bottom"/>
          </w:tcPr>
          <w:p>
            <w:pPr>
              <w:spacing w:after="0"/>
              <w:rPr>
                <w:sz w:val="1"/>
                <w:szCs w:val="1"/>
                <w:color w:val="auto"/>
              </w:rPr>
            </w:pPr>
          </w:p>
        </w:tc>
      </w:tr>
      <w:tr>
        <w:trPr>
          <w:trHeight w:val="166"/>
        </w:trPr>
        <w:tc>
          <w:tcPr>
            <w:tcW w:w="7900" w:type="dxa"/>
            <w:vAlign w:val="bottom"/>
          </w:tcPr>
          <w:p>
            <w:pPr>
              <w:ind w:left="640"/>
              <w:spacing w:after="0" w:line="148" w:lineRule="exact"/>
              <w:rPr>
                <w:sz w:val="20"/>
                <w:szCs w:val="20"/>
                <w:color w:val="auto"/>
              </w:rPr>
            </w:pPr>
            <w:r>
              <w:rPr>
                <w:rFonts w:ascii="Arial" w:cs="Arial" w:eastAsia="Arial" w:hAnsi="Arial"/>
                <w:sz w:val="13"/>
                <w:szCs w:val="13"/>
                <w:color w:val="auto"/>
              </w:rPr>
              <w:t>Cash used in investing activities</w:t>
            </w:r>
          </w:p>
        </w:tc>
        <w:tc>
          <w:tcPr>
            <w:tcW w:w="3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(73,820)</w:t>
            </w: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(24,993)</w:t>
            </w:r>
          </w:p>
        </w:tc>
        <w:tc>
          <w:tcPr>
            <w:tcW w:w="0" w:type="dxa"/>
            <w:vAlign w:val="bottom"/>
          </w:tcPr>
          <w:p>
            <w:pPr>
              <w:spacing w:after="0"/>
              <w:rPr>
                <w:sz w:val="1"/>
                <w:szCs w:val="1"/>
                <w:color w:val="auto"/>
              </w:rPr>
            </w:pPr>
          </w:p>
        </w:tc>
      </w:tr>
      <w:tr>
        <w:trPr>
          <w:trHeight w:val="177"/>
        </w:trPr>
        <w:tc>
          <w:tcPr>
            <w:tcW w:w="7900" w:type="dxa"/>
            <w:vAlign w:val="bottom"/>
          </w:tcPr>
          <w:p>
            <w:pPr>
              <w:spacing w:after="0"/>
              <w:rPr>
                <w:sz w:val="20"/>
                <w:szCs w:val="20"/>
                <w:color w:val="auto"/>
              </w:rPr>
            </w:pPr>
            <w:r>
              <w:rPr>
                <w:rFonts w:ascii="Arial" w:cs="Arial" w:eastAsia="Arial" w:hAnsi="Arial"/>
                <w:sz w:val="13"/>
                <w:szCs w:val="13"/>
                <w:b w:val="1"/>
                <w:bCs w:val="1"/>
                <w:color w:val="auto"/>
              </w:rPr>
              <w:t>Financing Activities</w:t>
            </w: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7900" w:type="dxa"/>
            <w:vAlign w:val="bottom"/>
          </w:tcPr>
          <w:p>
            <w:pPr>
              <w:ind w:left="460"/>
              <w:spacing w:after="0"/>
              <w:rPr>
                <w:sz w:val="20"/>
                <w:szCs w:val="20"/>
                <w:color w:val="auto"/>
              </w:rPr>
            </w:pPr>
            <w:r>
              <w:rPr>
                <w:rFonts w:ascii="Arial" w:cs="Arial" w:eastAsia="Arial" w:hAnsi="Arial"/>
                <w:sz w:val="13"/>
                <w:szCs w:val="13"/>
                <w:color w:val="auto"/>
              </w:rPr>
              <w:t>Payments on borrowings from lenders</w:t>
            </w: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(3,686,879)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(1,750,740)</w:t>
            </w:r>
          </w:p>
        </w:tc>
        <w:tc>
          <w:tcPr>
            <w:tcW w:w="0" w:type="dxa"/>
            <w:vAlign w:val="bottom"/>
          </w:tcPr>
          <w:p>
            <w:pPr>
              <w:spacing w:after="0"/>
              <w:rPr>
                <w:sz w:val="1"/>
                <w:szCs w:val="1"/>
                <w:color w:val="auto"/>
              </w:rPr>
            </w:pPr>
          </w:p>
        </w:tc>
      </w:tr>
      <w:tr>
        <w:trPr>
          <w:trHeight w:val="175"/>
        </w:trPr>
        <w:tc>
          <w:tcPr>
            <w:tcW w:w="7900" w:type="dxa"/>
            <w:vAlign w:val="bottom"/>
          </w:tcPr>
          <w:p>
            <w:pPr>
              <w:ind w:left="460"/>
              <w:spacing w:after="0"/>
              <w:rPr>
                <w:sz w:val="20"/>
                <w:szCs w:val="20"/>
                <w:color w:val="auto"/>
              </w:rPr>
            </w:pPr>
            <w:r>
              <w:rPr>
                <w:rFonts w:ascii="Arial" w:cs="Arial" w:eastAsia="Arial" w:hAnsi="Arial"/>
                <w:sz w:val="13"/>
                <w:szCs w:val="13"/>
                <w:color w:val="auto"/>
              </w:rPr>
              <w:t>Proceeds of borrowings from lenders</w:t>
            </w:r>
          </w:p>
        </w:tc>
        <w:tc>
          <w:tcPr>
            <w:tcW w:w="340" w:type="dxa"/>
            <w:vAlign w:val="bottom"/>
          </w:tcPr>
          <w:p>
            <w:pPr>
              <w:spacing w:after="0"/>
              <w:rPr>
                <w:sz w:val="15"/>
                <w:szCs w:val="15"/>
                <w:color w:val="auto"/>
              </w:rPr>
            </w:pPr>
          </w:p>
        </w:tc>
        <w:tc>
          <w:tcPr>
            <w:tcW w:w="1200" w:type="dxa"/>
            <w:vAlign w:val="bottom"/>
          </w:tcPr>
          <w:p>
            <w:pPr>
              <w:jc w:val="right"/>
              <w:ind w:right="17"/>
              <w:spacing w:after="0"/>
              <w:rPr>
                <w:sz w:val="20"/>
                <w:szCs w:val="20"/>
                <w:color w:val="auto"/>
              </w:rPr>
            </w:pPr>
            <w:r>
              <w:rPr>
                <w:rFonts w:ascii="Arial" w:cs="Arial" w:eastAsia="Arial" w:hAnsi="Arial"/>
                <w:sz w:val="13"/>
                <w:szCs w:val="13"/>
                <w:color w:val="auto"/>
              </w:rPr>
              <w:t>3,098,196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1,755,104</w:t>
            </w:r>
          </w:p>
        </w:tc>
        <w:tc>
          <w:tcPr>
            <w:tcW w:w="0" w:type="dxa"/>
            <w:vAlign w:val="bottom"/>
          </w:tcPr>
          <w:p>
            <w:pPr>
              <w:spacing w:after="0"/>
              <w:rPr>
                <w:sz w:val="1"/>
                <w:szCs w:val="1"/>
                <w:color w:val="auto"/>
              </w:rPr>
            </w:pPr>
          </w:p>
        </w:tc>
      </w:tr>
      <w:tr>
        <w:trPr>
          <w:trHeight w:val="176"/>
        </w:trPr>
        <w:tc>
          <w:tcPr>
            <w:tcW w:w="7900" w:type="dxa"/>
            <w:vAlign w:val="bottom"/>
          </w:tcPr>
          <w:p>
            <w:pPr>
              <w:ind w:left="460"/>
              <w:spacing w:after="0"/>
              <w:rPr>
                <w:sz w:val="20"/>
                <w:szCs w:val="20"/>
                <w:color w:val="auto"/>
              </w:rPr>
            </w:pPr>
            <w:r>
              <w:rPr>
                <w:rFonts w:ascii="Arial" w:cs="Arial" w:eastAsia="Arial" w:hAnsi="Arial"/>
                <w:sz w:val="13"/>
                <w:szCs w:val="13"/>
                <w:color w:val="auto"/>
              </w:rPr>
              <w:t>Payments on borrowings under Securitization Facility</w:t>
            </w: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(123,450)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(91,300)</w:t>
            </w:r>
          </w:p>
        </w:tc>
        <w:tc>
          <w:tcPr>
            <w:tcW w:w="0" w:type="dxa"/>
            <w:vAlign w:val="bottom"/>
          </w:tcPr>
          <w:p>
            <w:pPr>
              <w:spacing w:after="0"/>
              <w:rPr>
                <w:sz w:val="1"/>
                <w:szCs w:val="1"/>
                <w:color w:val="auto"/>
              </w:rPr>
            </w:pPr>
          </w:p>
        </w:tc>
      </w:tr>
      <w:tr>
        <w:trPr>
          <w:trHeight w:val="175"/>
        </w:trPr>
        <w:tc>
          <w:tcPr>
            <w:tcW w:w="7900" w:type="dxa"/>
            <w:vAlign w:val="bottom"/>
          </w:tcPr>
          <w:p>
            <w:pPr>
              <w:ind w:left="460"/>
              <w:spacing w:after="0"/>
              <w:rPr>
                <w:sz w:val="20"/>
                <w:szCs w:val="20"/>
                <w:color w:val="auto"/>
              </w:rPr>
            </w:pPr>
            <w:r>
              <w:rPr>
                <w:rFonts w:ascii="Arial" w:cs="Arial" w:eastAsia="Arial" w:hAnsi="Arial"/>
                <w:sz w:val="13"/>
                <w:szCs w:val="13"/>
                <w:color w:val="auto"/>
              </w:rPr>
              <w:t>Proceeds from borrowings under Securitization Facility</w:t>
            </w:r>
          </w:p>
        </w:tc>
        <w:tc>
          <w:tcPr>
            <w:tcW w:w="340" w:type="dxa"/>
            <w:vAlign w:val="bottom"/>
          </w:tcPr>
          <w:p>
            <w:pPr>
              <w:spacing w:after="0"/>
              <w:rPr>
                <w:sz w:val="15"/>
                <w:szCs w:val="15"/>
                <w:color w:val="auto"/>
              </w:rPr>
            </w:pPr>
          </w:p>
        </w:tc>
        <w:tc>
          <w:tcPr>
            <w:tcW w:w="1200" w:type="dxa"/>
            <w:vAlign w:val="bottom"/>
          </w:tcPr>
          <w:p>
            <w:pPr>
              <w:jc w:val="right"/>
              <w:ind w:right="17"/>
              <w:spacing w:after="0"/>
              <w:rPr>
                <w:sz w:val="20"/>
                <w:szCs w:val="20"/>
                <w:color w:val="auto"/>
              </w:rPr>
            </w:pPr>
            <w:r>
              <w:rPr>
                <w:rFonts w:ascii="Arial" w:cs="Arial" w:eastAsia="Arial" w:hAnsi="Arial"/>
                <w:sz w:val="13"/>
                <w:szCs w:val="13"/>
                <w:color w:val="auto"/>
              </w:rPr>
              <w:t>123,250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183,500</w:t>
            </w:r>
          </w:p>
        </w:tc>
        <w:tc>
          <w:tcPr>
            <w:tcW w:w="0" w:type="dxa"/>
            <w:vAlign w:val="bottom"/>
          </w:tcPr>
          <w:p>
            <w:pPr>
              <w:spacing w:after="0"/>
              <w:rPr>
                <w:sz w:val="1"/>
                <w:szCs w:val="1"/>
                <w:color w:val="auto"/>
              </w:rPr>
            </w:pPr>
          </w:p>
        </w:tc>
      </w:tr>
      <w:tr>
        <w:trPr>
          <w:trHeight w:val="175"/>
        </w:trPr>
        <w:tc>
          <w:tcPr>
            <w:tcW w:w="7900" w:type="dxa"/>
            <w:vAlign w:val="bottom"/>
          </w:tcPr>
          <w:p>
            <w:pPr>
              <w:ind w:left="460"/>
              <w:spacing w:after="0"/>
              <w:rPr>
                <w:sz w:val="20"/>
                <w:szCs w:val="20"/>
                <w:color w:val="auto"/>
              </w:rPr>
            </w:pPr>
            <w:r>
              <w:rPr>
                <w:rFonts w:ascii="Arial" w:cs="Arial" w:eastAsia="Arial" w:hAnsi="Arial"/>
                <w:sz w:val="13"/>
                <w:szCs w:val="13"/>
                <w:color w:val="auto"/>
              </w:rPr>
              <w:t>Debt prepayment fees and issuance costs</w:t>
            </w: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(88,641)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(50,325)</w:t>
            </w:r>
          </w:p>
        </w:tc>
        <w:tc>
          <w:tcPr>
            <w:tcW w:w="0" w:type="dxa"/>
            <w:vAlign w:val="bottom"/>
          </w:tcPr>
          <w:p>
            <w:pPr>
              <w:spacing w:after="0"/>
              <w:rPr>
                <w:sz w:val="1"/>
                <w:szCs w:val="1"/>
                <w:color w:val="auto"/>
              </w:rPr>
            </w:pPr>
          </w:p>
        </w:tc>
      </w:tr>
      <w:tr>
        <w:trPr>
          <w:trHeight w:val="175"/>
        </w:trPr>
        <w:tc>
          <w:tcPr>
            <w:tcW w:w="7900" w:type="dxa"/>
            <w:vAlign w:val="bottom"/>
          </w:tcPr>
          <w:p>
            <w:pPr>
              <w:ind w:left="460"/>
              <w:spacing w:after="0"/>
              <w:rPr>
                <w:sz w:val="20"/>
                <w:szCs w:val="20"/>
                <w:color w:val="auto"/>
              </w:rPr>
            </w:pPr>
            <w:r>
              <w:rPr>
                <w:rFonts w:ascii="Arial" w:cs="Arial" w:eastAsia="Arial" w:hAnsi="Arial"/>
                <w:sz w:val="13"/>
                <w:szCs w:val="13"/>
                <w:color w:val="auto"/>
              </w:rPr>
              <w:t>Net payment on the settlement of equity-based awards</w:t>
            </w: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(10,410)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(6,667)</w:t>
            </w:r>
          </w:p>
        </w:tc>
        <w:tc>
          <w:tcPr>
            <w:tcW w:w="0" w:type="dxa"/>
            <w:vAlign w:val="bottom"/>
          </w:tcPr>
          <w:p>
            <w:pPr>
              <w:spacing w:after="0"/>
              <w:rPr>
                <w:sz w:val="1"/>
                <w:szCs w:val="1"/>
                <w:color w:val="auto"/>
              </w:rPr>
            </w:pPr>
          </w:p>
        </w:tc>
      </w:tr>
      <w:tr>
        <w:trPr>
          <w:trHeight w:val="183"/>
        </w:trPr>
        <w:tc>
          <w:tcPr>
            <w:tcW w:w="7900" w:type="dxa"/>
            <w:vAlign w:val="bottom"/>
          </w:tcPr>
          <w:p>
            <w:pPr>
              <w:ind w:left="460"/>
              <w:spacing w:after="0"/>
              <w:rPr>
                <w:sz w:val="20"/>
                <w:szCs w:val="20"/>
                <w:color w:val="auto"/>
              </w:rPr>
            </w:pPr>
            <w:r>
              <w:rPr>
                <w:rFonts w:ascii="Arial" w:cs="Arial" w:eastAsia="Arial" w:hAnsi="Arial"/>
                <w:sz w:val="13"/>
                <w:szCs w:val="13"/>
                <w:color w:val="auto"/>
              </w:rPr>
              <w:t>Net Receipts on Behalf under TSA</w:t>
            </w: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2,183</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7900" w:type="dxa"/>
            <w:vAlign w:val="bottom"/>
          </w:tcPr>
          <w:p>
            <w:pPr>
              <w:ind w:left="660"/>
              <w:spacing w:after="0" w:line="148" w:lineRule="exact"/>
              <w:rPr>
                <w:sz w:val="20"/>
                <w:szCs w:val="20"/>
                <w:color w:val="auto"/>
              </w:rPr>
            </w:pPr>
            <w:r>
              <w:rPr>
                <w:rFonts w:ascii="Arial" w:cs="Arial" w:eastAsia="Arial" w:hAnsi="Arial"/>
                <w:sz w:val="13"/>
                <w:szCs w:val="13"/>
                <w:color w:val="auto"/>
              </w:rPr>
              <w:t>Cash (used in) provided by financing activities</w:t>
            </w: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(685,751)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39,572</w:t>
            </w:r>
          </w:p>
        </w:tc>
        <w:tc>
          <w:tcPr>
            <w:tcW w:w="0" w:type="dxa"/>
            <w:vAlign w:val="bottom"/>
          </w:tcPr>
          <w:p>
            <w:pPr>
              <w:spacing w:after="0"/>
              <w:rPr>
                <w:sz w:val="1"/>
                <w:szCs w:val="1"/>
                <w:color w:val="auto"/>
              </w:rPr>
            </w:pPr>
          </w:p>
        </w:tc>
      </w:tr>
      <w:tr>
        <w:trPr>
          <w:trHeight w:val="177"/>
        </w:trPr>
        <w:tc>
          <w:tcPr>
            <w:tcW w:w="7900" w:type="dxa"/>
            <w:vAlign w:val="bottom"/>
          </w:tcPr>
          <w:p>
            <w:pPr>
              <w:spacing w:after="0"/>
              <w:rPr>
                <w:sz w:val="20"/>
                <w:szCs w:val="20"/>
                <w:color w:val="auto"/>
              </w:rPr>
            </w:pPr>
            <w:r>
              <w:rPr>
                <w:rFonts w:ascii="Arial" w:cs="Arial" w:eastAsia="Arial" w:hAnsi="Arial"/>
                <w:sz w:val="13"/>
                <w:szCs w:val="13"/>
                <w:b w:val="1"/>
                <w:bCs w:val="1"/>
                <w:color w:val="auto"/>
              </w:rPr>
              <w:t>Cash Flows from Discontinued Operations</w:t>
            </w: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7900" w:type="dxa"/>
            <w:vAlign w:val="bottom"/>
          </w:tcPr>
          <w:p>
            <w:pPr>
              <w:ind w:left="200"/>
              <w:spacing w:after="0"/>
              <w:rPr>
                <w:sz w:val="20"/>
                <w:szCs w:val="20"/>
                <w:color w:val="auto"/>
              </w:rPr>
            </w:pPr>
            <w:r>
              <w:rPr>
                <w:rFonts w:ascii="Arial" w:cs="Arial" w:eastAsia="Arial" w:hAnsi="Arial"/>
                <w:sz w:val="13"/>
                <w:szCs w:val="13"/>
                <w:color w:val="auto"/>
              </w:rPr>
              <w:t>Cash (used in) provided by operating activities</w:t>
            </w: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(21,659)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345</w:t>
            </w:r>
          </w:p>
        </w:tc>
        <w:tc>
          <w:tcPr>
            <w:tcW w:w="0" w:type="dxa"/>
            <w:vAlign w:val="bottom"/>
          </w:tcPr>
          <w:p>
            <w:pPr>
              <w:spacing w:after="0"/>
              <w:rPr>
                <w:sz w:val="1"/>
                <w:szCs w:val="1"/>
                <w:color w:val="auto"/>
              </w:rPr>
            </w:pPr>
          </w:p>
        </w:tc>
      </w:tr>
      <w:tr>
        <w:trPr>
          <w:trHeight w:val="183"/>
        </w:trPr>
        <w:tc>
          <w:tcPr>
            <w:tcW w:w="7900" w:type="dxa"/>
            <w:vAlign w:val="bottom"/>
          </w:tcPr>
          <w:p>
            <w:pPr>
              <w:ind w:left="200"/>
              <w:spacing w:after="0"/>
              <w:rPr>
                <w:sz w:val="20"/>
                <w:szCs w:val="20"/>
                <w:color w:val="auto"/>
              </w:rPr>
            </w:pPr>
            <w:r>
              <w:rPr>
                <w:rFonts w:ascii="Arial" w:cs="Arial" w:eastAsia="Arial" w:hAnsi="Arial"/>
                <w:sz w:val="13"/>
                <w:szCs w:val="13"/>
                <w:color w:val="auto"/>
              </w:rPr>
              <w:t>Cash provided by (used in) investing activities</w:t>
            </w: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1,050,242</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(4,621)</w:t>
            </w:r>
          </w:p>
        </w:tc>
        <w:tc>
          <w:tcPr>
            <w:tcW w:w="0" w:type="dxa"/>
            <w:vAlign w:val="bottom"/>
          </w:tcPr>
          <w:p>
            <w:pPr>
              <w:spacing w:after="0"/>
              <w:rPr>
                <w:sz w:val="1"/>
                <w:szCs w:val="1"/>
                <w:color w:val="auto"/>
              </w:rPr>
            </w:pPr>
          </w:p>
        </w:tc>
      </w:tr>
      <w:tr>
        <w:trPr>
          <w:trHeight w:val="166"/>
        </w:trPr>
        <w:tc>
          <w:tcPr>
            <w:tcW w:w="7900" w:type="dxa"/>
            <w:vAlign w:val="bottom"/>
          </w:tcPr>
          <w:p>
            <w:pPr>
              <w:ind w:left="660"/>
              <w:spacing w:after="0" w:line="148" w:lineRule="exact"/>
              <w:rPr>
                <w:sz w:val="20"/>
                <w:szCs w:val="20"/>
                <w:color w:val="auto"/>
              </w:rPr>
            </w:pPr>
            <w:r>
              <w:rPr>
                <w:rFonts w:ascii="Arial" w:cs="Arial" w:eastAsia="Arial" w:hAnsi="Arial"/>
                <w:sz w:val="13"/>
                <w:szCs w:val="13"/>
                <w:color w:val="auto"/>
              </w:rPr>
              <w:t>Cash provided by (used in) discontinued operations</w:t>
            </w:r>
          </w:p>
        </w:tc>
        <w:tc>
          <w:tcPr>
            <w:tcW w:w="340" w:type="dxa"/>
            <w:vAlign w:val="bottom"/>
          </w:tcPr>
          <w:p>
            <w:pPr>
              <w:spacing w:after="0"/>
              <w:rPr>
                <w:sz w:val="14"/>
                <w:szCs w:val="14"/>
                <w:color w:val="auto"/>
              </w:rPr>
            </w:pPr>
          </w:p>
        </w:tc>
        <w:tc>
          <w:tcPr>
            <w:tcW w:w="1200" w:type="dxa"/>
            <w:vAlign w:val="bottom"/>
          </w:tcPr>
          <w:p>
            <w:pPr>
              <w:jc w:val="right"/>
              <w:ind w:right="17"/>
              <w:spacing w:after="0"/>
              <w:rPr>
                <w:sz w:val="20"/>
                <w:szCs w:val="20"/>
                <w:color w:val="auto"/>
              </w:rPr>
            </w:pPr>
            <w:r>
              <w:rPr>
                <w:rFonts w:ascii="Arial" w:cs="Arial" w:eastAsia="Arial" w:hAnsi="Arial"/>
                <w:sz w:val="13"/>
                <w:szCs w:val="13"/>
                <w:color w:val="auto"/>
              </w:rPr>
              <w:t>1,028,583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(4,276)</w:t>
            </w:r>
          </w:p>
        </w:tc>
        <w:tc>
          <w:tcPr>
            <w:tcW w:w="0" w:type="dxa"/>
            <w:vAlign w:val="bottom"/>
          </w:tcPr>
          <w:p>
            <w:pPr>
              <w:spacing w:after="0"/>
              <w:rPr>
                <w:sz w:val="1"/>
                <w:szCs w:val="1"/>
                <w:color w:val="auto"/>
              </w:rPr>
            </w:pPr>
          </w:p>
        </w:tc>
      </w:tr>
      <w:tr>
        <w:trPr>
          <w:trHeight w:val="171"/>
        </w:trPr>
        <w:tc>
          <w:tcPr>
            <w:tcW w:w="7900" w:type="dxa"/>
            <w:vAlign w:val="bottom"/>
          </w:tcPr>
          <w:p>
            <w:pPr>
              <w:spacing w:after="0"/>
              <w:rPr>
                <w:sz w:val="20"/>
                <w:szCs w:val="20"/>
                <w:color w:val="auto"/>
              </w:rPr>
            </w:pPr>
            <w:r>
              <w:rPr>
                <w:rFonts w:ascii="Arial" w:cs="Arial" w:eastAsia="Arial" w:hAnsi="Arial"/>
                <w:sz w:val="13"/>
                <w:szCs w:val="13"/>
                <w:color w:val="auto"/>
              </w:rPr>
              <w:t>Effect of exchange rate changes on cash, cash equivalents and restricted cash</w:t>
            </w:r>
          </w:p>
        </w:tc>
        <w:tc>
          <w:tcPr>
            <w:tcW w:w="340" w:type="dxa"/>
            <w:vAlign w:val="bottom"/>
          </w:tcPr>
          <w:p>
            <w:pPr>
              <w:spacing w:after="0"/>
              <w:rPr>
                <w:sz w:val="14"/>
                <w:szCs w:val="14"/>
                <w:color w:val="auto"/>
              </w:rPr>
            </w:pPr>
          </w:p>
        </w:tc>
        <w:tc>
          <w:tcPr>
            <w:tcW w:w="1200" w:type="dxa"/>
            <w:vAlign w:val="bottom"/>
          </w:tcPr>
          <w:p>
            <w:pPr>
              <w:jc w:val="right"/>
              <w:ind w:right="17"/>
              <w:spacing w:after="0"/>
              <w:rPr>
                <w:sz w:val="20"/>
                <w:szCs w:val="20"/>
                <w:color w:val="auto"/>
              </w:rPr>
            </w:pPr>
            <w:r>
              <w:rPr>
                <w:rFonts w:ascii="Arial" w:cs="Arial" w:eastAsia="Arial" w:hAnsi="Arial"/>
                <w:sz w:val="13"/>
                <w:szCs w:val="13"/>
                <w:color w:val="auto"/>
              </w:rPr>
              <w:t>4,447</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(4,278)</w:t>
            </w:r>
          </w:p>
        </w:tc>
        <w:tc>
          <w:tcPr>
            <w:tcW w:w="0" w:type="dxa"/>
            <w:vAlign w:val="bottom"/>
          </w:tcPr>
          <w:p>
            <w:pPr>
              <w:spacing w:after="0"/>
              <w:rPr>
                <w:sz w:val="1"/>
                <w:szCs w:val="1"/>
                <w:color w:val="auto"/>
              </w:rPr>
            </w:pPr>
          </w:p>
        </w:tc>
      </w:tr>
      <w:tr>
        <w:trPr>
          <w:trHeight w:val="175"/>
        </w:trPr>
        <w:tc>
          <w:tcPr>
            <w:tcW w:w="7900" w:type="dxa"/>
            <w:vAlign w:val="bottom"/>
          </w:tcPr>
          <w:p>
            <w:pPr>
              <w:spacing w:after="0"/>
              <w:rPr>
                <w:sz w:val="20"/>
                <w:szCs w:val="20"/>
                <w:color w:val="auto"/>
              </w:rPr>
            </w:pPr>
            <w:r>
              <w:rPr>
                <w:rFonts w:ascii="Arial" w:cs="Arial" w:eastAsia="Arial" w:hAnsi="Arial"/>
                <w:sz w:val="13"/>
                <w:szCs w:val="13"/>
                <w:color w:val="auto"/>
              </w:rPr>
              <w:t>Increase in cash, cash equivalents and restricted cash</w:t>
            </w:r>
          </w:p>
        </w:tc>
        <w:tc>
          <w:tcPr>
            <w:tcW w:w="340" w:type="dxa"/>
            <w:vAlign w:val="bottom"/>
          </w:tcPr>
          <w:p>
            <w:pPr>
              <w:spacing w:after="0"/>
              <w:rPr>
                <w:sz w:val="15"/>
                <w:szCs w:val="15"/>
                <w:color w:val="auto"/>
              </w:rPr>
            </w:pPr>
          </w:p>
        </w:tc>
        <w:tc>
          <w:tcPr>
            <w:tcW w:w="1200" w:type="dxa"/>
            <w:vAlign w:val="bottom"/>
          </w:tcPr>
          <w:p>
            <w:pPr>
              <w:jc w:val="right"/>
              <w:ind w:right="17"/>
              <w:spacing w:after="0"/>
              <w:rPr>
                <w:sz w:val="20"/>
                <w:szCs w:val="20"/>
                <w:color w:val="auto"/>
              </w:rPr>
            </w:pPr>
            <w:r>
              <w:rPr>
                <w:rFonts w:ascii="Arial" w:cs="Arial" w:eastAsia="Arial" w:hAnsi="Arial"/>
                <w:sz w:val="13"/>
                <w:szCs w:val="13"/>
                <w:color w:val="auto"/>
              </w:rPr>
              <w:t>164,595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76,274</w:t>
            </w:r>
          </w:p>
        </w:tc>
        <w:tc>
          <w:tcPr>
            <w:tcW w:w="0" w:type="dxa"/>
            <w:vAlign w:val="bottom"/>
          </w:tcPr>
          <w:p>
            <w:pPr>
              <w:spacing w:after="0"/>
              <w:rPr>
                <w:sz w:val="1"/>
                <w:szCs w:val="1"/>
                <w:color w:val="auto"/>
              </w:rPr>
            </w:pPr>
          </w:p>
        </w:tc>
      </w:tr>
      <w:tr>
        <w:trPr>
          <w:trHeight w:val="183"/>
        </w:trPr>
        <w:tc>
          <w:tcPr>
            <w:tcW w:w="7900" w:type="dxa"/>
            <w:vAlign w:val="bottom"/>
          </w:tcPr>
          <w:p>
            <w:pPr>
              <w:spacing w:after="0"/>
              <w:rPr>
                <w:sz w:val="20"/>
                <w:szCs w:val="20"/>
                <w:color w:val="auto"/>
              </w:rPr>
            </w:pPr>
            <w:r>
              <w:rPr>
                <w:rFonts w:ascii="Arial" w:cs="Arial" w:eastAsia="Arial" w:hAnsi="Arial"/>
                <w:sz w:val="13"/>
                <w:szCs w:val="13"/>
                <w:color w:val="auto"/>
              </w:rPr>
              <w:t>Cash, cash equivalents and restricted cash at beginning of period</w:t>
            </w: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745,518</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669,244</w:t>
            </w:r>
          </w:p>
        </w:tc>
        <w:tc>
          <w:tcPr>
            <w:tcW w:w="0" w:type="dxa"/>
            <w:vAlign w:val="bottom"/>
          </w:tcPr>
          <w:p>
            <w:pPr>
              <w:spacing w:after="0"/>
              <w:rPr>
                <w:sz w:val="1"/>
                <w:szCs w:val="1"/>
                <w:color w:val="auto"/>
              </w:rPr>
            </w:pPr>
          </w:p>
        </w:tc>
      </w:tr>
      <w:tr>
        <w:trPr>
          <w:trHeight w:val="149"/>
        </w:trPr>
        <w:tc>
          <w:tcPr>
            <w:tcW w:w="7900" w:type="dxa"/>
            <w:vAlign w:val="bottom"/>
          </w:tcPr>
          <w:p>
            <w:pPr>
              <w:spacing w:after="0" w:line="148" w:lineRule="exact"/>
              <w:rPr>
                <w:sz w:val="20"/>
                <w:szCs w:val="20"/>
                <w:color w:val="auto"/>
              </w:rPr>
            </w:pPr>
            <w:r>
              <w:rPr>
                <w:rFonts w:ascii="Arial" w:cs="Arial" w:eastAsia="Arial" w:hAnsi="Arial"/>
                <w:sz w:val="13"/>
                <w:szCs w:val="13"/>
                <w:color w:val="auto"/>
              </w:rPr>
              <w:t>Cash, cash equivalents and restricted cash at end of period</w:t>
            </w:r>
          </w:p>
        </w:tc>
        <w:tc>
          <w:tcPr>
            <w:tcW w:w="3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910,113</w:t>
            </w:r>
          </w:p>
        </w:tc>
        <w:tc>
          <w:tcPr>
            <w:tcW w:w="100" w:type="dxa"/>
            <w:vAlign w:val="bottom"/>
          </w:tcPr>
          <w:p>
            <w:pPr>
              <w:spacing w:after="0"/>
              <w:rPr>
                <w:sz w:val="12"/>
                <w:szCs w:val="12"/>
                <w:color w:val="auto"/>
              </w:rPr>
            </w:pPr>
          </w:p>
        </w:tc>
        <w:tc>
          <w:tcPr>
            <w:tcW w:w="3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745,518</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3"/>
                <w:szCs w:val="13"/>
                <w:color w:val="auto"/>
              </w:rPr>
              <w:t>Cash payments for interest</w:t>
            </w: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9"/>
        </w:trPr>
        <w:tc>
          <w:tcPr>
            <w:tcW w:w="7900" w:type="dxa"/>
            <w:vAlign w:val="bottom"/>
            <w:vMerge w:val="continue"/>
          </w:tcPr>
          <w:p>
            <w:pPr>
              <w:spacing w:after="0"/>
              <w:rPr>
                <w:sz w:val="13"/>
                <w:szCs w:val="13"/>
                <w:color w:val="auto"/>
              </w:rPr>
            </w:pP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ind w:right="17"/>
              <w:spacing w:after="0"/>
              <w:rPr>
                <w:sz w:val="20"/>
                <w:szCs w:val="20"/>
                <w:color w:val="auto"/>
              </w:rPr>
            </w:pPr>
            <w:r>
              <w:rPr>
                <w:rFonts w:ascii="Arial" w:cs="Arial" w:eastAsia="Arial" w:hAnsi="Arial"/>
                <w:sz w:val="13"/>
                <w:szCs w:val="13"/>
                <w:color w:val="auto"/>
              </w:rPr>
              <w:t>589,045</w:t>
            </w:r>
          </w:p>
        </w:tc>
        <w:tc>
          <w:tcPr>
            <w:tcW w:w="100" w:type="dxa"/>
            <w:vAlign w:val="bottom"/>
          </w:tcPr>
          <w:p>
            <w:pPr>
              <w:spacing w:after="0"/>
              <w:rPr>
                <w:sz w:val="13"/>
                <w:szCs w:val="13"/>
                <w:color w:val="auto"/>
              </w:rPr>
            </w:pPr>
          </w:p>
        </w:tc>
        <w:tc>
          <w:tcPr>
            <w:tcW w:w="360" w:type="dxa"/>
            <w:vAlign w:val="bottom"/>
          </w:tcPr>
          <w:p>
            <w:pPr>
              <w:jc w:val="right"/>
              <w:ind w:right="217"/>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382,966</w:t>
            </w:r>
          </w:p>
        </w:tc>
        <w:tc>
          <w:tcPr>
            <w:tcW w:w="0" w:type="dxa"/>
            <w:vAlign w:val="bottom"/>
          </w:tcPr>
          <w:p>
            <w:pPr>
              <w:spacing w:after="0"/>
              <w:rPr>
                <w:sz w:val="1"/>
                <w:szCs w:val="1"/>
                <w:color w:val="auto"/>
              </w:rPr>
            </w:pPr>
          </w:p>
        </w:tc>
      </w:tr>
      <w:tr>
        <w:trPr>
          <w:trHeight w:val="171"/>
        </w:trPr>
        <w:tc>
          <w:tcPr>
            <w:tcW w:w="7900" w:type="dxa"/>
            <w:vAlign w:val="bottom"/>
          </w:tcPr>
          <w:p>
            <w:pPr>
              <w:spacing w:after="0"/>
              <w:rPr>
                <w:sz w:val="20"/>
                <w:szCs w:val="20"/>
                <w:color w:val="auto"/>
              </w:rPr>
            </w:pPr>
            <w:r>
              <w:rPr>
                <w:rFonts w:ascii="Arial" w:cs="Arial" w:eastAsia="Arial" w:hAnsi="Arial"/>
                <w:sz w:val="13"/>
                <w:szCs w:val="13"/>
                <w:color w:val="auto"/>
              </w:rPr>
              <w:t>Capitalized interest</w:t>
            </w: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ind w:right="17"/>
              <w:spacing w:after="0"/>
              <w:rPr>
                <w:sz w:val="20"/>
                <w:szCs w:val="20"/>
                <w:color w:val="auto"/>
              </w:rPr>
            </w:pPr>
            <w:r>
              <w:rPr>
                <w:rFonts w:ascii="Arial" w:cs="Arial" w:eastAsia="Arial" w:hAnsi="Arial"/>
                <w:sz w:val="13"/>
                <w:szCs w:val="13"/>
                <w:color w:val="auto"/>
              </w:rPr>
              <w:t>5,871</w:t>
            </w:r>
          </w:p>
        </w:tc>
        <w:tc>
          <w:tcPr>
            <w:tcW w:w="100" w:type="dxa"/>
            <w:vAlign w:val="bottom"/>
          </w:tcPr>
          <w:p>
            <w:pPr>
              <w:spacing w:after="0"/>
              <w:rPr>
                <w:sz w:val="14"/>
                <w:szCs w:val="14"/>
                <w:color w:val="auto"/>
              </w:rPr>
            </w:pPr>
          </w:p>
        </w:tc>
        <w:tc>
          <w:tcPr>
            <w:tcW w:w="360" w:type="dxa"/>
            <w:vAlign w:val="bottom"/>
          </w:tcPr>
          <w:p>
            <w:pPr>
              <w:jc w:val="right"/>
              <w:ind w:right="217"/>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8,056</w:t>
            </w:r>
          </w:p>
        </w:tc>
        <w:tc>
          <w:tcPr>
            <w:tcW w:w="0" w:type="dxa"/>
            <w:vAlign w:val="bottom"/>
          </w:tcPr>
          <w:p>
            <w:pPr>
              <w:spacing w:after="0"/>
              <w:rPr>
                <w:sz w:val="1"/>
                <w:szCs w:val="1"/>
                <w:color w:val="auto"/>
              </w:rPr>
            </w:pPr>
          </w:p>
        </w:tc>
      </w:tr>
      <w:tr>
        <w:trPr>
          <w:trHeight w:val="175"/>
        </w:trPr>
        <w:tc>
          <w:tcPr>
            <w:tcW w:w="7900" w:type="dxa"/>
            <w:vAlign w:val="bottom"/>
          </w:tcPr>
          <w:p>
            <w:pPr>
              <w:spacing w:after="0"/>
              <w:rPr>
                <w:sz w:val="20"/>
                <w:szCs w:val="20"/>
                <w:color w:val="auto"/>
              </w:rPr>
            </w:pPr>
            <w:r>
              <w:rPr>
                <w:rFonts w:ascii="Arial" w:cs="Arial" w:eastAsia="Arial" w:hAnsi="Arial"/>
                <w:sz w:val="13"/>
                <w:szCs w:val="13"/>
                <w:color w:val="auto"/>
              </w:rPr>
              <w:t>Non-cash additions to property and equipment</w:t>
            </w: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ind w:right="17"/>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5"/>
                <w:szCs w:val="15"/>
                <w:color w:val="auto"/>
              </w:rPr>
            </w:pPr>
          </w:p>
        </w:tc>
        <w:tc>
          <w:tcPr>
            <w:tcW w:w="360" w:type="dxa"/>
            <w:vAlign w:val="bottom"/>
          </w:tcPr>
          <w:p>
            <w:pPr>
              <w:jc w:val="right"/>
              <w:ind w:right="217"/>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60"/>
          </w:cols>
          <w:pgMar w:left="400" w:top="364" w:right="339" w:bottom="1440" w:gutter="0" w:footer="0" w:header="0"/>
        </w:sectPr>
      </w:pPr>
    </w:p>
    <w:bookmarkStart w:id="18" w:name="page19"/>
    <w:bookmarkEnd w:id="18"/>
    <w:p>
      <w:pPr>
        <w:spacing w:after="0" w:line="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191" w:lineRule="exact"/>
        <w:rPr>
          <w:sz w:val="20"/>
          <w:szCs w:val="20"/>
          <w:color w:val="auto"/>
        </w:rPr>
      </w:pPr>
    </w:p>
    <w:p>
      <w:pPr>
        <w:jc w:val="both"/>
        <w:ind w:firstLine="486"/>
        <w:spacing w:after="0" w:line="302" w:lineRule="exact"/>
        <w:rPr>
          <w:sz w:val="20"/>
          <w:szCs w:val="20"/>
          <w:color w:val="auto"/>
        </w:rPr>
      </w:pPr>
      <w:r>
        <w:rPr>
          <w:rFonts w:ascii="Arial" w:cs="Arial" w:eastAsia="Arial" w:hAnsi="Arial"/>
          <w:sz w:val="20"/>
          <w:szCs w:val="20"/>
          <w:color w:val="auto"/>
        </w:rPr>
        <w:t>We have included both financial measures prepared in accordance with U.S. generally accepted accounting principles (“GAAP”) as well as certain supplemental non</w:t>
      </w:r>
      <w:r>
        <w:rPr>
          <w:rFonts w:ascii="MS PGothic" w:cs="MS PGothic" w:eastAsia="MS PGothic" w:hAnsi="MS PGothic"/>
          <w:sz w:val="20"/>
          <w:szCs w:val="20"/>
          <w:color w:val="auto"/>
        </w:rPr>
        <w:t>‑</w:t>
      </w:r>
      <w:r>
        <w:rPr>
          <w:rFonts w:ascii="Arial" w:cs="Arial" w:eastAsia="Arial" w:hAnsi="Arial"/>
          <w:sz w:val="20"/>
          <w:szCs w:val="20"/>
          <w:color w:val="auto"/>
        </w:rPr>
        <w:t>GAAP financial measures, including Adjusted Net Loss from continuing operations (“Adjusted Net Loss”), Adjusted EBITDA, Normalized Adjusted EBITDA, Adjusted EPS, Free Cash Flow, and ratios derived from these measures. The non</w:t>
      </w:r>
      <w:r>
        <w:rPr>
          <w:rFonts w:ascii="MS PGothic" w:cs="MS PGothic" w:eastAsia="MS PGothic" w:hAnsi="MS PGothic"/>
          <w:sz w:val="20"/>
          <w:szCs w:val="20"/>
          <w:color w:val="auto"/>
        </w:rPr>
        <w:t>‑</w:t>
      </w:r>
      <w:r>
        <w:rPr>
          <w:rFonts w:ascii="Arial" w:cs="Arial" w:eastAsia="Arial" w:hAnsi="Arial"/>
          <w:sz w:val="20"/>
          <w:szCs w:val="20"/>
          <w:color w:val="auto"/>
        </w:rPr>
        <w:t>GAAP financial measures are presented in addition to, and not as a substitute for, financial results prepared in accordance with GAAP. GAAP financial measures are presented with equal or greater prominence wherever non</w:t>
      </w:r>
      <w:r>
        <w:rPr>
          <w:rFonts w:ascii="MS PGothic" w:cs="MS PGothic" w:eastAsia="MS PGothic" w:hAnsi="MS PGothic"/>
          <w:sz w:val="20"/>
          <w:szCs w:val="20"/>
          <w:color w:val="auto"/>
        </w:rPr>
        <w:t>‑</w:t>
      </w:r>
      <w:r>
        <w:rPr>
          <w:rFonts w:ascii="Arial" w:cs="Arial" w:eastAsia="Arial" w:hAnsi="Arial"/>
          <w:sz w:val="20"/>
          <w:szCs w:val="20"/>
          <w:color w:val="auto"/>
        </w:rPr>
        <w:t>GAAP financial measures are discussed.</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Definitions</w:t>
      </w:r>
    </w:p>
    <w:p>
      <w:pPr>
        <w:spacing w:after="0" w:line="144" w:lineRule="exact"/>
        <w:rPr>
          <w:sz w:val="20"/>
          <w:szCs w:val="20"/>
          <w:color w:val="auto"/>
        </w:rPr>
      </w:pPr>
    </w:p>
    <w:p>
      <w:pPr>
        <w:jc w:val="both"/>
        <w:ind w:firstLine="486"/>
        <w:spacing w:after="0" w:line="314" w:lineRule="exact"/>
        <w:rPr>
          <w:sz w:val="20"/>
          <w:szCs w:val="20"/>
          <w:color w:val="auto"/>
        </w:rPr>
      </w:pPr>
      <w:r>
        <w:rPr>
          <w:rFonts w:ascii="Arial" w:cs="Arial" w:eastAsia="Arial" w:hAnsi="Arial"/>
          <w:sz w:val="20"/>
          <w:szCs w:val="20"/>
          <w:color w:val="auto"/>
        </w:rPr>
        <w:t>Adjusted Net Loss is defined as loss from continuing operations adjusted to exclude acquisition</w:t>
      </w:r>
      <w:r>
        <w:rPr>
          <w:rFonts w:ascii="MS PGothic" w:cs="MS PGothic" w:eastAsia="MS PGothic" w:hAnsi="MS PGothic"/>
          <w:sz w:val="20"/>
          <w:szCs w:val="20"/>
          <w:color w:val="auto"/>
        </w:rPr>
        <w:t>‑</w:t>
      </w:r>
      <w:r>
        <w:rPr>
          <w:rFonts w:ascii="Arial" w:cs="Arial" w:eastAsia="Arial" w:hAnsi="Arial"/>
          <w:sz w:val="20"/>
          <w:szCs w:val="20"/>
          <w:color w:val="auto"/>
        </w:rPr>
        <w:t>related amortization; restructuring and other costs; loss on extinguishment of debt, net; other, net; disposition</w:t>
      </w:r>
      <w:r>
        <w:rPr>
          <w:rFonts w:ascii="MS PGothic" w:cs="MS PGothic" w:eastAsia="MS PGothic" w:hAnsi="MS PGothic"/>
          <w:sz w:val="20"/>
          <w:szCs w:val="20"/>
          <w:color w:val="auto"/>
        </w:rPr>
        <w:t>‑</w:t>
      </w:r>
      <w:r>
        <w:rPr>
          <w:rFonts w:ascii="Arial" w:cs="Arial" w:eastAsia="Arial" w:hAnsi="Arial"/>
          <w:sz w:val="20"/>
          <w:szCs w:val="20"/>
          <w:color w:val="auto"/>
        </w:rPr>
        <w:t>related costs; litigation costs, net; indirect tax matters; stock</w:t>
      </w:r>
      <w:r>
        <w:rPr>
          <w:rFonts w:ascii="MS PGothic" w:cs="MS PGothic" w:eastAsia="MS PGothic" w:hAnsi="MS PGothic"/>
          <w:sz w:val="20"/>
          <w:szCs w:val="20"/>
          <w:color w:val="auto"/>
        </w:rPr>
        <w:t>‑</w:t>
      </w:r>
      <w:r>
        <w:rPr>
          <w:rFonts w:ascii="Arial" w:cs="Arial" w:eastAsia="Arial" w:hAnsi="Arial"/>
          <w:sz w:val="20"/>
          <w:szCs w:val="20"/>
          <w:color w:val="auto"/>
        </w:rPr>
        <w:t>based compensation; and the related tax impacts of these adjustments.</w:t>
      </w:r>
    </w:p>
    <w:p>
      <w:pPr>
        <w:spacing w:after="0" w:line="133" w:lineRule="exact"/>
        <w:rPr>
          <w:sz w:val="20"/>
          <w:szCs w:val="20"/>
          <w:color w:val="auto"/>
        </w:rPr>
      </w:pPr>
    </w:p>
    <w:p>
      <w:pPr>
        <w:jc w:val="both"/>
        <w:ind w:firstLine="486"/>
        <w:spacing w:after="0" w:line="301" w:lineRule="exact"/>
        <w:rPr>
          <w:sz w:val="20"/>
          <w:szCs w:val="20"/>
          <w:color w:val="auto"/>
        </w:rPr>
      </w:pPr>
      <w:r>
        <w:rPr>
          <w:rFonts w:ascii="Arial" w:cs="Arial" w:eastAsia="Arial" w:hAnsi="Arial"/>
          <w:sz w:val="20"/>
          <w:szCs w:val="20"/>
          <w:color w:val="auto"/>
        </w:rPr>
        <w:t>Adjusted EBITDA is defined as loss from continuing operations adjusted to exclude depreciation and amortization of property and equipment; amortization of capitalized implementation costs; acquisition</w:t>
      </w:r>
      <w:r>
        <w:rPr>
          <w:rFonts w:ascii="MS PGothic" w:cs="MS PGothic" w:eastAsia="MS PGothic" w:hAnsi="MS PGothic"/>
          <w:sz w:val="20"/>
          <w:szCs w:val="20"/>
          <w:color w:val="auto"/>
        </w:rPr>
        <w:t>‑</w:t>
      </w:r>
      <w:r>
        <w:rPr>
          <w:rFonts w:ascii="Arial" w:cs="Arial" w:eastAsia="Arial" w:hAnsi="Arial"/>
          <w:sz w:val="20"/>
          <w:szCs w:val="20"/>
          <w:color w:val="auto"/>
        </w:rPr>
        <w:t>related amortization; restructuring and other costs; interest expense, net; other, net; loss on extinguishment of debt, net; disposition</w:t>
      </w:r>
      <w:r>
        <w:rPr>
          <w:rFonts w:ascii="MS PGothic" w:cs="MS PGothic" w:eastAsia="MS PGothic" w:hAnsi="MS PGothic"/>
          <w:sz w:val="20"/>
          <w:szCs w:val="20"/>
          <w:color w:val="auto"/>
        </w:rPr>
        <w:t>‑</w:t>
      </w:r>
      <w:r>
        <w:rPr>
          <w:rFonts w:ascii="Arial" w:cs="Arial" w:eastAsia="Arial" w:hAnsi="Arial"/>
          <w:sz w:val="20"/>
          <w:szCs w:val="20"/>
          <w:color w:val="auto"/>
        </w:rPr>
        <w:t>related costs; litigation costs, net; indirect tax matters; stock</w:t>
      </w:r>
      <w:r>
        <w:rPr>
          <w:rFonts w:ascii="MS PGothic" w:cs="MS PGothic" w:eastAsia="MS PGothic" w:hAnsi="MS PGothic"/>
          <w:sz w:val="20"/>
          <w:szCs w:val="20"/>
          <w:color w:val="auto"/>
        </w:rPr>
        <w:t>‑</w:t>
      </w:r>
      <w:r>
        <w:rPr>
          <w:rFonts w:ascii="Arial" w:cs="Arial" w:eastAsia="Arial" w:hAnsi="Arial"/>
          <w:sz w:val="20"/>
          <w:szCs w:val="20"/>
          <w:color w:val="auto"/>
        </w:rPr>
        <w:t>based compensation; and the provision for income taxes.</w:t>
      </w:r>
    </w:p>
    <w:p>
      <w:pPr>
        <w:spacing w:after="0" w:line="133" w:lineRule="exact"/>
        <w:rPr>
          <w:sz w:val="20"/>
          <w:szCs w:val="20"/>
          <w:color w:val="auto"/>
        </w:rPr>
      </w:pPr>
    </w:p>
    <w:p>
      <w:pPr>
        <w:jc w:val="both"/>
        <w:ind w:firstLine="486"/>
        <w:spacing w:after="0" w:line="356" w:lineRule="auto"/>
        <w:rPr>
          <w:sz w:val="20"/>
          <w:szCs w:val="20"/>
          <w:color w:val="auto"/>
        </w:rPr>
      </w:pPr>
      <w:r>
        <w:rPr>
          <w:rFonts w:ascii="Arial" w:cs="Arial" w:eastAsia="Arial" w:hAnsi="Arial"/>
          <w:sz w:val="20"/>
          <w:szCs w:val="20"/>
          <w:color w:val="auto"/>
        </w:rPr>
        <w:t>Normalized Adjusted EBITDA and Pro Forma Adjusted EBITDA are defined as Adjusted EBITDA adjusted for the estimated costs historically allocated to Hospitality Solutions.</w:t>
      </w:r>
    </w:p>
    <w:p>
      <w:pPr>
        <w:spacing w:after="0" w:line="33" w:lineRule="exact"/>
        <w:rPr>
          <w:sz w:val="20"/>
          <w:szCs w:val="20"/>
          <w:color w:val="auto"/>
        </w:rPr>
      </w:pPr>
    </w:p>
    <w:p>
      <w:pPr>
        <w:jc w:val="both"/>
        <w:ind w:firstLine="486"/>
        <w:spacing w:after="0" w:line="356" w:lineRule="auto"/>
        <w:rPr>
          <w:sz w:val="20"/>
          <w:szCs w:val="20"/>
          <w:color w:val="auto"/>
        </w:rPr>
      </w:pPr>
      <w:r>
        <w:rPr>
          <w:rFonts w:ascii="Arial" w:cs="Arial" w:eastAsia="Arial" w:hAnsi="Arial"/>
          <w:sz w:val="20"/>
          <w:szCs w:val="20"/>
          <w:color w:val="auto"/>
        </w:rPr>
        <w:t>Free Cash Flow is defined as cash (used in) provided by operating activities, less cash used for additions to property and equipment.</w:t>
      </w:r>
    </w:p>
    <w:p>
      <w:pPr>
        <w:spacing w:after="0" w:line="47" w:lineRule="exact"/>
        <w:rPr>
          <w:sz w:val="20"/>
          <w:szCs w:val="20"/>
          <w:color w:val="auto"/>
        </w:rPr>
      </w:pPr>
    </w:p>
    <w:p>
      <w:pPr>
        <w:jc w:val="both"/>
        <w:ind w:firstLine="486"/>
        <w:spacing w:after="0" w:line="333" w:lineRule="auto"/>
        <w:rPr>
          <w:sz w:val="20"/>
          <w:szCs w:val="20"/>
          <w:color w:val="auto"/>
        </w:rPr>
      </w:pPr>
      <w:r>
        <w:rPr>
          <w:rFonts w:ascii="Arial" w:cs="Arial" w:eastAsia="Arial" w:hAnsi="Arial"/>
          <w:sz w:val="20"/>
          <w:szCs w:val="20"/>
          <w:color w:val="auto"/>
        </w:rPr>
        <w:t>Pro Forma Free Cash Flow is defined as Free Cash Flow adjusted to give effect to the Hospitality Solutions Sale, and we have removed the impact of the $227 million payment-in-kind interest that was recorded in conjunction with the refinancing activity in the second quarter of 2025.</w:t>
      </w:r>
    </w:p>
    <w:p>
      <w:pPr>
        <w:spacing w:after="0" w:line="22" w:lineRule="exact"/>
        <w:rPr>
          <w:sz w:val="20"/>
          <w:szCs w:val="20"/>
          <w:color w:val="auto"/>
        </w:rPr>
      </w:pPr>
    </w:p>
    <w:p>
      <w:pPr>
        <w:ind w:right="880" w:firstLine="486"/>
        <w:spacing w:after="0" w:line="368" w:lineRule="exact"/>
        <w:rPr>
          <w:sz w:val="20"/>
          <w:szCs w:val="20"/>
          <w:color w:val="auto"/>
        </w:rPr>
      </w:pPr>
      <w:r>
        <w:rPr>
          <w:rFonts w:ascii="Arial" w:cs="Arial" w:eastAsia="Arial" w:hAnsi="Arial"/>
          <w:sz w:val="20"/>
          <w:szCs w:val="20"/>
          <w:color w:val="auto"/>
        </w:rPr>
        <w:t>Adjusted EPS is defined as Adjusted Net Loss divided by diluted weighted</w:t>
      </w:r>
      <w:r>
        <w:rPr>
          <w:rFonts w:ascii="MS PGothic" w:cs="MS PGothic" w:eastAsia="MS PGothic" w:hAnsi="MS PGothic"/>
          <w:sz w:val="20"/>
          <w:szCs w:val="20"/>
          <w:color w:val="auto"/>
        </w:rPr>
        <w:t>‑</w:t>
      </w:r>
      <w:r>
        <w:rPr>
          <w:rFonts w:ascii="Arial" w:cs="Arial" w:eastAsia="Arial" w:hAnsi="Arial"/>
          <w:sz w:val="20"/>
          <w:szCs w:val="20"/>
          <w:color w:val="auto"/>
        </w:rPr>
        <w:t xml:space="preserve">average common shares outstanding. </w:t>
      </w:r>
      <w:r>
        <w:rPr>
          <w:rFonts w:ascii="Arial" w:cs="Arial" w:eastAsia="Arial" w:hAnsi="Arial"/>
          <w:sz w:val="20"/>
          <w:szCs w:val="20"/>
          <w:b w:val="1"/>
          <w:bCs w:val="1"/>
          <w:color w:val="auto"/>
        </w:rPr>
        <w:t>Purpose and Use by Management</w:t>
      </w:r>
    </w:p>
    <w:p>
      <w:pPr>
        <w:spacing w:after="0" w:line="88" w:lineRule="exact"/>
        <w:rPr>
          <w:sz w:val="20"/>
          <w:szCs w:val="20"/>
          <w:color w:val="auto"/>
        </w:rPr>
      </w:pPr>
    </w:p>
    <w:p>
      <w:pPr>
        <w:jc w:val="both"/>
        <w:ind w:firstLine="486"/>
        <w:spacing w:after="0" w:line="310" w:lineRule="exact"/>
        <w:rPr>
          <w:sz w:val="20"/>
          <w:szCs w:val="20"/>
          <w:color w:val="auto"/>
        </w:rPr>
      </w:pPr>
      <w:r>
        <w:rPr>
          <w:rFonts w:ascii="Arial" w:cs="Arial" w:eastAsia="Arial" w:hAnsi="Arial"/>
          <w:sz w:val="20"/>
          <w:szCs w:val="20"/>
          <w:color w:val="auto"/>
        </w:rPr>
        <w:t>Management and the board of directors use these non</w:t>
      </w:r>
      <w:r>
        <w:rPr>
          <w:rFonts w:ascii="MS PGothic" w:cs="MS PGothic" w:eastAsia="MS PGothic" w:hAnsi="MS PGothic"/>
          <w:sz w:val="20"/>
          <w:szCs w:val="20"/>
          <w:color w:val="auto"/>
        </w:rPr>
        <w:t>‑</w:t>
      </w:r>
      <w:r>
        <w:rPr>
          <w:rFonts w:ascii="Arial" w:cs="Arial" w:eastAsia="Arial" w:hAnsi="Arial"/>
          <w:sz w:val="20"/>
          <w:szCs w:val="20"/>
          <w:color w:val="auto"/>
        </w:rPr>
        <w:t>GAAP financial measures to evaluate trends in our operating performance, assess period</w:t>
      </w:r>
      <w:r>
        <w:rPr>
          <w:rFonts w:ascii="MS PGothic" w:cs="MS PGothic" w:eastAsia="MS PGothic" w:hAnsi="MS PGothic"/>
          <w:sz w:val="20"/>
          <w:szCs w:val="20"/>
          <w:color w:val="auto"/>
        </w:rPr>
        <w:t>‑</w:t>
      </w:r>
      <w:r>
        <w:rPr>
          <w:rFonts w:ascii="Arial" w:cs="Arial" w:eastAsia="Arial" w:hAnsi="Arial"/>
          <w:sz w:val="20"/>
          <w:szCs w:val="20"/>
          <w:color w:val="auto"/>
        </w:rPr>
        <w:t>to</w:t>
      </w:r>
      <w:r>
        <w:rPr>
          <w:rFonts w:ascii="MS PGothic" w:cs="MS PGothic" w:eastAsia="MS PGothic" w:hAnsi="MS PGothic"/>
          <w:sz w:val="20"/>
          <w:szCs w:val="20"/>
          <w:color w:val="auto"/>
        </w:rPr>
        <w:t>‑</w:t>
      </w:r>
      <w:r>
        <w:rPr>
          <w:rFonts w:ascii="Arial" w:cs="Arial" w:eastAsia="Arial" w:hAnsi="Arial"/>
          <w:sz w:val="20"/>
          <w:szCs w:val="20"/>
          <w:color w:val="auto"/>
        </w:rPr>
        <w:t>period comparability, and support internal planning and decision</w:t>
      </w:r>
      <w:r>
        <w:rPr>
          <w:rFonts w:ascii="MS PGothic" w:cs="MS PGothic" w:eastAsia="MS PGothic" w:hAnsi="MS PGothic"/>
          <w:sz w:val="20"/>
          <w:szCs w:val="20"/>
          <w:color w:val="auto"/>
        </w:rPr>
        <w:t>‑</w:t>
      </w:r>
      <w:r>
        <w:rPr>
          <w:rFonts w:ascii="Arial" w:cs="Arial" w:eastAsia="Arial" w:hAnsi="Arial"/>
          <w:sz w:val="20"/>
          <w:szCs w:val="20"/>
          <w:color w:val="auto"/>
        </w:rPr>
        <w:t>making. These measures are particularly useful in evaluating operating performance because historical results have been affected by items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23" w:lineRule="exact"/>
        <w:rPr>
          <w:sz w:val="20"/>
          <w:szCs w:val="20"/>
          <w:color w:val="auto"/>
        </w:rPr>
      </w:pPr>
    </w:p>
    <w:p>
      <w:pPr>
        <w:jc w:val="both"/>
        <w:spacing w:after="0" w:line="349" w:lineRule="auto"/>
        <w:rPr>
          <w:sz w:val="20"/>
          <w:szCs w:val="20"/>
          <w:color w:val="auto"/>
        </w:rPr>
      </w:pPr>
      <w:r>
        <w:rPr>
          <w:rFonts w:ascii="Arial" w:cs="Arial" w:eastAsia="Arial" w:hAnsi="Arial"/>
          <w:sz w:val="20"/>
          <w:szCs w:val="20"/>
          <w:color w:val="auto"/>
        </w:rPr>
        <w:t>management believes are not indicative of ongoing core operations. In addition, amounts derived from Adjusted EBITDA are used in connection with certain financial covenants under our senior secured credit facilities.</w:t>
      </w:r>
    </w:p>
    <w:p>
      <w:pPr>
        <w:jc w:val="both"/>
        <w:ind w:firstLine="486"/>
        <w:spacing w:after="0" w:line="317" w:lineRule="exact"/>
        <w:rPr>
          <w:sz w:val="20"/>
          <w:szCs w:val="20"/>
          <w:color w:val="auto"/>
        </w:rPr>
      </w:pPr>
      <w:r>
        <w:rPr>
          <w:rFonts w:ascii="Arial" w:cs="Arial" w:eastAsia="Arial" w:hAnsi="Arial"/>
          <w:sz w:val="20"/>
          <w:szCs w:val="20"/>
          <w:color w:val="auto"/>
        </w:rPr>
        <w:t>These non</w:t>
      </w:r>
      <w:r>
        <w:rPr>
          <w:rFonts w:ascii="MS PGothic" w:cs="MS PGothic" w:eastAsia="MS PGothic" w:hAnsi="MS PGothic"/>
          <w:sz w:val="20"/>
          <w:szCs w:val="20"/>
          <w:color w:val="auto"/>
        </w:rPr>
        <w:t>‑</w:t>
      </w:r>
      <w:r>
        <w:rPr>
          <w:rFonts w:ascii="Arial" w:cs="Arial" w:eastAsia="Arial" w:hAnsi="Arial"/>
          <w:sz w:val="20"/>
          <w:szCs w:val="20"/>
          <w:color w:val="auto"/>
        </w:rPr>
        <w:t>GAAP financial measures should not be considered measures of liquidity, nor do they represent cash available for discretionary use. Free Cash Flow does not represent residual cash available for distribution and does not reflect all cash requirements of the business. Other companies, including those within our industry, may define or calculate similarly titled non</w:t>
      </w:r>
      <w:r>
        <w:rPr>
          <w:rFonts w:ascii="MS PGothic" w:cs="MS PGothic" w:eastAsia="MS PGothic" w:hAnsi="MS PGothic"/>
          <w:sz w:val="20"/>
          <w:szCs w:val="20"/>
          <w:color w:val="auto"/>
        </w:rPr>
        <w:t>‑</w:t>
      </w:r>
      <w:r>
        <w:rPr>
          <w:rFonts w:ascii="Arial" w:cs="Arial" w:eastAsia="Arial" w:hAnsi="Arial"/>
          <w:sz w:val="20"/>
          <w:szCs w:val="20"/>
          <w:color w:val="auto"/>
        </w:rPr>
        <w:t>GAAP financial measures differently, limiting the usefulness of such measures as comparative tools.</w:t>
      </w:r>
    </w:p>
    <w:p>
      <w:pPr>
        <w:spacing w:after="0" w:line="72" w:lineRule="exact"/>
        <w:rPr>
          <w:sz w:val="20"/>
          <w:szCs w:val="20"/>
          <w:color w:val="auto"/>
        </w:rPr>
      </w:pPr>
    </w:p>
    <w:p>
      <w:pPr>
        <w:spacing w:after="0" w:line="230" w:lineRule="exact"/>
        <w:rPr>
          <w:sz w:val="20"/>
          <w:szCs w:val="20"/>
          <w:color w:val="auto"/>
        </w:rPr>
      </w:pPr>
      <w:r>
        <w:rPr>
          <w:rFonts w:ascii="Arial" w:cs="Arial" w:eastAsia="Arial" w:hAnsi="Arial"/>
          <w:sz w:val="20"/>
          <w:szCs w:val="20"/>
          <w:b w:val="1"/>
          <w:bCs w:val="1"/>
          <w:color w:val="auto"/>
        </w:rPr>
        <w:t>Limitations of Non</w:t>
      </w:r>
      <w:r>
        <w:rPr>
          <w:rFonts w:ascii="MS PGothic" w:cs="MS PGothic" w:eastAsia="MS PGothic" w:hAnsi="MS PGothic"/>
          <w:sz w:val="20"/>
          <w:szCs w:val="20"/>
          <w:color w:val="auto"/>
          <w:strike w:val="1"/>
        </w:rPr>
        <w:t>‑</w:t>
      </w:r>
      <w:r>
        <w:rPr>
          <w:rFonts w:ascii="Arial" w:cs="Arial" w:eastAsia="Arial" w:hAnsi="Arial"/>
          <w:sz w:val="20"/>
          <w:szCs w:val="20"/>
          <w:b w:val="1"/>
          <w:bCs w:val="1"/>
          <w:color w:val="auto"/>
        </w:rPr>
        <w:t>GAAP Financial Measures</w:t>
      </w:r>
    </w:p>
    <w:p>
      <w:pPr>
        <w:spacing w:after="0" w:line="235" w:lineRule="exact"/>
        <w:rPr>
          <w:sz w:val="20"/>
          <w:szCs w:val="20"/>
          <w:color w:val="auto"/>
        </w:rPr>
      </w:pPr>
    </w:p>
    <w:p>
      <w:pPr>
        <w:jc w:val="both"/>
        <w:ind w:firstLine="486"/>
        <w:spacing w:after="0" w:line="330" w:lineRule="auto"/>
        <w:rPr>
          <w:sz w:val="20"/>
          <w:szCs w:val="20"/>
          <w:color w:val="auto"/>
        </w:rPr>
      </w:pPr>
      <w:r>
        <w:rPr>
          <w:rFonts w:ascii="Arial" w:cs="Arial" w:eastAsia="Arial" w:hAnsi="Arial"/>
          <w:sz w:val="20"/>
          <w:szCs w:val="20"/>
          <w:color w:val="auto"/>
        </w:rPr>
        <w:t>Adjusted Net Loss, Adjusted EBITDA, Normalized Adjusted EBITDA, Adjusted EPS, Free Cash Flow, and related ratios are not recognized measures under GAAP and have inherent limitations as analytical tools. Accordingly, they should not be considered in isolation or as substitutes for net income (loss), income (loss) from continuing operations, or cash flows from operating activities prepared in accordance with GAAP.</w:t>
      </w:r>
    </w:p>
    <w:p>
      <w:pPr>
        <w:spacing w:after="0" w:line="25" w:lineRule="exact"/>
        <w:rPr>
          <w:sz w:val="20"/>
          <w:szCs w:val="20"/>
          <w:color w:val="auto"/>
        </w:rPr>
      </w:pPr>
    </w:p>
    <w:p>
      <w:pPr>
        <w:ind w:left="500"/>
        <w:spacing w:after="0" w:line="230" w:lineRule="exact"/>
        <w:rPr>
          <w:sz w:val="20"/>
          <w:szCs w:val="20"/>
          <w:color w:val="auto"/>
        </w:rPr>
      </w:pPr>
      <w:r>
        <w:rPr>
          <w:rFonts w:ascii="Arial" w:cs="Arial" w:eastAsia="Arial" w:hAnsi="Arial"/>
          <w:sz w:val="20"/>
          <w:szCs w:val="20"/>
          <w:color w:val="auto"/>
        </w:rPr>
        <w:t>The limitations of these non</w:t>
      </w:r>
      <w:r>
        <w:rPr>
          <w:rFonts w:ascii="MS PGothic" w:cs="MS PGothic" w:eastAsia="MS PGothic" w:hAnsi="MS PGothic"/>
          <w:sz w:val="20"/>
          <w:szCs w:val="20"/>
          <w:color w:val="auto"/>
        </w:rPr>
        <w:t>‑</w:t>
      </w:r>
      <w:r>
        <w:rPr>
          <w:rFonts w:ascii="Arial" w:cs="Arial" w:eastAsia="Arial" w:hAnsi="Arial"/>
          <w:sz w:val="20"/>
          <w:szCs w:val="20"/>
          <w:color w:val="auto"/>
        </w:rPr>
        <w:t>GAAP financial measures include, but are not limited to, the following:</w:t>
      </w:r>
    </w:p>
    <w:p>
      <w:pPr>
        <w:spacing w:after="0" w:line="189" w:lineRule="exact"/>
        <w:rPr>
          <w:sz w:val="20"/>
          <w:szCs w:val="20"/>
          <w:color w:val="auto"/>
        </w:rPr>
      </w:pPr>
    </w:p>
    <w:p>
      <w:pPr>
        <w:ind w:left="660" w:right="20" w:hanging="328"/>
        <w:spacing w:after="0" w:line="302" w:lineRule="exact"/>
        <w:tabs>
          <w:tab w:leader="none" w:pos="648"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They exclude certain expenses that are recurring in nature, including stock</w:t>
      </w:r>
      <w:r>
        <w:rPr>
          <w:rFonts w:ascii="MS PGothic" w:cs="MS PGothic" w:eastAsia="MS PGothic" w:hAnsi="MS PGothic"/>
          <w:sz w:val="20"/>
          <w:szCs w:val="20"/>
          <w:color w:val="auto"/>
        </w:rPr>
        <w:t>‑</w:t>
      </w:r>
      <w:r>
        <w:rPr>
          <w:rFonts w:ascii="Arial" w:cs="Arial" w:eastAsia="Arial" w:hAnsi="Arial"/>
          <w:sz w:val="20"/>
          <w:szCs w:val="20"/>
          <w:color w:val="auto"/>
        </w:rPr>
        <w:t>based compensation and amortization of acquired intangible assets.</w:t>
      </w:r>
    </w:p>
    <w:p>
      <w:pPr>
        <w:spacing w:after="0" w:line="111" w:lineRule="exact"/>
        <w:rPr>
          <w:rFonts w:ascii="Arial" w:cs="Arial" w:eastAsia="Arial" w:hAnsi="Arial"/>
          <w:sz w:val="20"/>
          <w:szCs w:val="20"/>
          <w:color w:val="auto"/>
        </w:rPr>
      </w:pPr>
    </w:p>
    <w:p>
      <w:pPr>
        <w:jc w:val="both"/>
        <w:ind w:left="660" w:hanging="328"/>
        <w:spacing w:after="0" w:line="310" w:lineRule="exact"/>
        <w:tabs>
          <w:tab w:leader="none" w:pos="648" w:val="left"/>
        </w:tabs>
        <w:numPr>
          <w:ilvl w:val="0"/>
          <w:numId w:val="12"/>
        </w:numPr>
        <w:rPr>
          <w:rFonts w:ascii="Arial" w:cs="Arial" w:eastAsia="Arial" w:hAnsi="Arial"/>
          <w:sz w:val="20"/>
          <w:szCs w:val="20"/>
          <w:color w:val="auto"/>
        </w:rPr>
      </w:pPr>
      <w:r>
        <w:rPr>
          <w:rFonts w:ascii="Arial" w:cs="Arial" w:eastAsia="Arial" w:hAnsi="Arial"/>
          <w:sz w:val="20"/>
          <w:szCs w:val="20"/>
          <w:color w:val="auto"/>
        </w:rPr>
        <w:t>Although depreciation and amortization are non</w:t>
      </w:r>
      <w:r>
        <w:rPr>
          <w:rFonts w:ascii="MS PGothic" w:cs="MS PGothic" w:eastAsia="MS PGothic" w:hAnsi="MS PGothic"/>
          <w:sz w:val="20"/>
          <w:szCs w:val="20"/>
          <w:color w:val="auto"/>
        </w:rPr>
        <w:t>‑</w:t>
      </w:r>
      <w:r>
        <w:rPr>
          <w:rFonts w:ascii="Arial" w:cs="Arial" w:eastAsia="Arial" w:hAnsi="Arial"/>
          <w:sz w:val="20"/>
          <w:szCs w:val="20"/>
          <w:color w:val="auto"/>
        </w:rPr>
        <w:t>cash expenses, the assets being depreciated and amortized may require replacement in the future, and Adjusted EBITDA does not reflect the capital expenditures required for these replacements.</w:t>
      </w:r>
    </w:p>
    <w:p>
      <w:pPr>
        <w:spacing w:after="0" w:line="144" w:lineRule="exact"/>
        <w:rPr>
          <w:rFonts w:ascii="Arial" w:cs="Arial" w:eastAsia="Arial" w:hAnsi="Arial"/>
          <w:sz w:val="20"/>
          <w:szCs w:val="20"/>
          <w:color w:val="auto"/>
        </w:rPr>
      </w:pPr>
    </w:p>
    <w:p>
      <w:pPr>
        <w:ind w:left="660" w:hanging="328"/>
        <w:spacing w:after="0" w:line="356" w:lineRule="auto"/>
        <w:tabs>
          <w:tab w:leader="none" w:pos="648" w:val="left"/>
        </w:tabs>
        <w:numPr>
          <w:ilvl w:val="0"/>
          <w:numId w:val="12"/>
        </w:numPr>
        <w:rPr>
          <w:rFonts w:ascii="Arial" w:cs="Arial" w:eastAsia="Arial" w:hAnsi="Arial"/>
          <w:sz w:val="20"/>
          <w:szCs w:val="20"/>
          <w:color w:val="auto"/>
        </w:rPr>
      </w:pPr>
      <w:r>
        <w:rPr>
          <w:rFonts w:ascii="Arial" w:cs="Arial" w:eastAsia="Arial" w:hAnsi="Arial"/>
          <w:sz w:val="20"/>
          <w:szCs w:val="20"/>
          <w:color w:val="auto"/>
        </w:rPr>
        <w:t>Adjusted EBITDA excludes amortization of capitalized implementation costs related to revenue contracts, which may result in future working capital or cash requirements.</w:t>
      </w:r>
    </w:p>
    <w:p>
      <w:pPr>
        <w:spacing w:after="0" w:line="46" w:lineRule="exact"/>
        <w:rPr>
          <w:rFonts w:ascii="Arial" w:cs="Arial" w:eastAsia="Arial" w:hAnsi="Arial"/>
          <w:sz w:val="20"/>
          <w:szCs w:val="20"/>
          <w:color w:val="auto"/>
        </w:rPr>
      </w:pPr>
    </w:p>
    <w:p>
      <w:pPr>
        <w:ind w:left="660" w:right="20" w:hanging="328"/>
        <w:spacing w:after="0" w:line="342" w:lineRule="auto"/>
        <w:tabs>
          <w:tab w:leader="none" w:pos="648" w:val="left"/>
        </w:tabs>
        <w:numPr>
          <w:ilvl w:val="0"/>
          <w:numId w:val="12"/>
        </w:numPr>
        <w:rPr>
          <w:rFonts w:ascii="Arial" w:cs="Arial" w:eastAsia="Arial" w:hAnsi="Arial"/>
          <w:sz w:val="20"/>
          <w:szCs w:val="20"/>
          <w:color w:val="auto"/>
        </w:rPr>
      </w:pPr>
      <w:r>
        <w:rPr>
          <w:rFonts w:ascii="Arial" w:cs="Arial" w:eastAsia="Arial" w:hAnsi="Arial"/>
          <w:sz w:val="20"/>
          <w:szCs w:val="20"/>
          <w:color w:val="auto"/>
        </w:rPr>
        <w:t>Adjusted Net Loss and Adjusted EBITDA do not reflect changes in, or cash requirements associated with, working capital.</w:t>
      </w:r>
    </w:p>
    <w:p>
      <w:pPr>
        <w:spacing w:after="0" w:line="60" w:lineRule="exact"/>
        <w:rPr>
          <w:rFonts w:ascii="Arial" w:cs="Arial" w:eastAsia="Arial" w:hAnsi="Arial"/>
          <w:sz w:val="20"/>
          <w:szCs w:val="20"/>
          <w:color w:val="auto"/>
        </w:rPr>
      </w:pPr>
    </w:p>
    <w:p>
      <w:pPr>
        <w:ind w:left="660" w:hanging="328"/>
        <w:spacing w:after="0" w:line="356" w:lineRule="auto"/>
        <w:tabs>
          <w:tab w:leader="none" w:pos="648" w:val="left"/>
        </w:tabs>
        <w:numPr>
          <w:ilvl w:val="0"/>
          <w:numId w:val="12"/>
        </w:numPr>
        <w:rPr>
          <w:rFonts w:ascii="Arial" w:cs="Arial" w:eastAsia="Arial" w:hAnsi="Arial"/>
          <w:sz w:val="20"/>
          <w:szCs w:val="20"/>
          <w:color w:val="auto"/>
        </w:rPr>
      </w:pPr>
      <w:r>
        <w:rPr>
          <w:rFonts w:ascii="Arial" w:cs="Arial" w:eastAsia="Arial" w:hAnsi="Arial"/>
          <w:sz w:val="20"/>
          <w:szCs w:val="20"/>
          <w:color w:val="auto"/>
        </w:rPr>
        <w:t>Adjusted EBITDA does not reflect interest expense, principal repayments, or other cash requirements necessary to service our indebtedness.</w:t>
      </w:r>
    </w:p>
    <w:p>
      <w:pPr>
        <w:spacing w:after="0" w:line="46" w:lineRule="exact"/>
        <w:rPr>
          <w:rFonts w:ascii="Arial" w:cs="Arial" w:eastAsia="Arial" w:hAnsi="Arial"/>
          <w:sz w:val="20"/>
          <w:szCs w:val="20"/>
          <w:color w:val="auto"/>
        </w:rPr>
      </w:pPr>
    </w:p>
    <w:p>
      <w:pPr>
        <w:ind w:left="640" w:hanging="308"/>
        <w:spacing w:after="0"/>
        <w:tabs>
          <w:tab w:leader="none" w:pos="6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Adjusted EBITDA does not reflect income tax payments that could reduce cash available to us.</w:t>
      </w:r>
    </w:p>
    <w:p>
      <w:pPr>
        <w:spacing w:after="0" w:line="175" w:lineRule="exact"/>
        <w:rPr>
          <w:rFonts w:ascii="Arial" w:cs="Arial" w:eastAsia="Arial" w:hAnsi="Arial"/>
          <w:sz w:val="20"/>
          <w:szCs w:val="20"/>
          <w:color w:val="auto"/>
        </w:rPr>
      </w:pPr>
    </w:p>
    <w:p>
      <w:pPr>
        <w:ind w:left="660" w:hanging="328"/>
        <w:spacing w:after="0" w:line="356" w:lineRule="auto"/>
        <w:tabs>
          <w:tab w:leader="none" w:pos="648" w:val="left"/>
        </w:tabs>
        <w:numPr>
          <w:ilvl w:val="0"/>
          <w:numId w:val="12"/>
        </w:numPr>
        <w:rPr>
          <w:rFonts w:ascii="Arial" w:cs="Arial" w:eastAsia="Arial" w:hAnsi="Arial"/>
          <w:sz w:val="20"/>
          <w:szCs w:val="20"/>
          <w:color w:val="auto"/>
        </w:rPr>
      </w:pPr>
      <w:r>
        <w:rPr>
          <w:rFonts w:ascii="Arial" w:cs="Arial" w:eastAsia="Arial" w:hAnsi="Arial"/>
          <w:sz w:val="20"/>
          <w:szCs w:val="20"/>
          <w:color w:val="auto"/>
        </w:rPr>
        <w:t>Free Cash Flow reflects changes in operating assets and liabilities determined under accrual accounting and does not reflect all cash requirements, including mandatory debt service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440" w:right="339" w:bottom="1440" w:gutter="0" w:footer="0" w:header="0"/>
        </w:sectPr>
      </w:pPr>
    </w:p>
    <w:bookmarkStart w:id="20" w:name="page21"/>
    <w:bookmarkEnd w:id="20"/>
    <w:p>
      <w:pPr>
        <w:spacing w:after="0" w:line="76" w:lineRule="exact"/>
        <w:rPr>
          <w:sz w:val="20"/>
          <w:szCs w:val="20"/>
          <w:color w:val="auto"/>
        </w:rPr>
      </w:pPr>
    </w:p>
    <w:p>
      <w:pPr>
        <w:ind w:left="660" w:hanging="328"/>
        <w:spacing w:after="0" w:line="309" w:lineRule="exact"/>
        <w:tabs>
          <w:tab w:leader="none" w:pos="648" w:val="left"/>
        </w:tabs>
        <w:numPr>
          <w:ilvl w:val="0"/>
          <w:numId w:val="13"/>
        </w:numPr>
        <w:rPr>
          <w:rFonts w:ascii="Arial" w:cs="Arial" w:eastAsia="Arial" w:hAnsi="Arial"/>
          <w:sz w:val="20"/>
          <w:szCs w:val="20"/>
          <w:color w:val="auto"/>
        </w:rPr>
      </w:pPr>
      <w:r>
        <w:rPr>
          <w:rFonts w:ascii="Arial" w:cs="Arial" w:eastAsia="Arial" w:hAnsi="Arial"/>
          <w:sz w:val="20"/>
          <w:szCs w:val="20"/>
          <w:color w:val="auto"/>
        </w:rPr>
        <w:t>Other companies, including those within our industry, may define or calculate similarly titled non</w:t>
      </w:r>
      <w:r>
        <w:rPr>
          <w:rFonts w:ascii="MS PGothic" w:cs="MS PGothic" w:eastAsia="MS PGothic" w:hAnsi="MS PGothic"/>
          <w:sz w:val="20"/>
          <w:szCs w:val="20"/>
          <w:color w:val="auto"/>
        </w:rPr>
        <w:t>‑</w:t>
      </w:r>
      <w:r>
        <w:rPr>
          <w:rFonts w:ascii="Arial" w:cs="Arial" w:eastAsia="Arial" w:hAnsi="Arial"/>
          <w:sz w:val="20"/>
          <w:szCs w:val="20"/>
          <w:color w:val="auto"/>
        </w:rPr>
        <w:t>GAAP financial measures differently, limiting the usefulness of such measures as comparative tools.</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Considerations</w:t>
      </w:r>
    </w:p>
    <w:p>
      <w:pPr>
        <w:spacing w:after="0" w:line="144" w:lineRule="exact"/>
        <w:rPr>
          <w:sz w:val="20"/>
          <w:szCs w:val="20"/>
          <w:color w:val="auto"/>
        </w:rPr>
      </w:pPr>
    </w:p>
    <w:p>
      <w:pPr>
        <w:jc w:val="both"/>
        <w:ind w:firstLine="486"/>
        <w:spacing w:after="0" w:line="319" w:lineRule="exact"/>
        <w:rPr>
          <w:sz w:val="20"/>
          <w:szCs w:val="20"/>
          <w:color w:val="auto"/>
        </w:rPr>
      </w:pPr>
      <w:r>
        <w:rPr>
          <w:rFonts w:ascii="Arial" w:cs="Arial" w:eastAsia="Arial" w:hAnsi="Arial"/>
          <w:sz w:val="20"/>
          <w:szCs w:val="20"/>
          <w:color w:val="auto"/>
        </w:rPr>
        <w:t>Investors are encouraged to review the reconciliation of non</w:t>
      </w:r>
      <w:r>
        <w:rPr>
          <w:rFonts w:ascii="MS PGothic" w:cs="MS PGothic" w:eastAsia="MS PGothic" w:hAnsi="MS PGothic"/>
          <w:sz w:val="20"/>
          <w:szCs w:val="20"/>
          <w:color w:val="auto"/>
        </w:rPr>
        <w:t>‑</w:t>
      </w:r>
      <w:r>
        <w:rPr>
          <w:rFonts w:ascii="Arial" w:cs="Arial" w:eastAsia="Arial" w:hAnsi="Arial"/>
          <w:sz w:val="20"/>
          <w:szCs w:val="20"/>
          <w:color w:val="auto"/>
        </w:rPr>
        <w:t>GAAP financial measures to the most directly comparable GAAP financial measures and to evaluate our operating performance, financial position, and liquidity using GAAP measures in conjunction with, and not in lieu of, these non</w:t>
      </w:r>
      <w:r>
        <w:rPr>
          <w:rFonts w:ascii="MS PGothic" w:cs="MS PGothic" w:eastAsia="MS PGothic" w:hAnsi="MS PGothic"/>
          <w:sz w:val="20"/>
          <w:szCs w:val="20"/>
          <w:color w:val="auto"/>
        </w:rPr>
        <w:t>‑</w:t>
      </w:r>
      <w:r>
        <w:rPr>
          <w:rFonts w:ascii="Arial" w:cs="Arial" w:eastAsia="Arial" w:hAnsi="Arial"/>
          <w:sz w:val="20"/>
          <w:szCs w:val="20"/>
          <w:color w:val="auto"/>
        </w:rPr>
        <w:t>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440" w:right="339" w:bottom="1440" w:gutter="0" w:footer="0" w:header="0"/>
        </w:sectPr>
      </w:pPr>
    </w:p>
    <w:bookmarkStart w:id="21" w:name="page22"/>
    <w:bookmarkEnd w:id="21"/>
    <w:p>
      <w:pPr>
        <w:spacing w:after="0"/>
        <w:rPr>
          <w:sz w:val="20"/>
          <w:szCs w:val="20"/>
          <w:color w:val="auto"/>
        </w:rPr>
      </w:pPr>
      <w:r>
        <w:rPr>
          <w:rFonts w:ascii="Arial" w:cs="Arial" w:eastAsia="Arial" w:hAnsi="Arial"/>
          <w:sz w:val="20"/>
          <w:szCs w:val="20"/>
          <w:b w:val="1"/>
          <w:bCs w:val="1"/>
          <w:color w:val="auto"/>
        </w:rPr>
        <w:t>Tabular Reconciliations for Non-GAAP Measures</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(In thousands, except per share amounts; unaudited)</w:t>
      </w:r>
    </w:p>
    <w:p>
      <w:pPr>
        <w:spacing w:after="0" w:line="135" w:lineRule="exact"/>
        <w:rPr>
          <w:sz w:val="20"/>
          <w:szCs w:val="20"/>
          <w:color w:val="auto"/>
        </w:rPr>
      </w:pPr>
    </w:p>
    <w:p>
      <w:pPr>
        <w:spacing w:after="0" w:line="286" w:lineRule="auto"/>
        <w:rPr>
          <w:sz w:val="20"/>
          <w:szCs w:val="20"/>
          <w:color w:val="auto"/>
        </w:rPr>
      </w:pPr>
      <w:r>
        <w:rPr>
          <w:rFonts w:ascii="Arial" w:cs="Arial" w:eastAsia="Arial" w:hAnsi="Arial"/>
          <w:sz w:val="20"/>
          <w:szCs w:val="20"/>
          <w:i w:val="1"/>
          <w:iCs w:val="1"/>
          <w:color w:val="auto"/>
        </w:rPr>
        <w:t>Reconciliation of Loss from continuing operations to Adjusted Net Loss from continuing operations and Loss from continuing operations to Adjusted EBITDA:</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5180" w:type="dxa"/>
            <w:vAlign w:val="bottom"/>
          </w:tcPr>
          <w:p>
            <w:pPr>
              <w:spacing w:after="0"/>
              <w:rPr>
                <w:sz w:val="15"/>
                <w:szCs w:val="15"/>
                <w:color w:val="auto"/>
              </w:rPr>
            </w:pPr>
          </w:p>
        </w:tc>
        <w:tc>
          <w:tcPr>
            <w:tcW w:w="3120" w:type="dxa"/>
            <w:vAlign w:val="bottom"/>
            <w:gridSpan w:val="6"/>
          </w:tcPr>
          <w:p>
            <w:pPr>
              <w:ind w:left="460"/>
              <w:spacing w:after="0"/>
              <w:rPr>
                <w:sz w:val="20"/>
                <w:szCs w:val="20"/>
                <w:color w:val="auto"/>
              </w:rPr>
            </w:pPr>
            <w:r>
              <w:rPr>
                <w:rFonts w:ascii="Arial" w:cs="Arial" w:eastAsia="Arial" w:hAnsi="Arial"/>
                <w:sz w:val="13"/>
                <w:szCs w:val="13"/>
                <w:b w:val="1"/>
                <w:bCs w:val="1"/>
                <w:color w:val="auto"/>
              </w:rPr>
              <w:t>Three Months Ended December 31,</w:t>
            </w:r>
          </w:p>
        </w:tc>
        <w:tc>
          <w:tcPr>
            <w:tcW w:w="320" w:type="dxa"/>
            <w:vAlign w:val="bottom"/>
          </w:tcPr>
          <w:p>
            <w:pPr>
              <w:spacing w:after="0"/>
              <w:rPr>
                <w:sz w:val="15"/>
                <w:szCs w:val="15"/>
                <w:color w:val="auto"/>
              </w:rPr>
            </w:pPr>
          </w:p>
        </w:tc>
        <w:tc>
          <w:tcPr>
            <w:tcW w:w="2600" w:type="dxa"/>
            <w:vAlign w:val="bottom"/>
            <w:gridSpan w:val="4"/>
          </w:tcPr>
          <w:p>
            <w:pPr>
              <w:jc w:val="right"/>
              <w:ind w:right="637"/>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169"/>
        </w:trPr>
        <w:tc>
          <w:tcPr>
            <w:tcW w:w="518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5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3"/>
                <w:szCs w:val="13"/>
                <w:b w:val="1"/>
                <w:bCs w:val="1"/>
                <w:color w:val="auto"/>
              </w:rPr>
              <w:t>2024</w:t>
            </w:r>
          </w:p>
        </w:tc>
        <w:tc>
          <w:tcPr>
            <w:tcW w:w="0" w:type="dxa"/>
            <w:vAlign w:val="bottom"/>
          </w:tcPr>
          <w:p>
            <w:pPr>
              <w:spacing w:after="0"/>
              <w:rPr>
                <w:sz w:val="1"/>
                <w:szCs w:val="1"/>
                <w:color w:val="auto"/>
              </w:rPr>
            </w:pPr>
          </w:p>
        </w:tc>
      </w:tr>
      <w:tr>
        <w:trPr>
          <w:trHeight w:val="163"/>
        </w:trPr>
        <w:tc>
          <w:tcPr>
            <w:tcW w:w="5180" w:type="dxa"/>
            <w:vAlign w:val="bottom"/>
          </w:tcPr>
          <w:p>
            <w:pPr>
              <w:spacing w:after="0" w:line="146" w:lineRule="exact"/>
              <w:rPr>
                <w:sz w:val="20"/>
                <w:szCs w:val="20"/>
                <w:color w:val="auto"/>
              </w:rPr>
            </w:pPr>
            <w:r>
              <w:rPr>
                <w:rFonts w:ascii="Arial" w:cs="Arial" w:eastAsia="Arial" w:hAnsi="Arial"/>
                <w:sz w:val="13"/>
                <w:szCs w:val="13"/>
                <w:color w:val="auto"/>
              </w:rPr>
              <w:t>Loss from continuing operations</w:t>
            </w:r>
          </w:p>
        </w:tc>
        <w:tc>
          <w:tcPr>
            <w:tcW w:w="900" w:type="dxa"/>
            <w:vAlign w:val="bottom"/>
          </w:tcPr>
          <w:p>
            <w:pPr>
              <w:jc w:val="right"/>
              <w:ind w:right="737"/>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(99,260)</w:t>
            </w:r>
          </w:p>
        </w:tc>
        <w:tc>
          <w:tcPr>
            <w:tcW w:w="12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(72,309)</w:t>
            </w:r>
          </w:p>
        </w:tc>
        <w:tc>
          <w:tcPr>
            <w:tcW w:w="12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(255,490)</w:t>
            </w:r>
          </w:p>
        </w:tc>
        <w:tc>
          <w:tcPr>
            <w:tcW w:w="100" w:type="dxa"/>
            <w:vAlign w:val="bottom"/>
          </w:tcPr>
          <w:p>
            <w:pPr>
              <w:spacing w:after="0"/>
              <w:rPr>
                <w:sz w:val="14"/>
                <w:szCs w:val="14"/>
                <w:color w:val="auto"/>
              </w:rPr>
            </w:pPr>
          </w:p>
        </w:tc>
        <w:tc>
          <w:tcPr>
            <w:tcW w:w="32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(271,548)</w:t>
            </w:r>
          </w:p>
        </w:tc>
        <w:tc>
          <w:tcPr>
            <w:tcW w:w="0" w:type="dxa"/>
            <w:vAlign w:val="bottom"/>
          </w:tcPr>
          <w:p>
            <w:pPr>
              <w:spacing w:after="0"/>
              <w:rPr>
                <w:sz w:val="1"/>
                <w:szCs w:val="1"/>
                <w:color w:val="auto"/>
              </w:rPr>
            </w:pPr>
          </w:p>
        </w:tc>
      </w:tr>
      <w:tr>
        <w:trPr>
          <w:trHeight w:val="171"/>
        </w:trPr>
        <w:tc>
          <w:tcPr>
            <w:tcW w:w="5180" w:type="dxa"/>
            <w:vAlign w:val="bottom"/>
          </w:tcPr>
          <w:p>
            <w:pPr>
              <w:spacing w:after="0"/>
              <w:rPr>
                <w:sz w:val="20"/>
                <w:szCs w:val="20"/>
                <w:color w:val="auto"/>
              </w:rPr>
            </w:pPr>
            <w:r>
              <w:rPr>
                <w:rFonts w:ascii="Arial" w:cs="Arial" w:eastAsia="Arial" w:hAnsi="Arial"/>
                <w:sz w:val="13"/>
                <w:szCs w:val="13"/>
                <w:color w:val="auto"/>
              </w:rPr>
              <w:t>Adjustments:</w:t>
            </w: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180" w:type="dxa"/>
            <w:vAlign w:val="bottom"/>
          </w:tcPr>
          <w:p>
            <w:pPr>
              <w:ind w:left="340"/>
              <w:spacing w:after="0"/>
              <w:rPr>
                <w:sz w:val="20"/>
                <w:szCs w:val="20"/>
                <w:color w:val="auto"/>
              </w:rPr>
            </w:pPr>
            <w:r>
              <w:rPr>
                <w:rFonts w:ascii="Arial" w:cs="Arial" w:eastAsia="Arial" w:hAnsi="Arial"/>
                <w:sz w:val="13"/>
                <w:szCs w:val="13"/>
                <w:color w:val="auto"/>
              </w:rPr>
              <w:t>Acquisition-related amortization</w:t>
            </w:r>
            <w:r>
              <w:rPr>
                <w:rFonts w:ascii="Arial" w:cs="Arial" w:eastAsia="Arial" w:hAnsi="Arial"/>
                <w:sz w:val="16"/>
                <w:szCs w:val="16"/>
                <w:color w:val="auto"/>
                <w:vertAlign w:val="superscript"/>
              </w:rPr>
              <w:t>(1a)</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7,730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7,819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30,924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32,592</w:t>
            </w:r>
          </w:p>
        </w:tc>
        <w:tc>
          <w:tcPr>
            <w:tcW w:w="0" w:type="dxa"/>
            <w:vAlign w:val="bottom"/>
          </w:tcPr>
          <w:p>
            <w:pPr>
              <w:spacing w:after="0"/>
              <w:rPr>
                <w:sz w:val="1"/>
                <w:szCs w:val="1"/>
                <w:color w:val="auto"/>
              </w:rPr>
            </w:pPr>
          </w:p>
        </w:tc>
      </w:tr>
      <w:tr>
        <w:trPr>
          <w:trHeight w:val="176"/>
        </w:trPr>
        <w:tc>
          <w:tcPr>
            <w:tcW w:w="5180" w:type="dxa"/>
            <w:vAlign w:val="bottom"/>
          </w:tcPr>
          <w:p>
            <w:pPr>
              <w:ind w:left="340"/>
              <w:spacing w:after="0" w:line="175" w:lineRule="exact"/>
              <w:rPr>
                <w:sz w:val="20"/>
                <w:szCs w:val="20"/>
                <w:color w:val="auto"/>
              </w:rPr>
            </w:pPr>
            <w:r>
              <w:rPr>
                <w:rFonts w:ascii="Arial" w:cs="Arial" w:eastAsia="Arial" w:hAnsi="Arial"/>
                <w:sz w:val="13"/>
                <w:szCs w:val="13"/>
                <w:color w:val="auto"/>
              </w:rPr>
              <w:t>Restructuring and other costs</w:t>
            </w:r>
            <w:r>
              <w:rPr>
                <w:rFonts w:ascii="Arial" w:cs="Arial" w:eastAsia="Arial" w:hAnsi="Arial"/>
                <w:sz w:val="16"/>
                <w:szCs w:val="16"/>
                <w:color w:val="auto"/>
                <w:vertAlign w:val="superscript"/>
              </w:rPr>
              <w:t>(2)</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50,611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1,862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54,426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11,653</w:t>
            </w:r>
          </w:p>
        </w:tc>
        <w:tc>
          <w:tcPr>
            <w:tcW w:w="0" w:type="dxa"/>
            <w:vAlign w:val="bottom"/>
          </w:tcPr>
          <w:p>
            <w:pPr>
              <w:spacing w:after="0"/>
              <w:rPr>
                <w:sz w:val="1"/>
                <w:szCs w:val="1"/>
                <w:color w:val="auto"/>
              </w:rPr>
            </w:pPr>
          </w:p>
        </w:tc>
      </w:tr>
      <w:tr>
        <w:trPr>
          <w:trHeight w:val="166"/>
        </w:trPr>
        <w:tc>
          <w:tcPr>
            <w:tcW w:w="5180" w:type="dxa"/>
            <w:vAlign w:val="bottom"/>
          </w:tcPr>
          <w:p>
            <w:pPr>
              <w:ind w:left="340"/>
              <w:spacing w:after="0"/>
              <w:rPr>
                <w:sz w:val="20"/>
                <w:szCs w:val="20"/>
                <w:color w:val="auto"/>
              </w:rPr>
            </w:pPr>
            <w:r>
              <w:rPr>
                <w:rFonts w:ascii="Arial" w:cs="Arial" w:eastAsia="Arial" w:hAnsi="Arial"/>
                <w:sz w:val="13"/>
                <w:szCs w:val="13"/>
                <w:color w:val="auto"/>
              </w:rPr>
              <w:t>Loss on extinguishment of debt</w:t>
            </w: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5,498</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90,680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37,994</w:t>
            </w:r>
          </w:p>
        </w:tc>
        <w:tc>
          <w:tcPr>
            <w:tcW w:w="0" w:type="dxa"/>
            <w:vAlign w:val="bottom"/>
          </w:tcPr>
          <w:p>
            <w:pPr>
              <w:spacing w:after="0"/>
              <w:rPr>
                <w:sz w:val="1"/>
                <w:szCs w:val="1"/>
                <w:color w:val="auto"/>
              </w:rPr>
            </w:pPr>
          </w:p>
        </w:tc>
      </w:tr>
      <w:tr>
        <w:trPr>
          <w:trHeight w:val="185"/>
        </w:trPr>
        <w:tc>
          <w:tcPr>
            <w:tcW w:w="5180" w:type="dxa"/>
            <w:vAlign w:val="bottom"/>
          </w:tcPr>
          <w:p>
            <w:pPr>
              <w:ind w:left="340"/>
              <w:spacing w:after="0"/>
              <w:rPr>
                <w:sz w:val="20"/>
                <w:szCs w:val="20"/>
                <w:color w:val="auto"/>
              </w:rPr>
            </w:pPr>
            <w:r>
              <w:rPr>
                <w:rFonts w:ascii="Arial" w:cs="Arial" w:eastAsia="Arial" w:hAnsi="Arial"/>
                <w:sz w:val="13"/>
                <w:szCs w:val="13"/>
                <w:color w:val="auto"/>
              </w:rPr>
              <w:t>Other, net</w:t>
            </w:r>
            <w:r>
              <w:rPr>
                <w:rFonts w:ascii="Arial" w:cs="Arial" w:eastAsia="Arial" w:hAnsi="Arial"/>
                <w:sz w:val="16"/>
                <w:szCs w:val="16"/>
                <w:color w:val="auto"/>
                <w:vertAlign w:val="superscript"/>
              </w:rPr>
              <w:t>(3)</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6,041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19,765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(391)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20,628</w:t>
            </w:r>
          </w:p>
        </w:tc>
        <w:tc>
          <w:tcPr>
            <w:tcW w:w="0" w:type="dxa"/>
            <w:vAlign w:val="bottom"/>
          </w:tcPr>
          <w:p>
            <w:pPr>
              <w:spacing w:after="0"/>
              <w:rPr>
                <w:sz w:val="1"/>
                <w:szCs w:val="1"/>
                <w:color w:val="auto"/>
              </w:rPr>
            </w:pPr>
          </w:p>
        </w:tc>
      </w:tr>
      <w:tr>
        <w:trPr>
          <w:trHeight w:val="176"/>
        </w:trPr>
        <w:tc>
          <w:tcPr>
            <w:tcW w:w="5180" w:type="dxa"/>
            <w:vAlign w:val="bottom"/>
          </w:tcPr>
          <w:p>
            <w:pPr>
              <w:ind w:left="340"/>
              <w:spacing w:after="0" w:line="175" w:lineRule="exact"/>
              <w:rPr>
                <w:sz w:val="20"/>
                <w:szCs w:val="20"/>
                <w:color w:val="auto"/>
              </w:rPr>
            </w:pPr>
            <w:r>
              <w:rPr>
                <w:rFonts w:ascii="Arial" w:cs="Arial" w:eastAsia="Arial" w:hAnsi="Arial"/>
                <w:sz w:val="13"/>
                <w:szCs w:val="13"/>
                <w:color w:val="auto"/>
              </w:rPr>
              <w:t>Disposition-related costs</w:t>
            </w:r>
            <w:r>
              <w:rPr>
                <w:rFonts w:ascii="Arial" w:cs="Arial" w:eastAsia="Arial" w:hAnsi="Arial"/>
                <w:sz w:val="16"/>
                <w:szCs w:val="16"/>
                <w:color w:val="auto"/>
                <w:vertAlign w:val="superscript"/>
              </w:rPr>
              <w:t>(4)</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(285)</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1,347</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955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3,923</w:t>
            </w:r>
          </w:p>
        </w:tc>
        <w:tc>
          <w:tcPr>
            <w:tcW w:w="0" w:type="dxa"/>
            <w:vAlign w:val="bottom"/>
          </w:tcPr>
          <w:p>
            <w:pPr>
              <w:spacing w:after="0"/>
              <w:rPr>
                <w:sz w:val="1"/>
                <w:szCs w:val="1"/>
                <w:color w:val="auto"/>
              </w:rPr>
            </w:pPr>
          </w:p>
        </w:tc>
      </w:tr>
      <w:tr>
        <w:trPr>
          <w:trHeight w:val="175"/>
        </w:trPr>
        <w:tc>
          <w:tcPr>
            <w:tcW w:w="5180" w:type="dxa"/>
            <w:vAlign w:val="bottom"/>
          </w:tcPr>
          <w:p>
            <w:pPr>
              <w:ind w:left="340"/>
              <w:spacing w:after="0" w:line="175" w:lineRule="exact"/>
              <w:rPr>
                <w:sz w:val="20"/>
                <w:szCs w:val="20"/>
                <w:color w:val="auto"/>
              </w:rPr>
            </w:pPr>
            <w:r>
              <w:rPr>
                <w:rFonts w:ascii="Arial" w:cs="Arial" w:eastAsia="Arial" w:hAnsi="Arial"/>
                <w:sz w:val="13"/>
                <w:szCs w:val="13"/>
                <w:color w:val="auto"/>
              </w:rPr>
              <w:t>Litigation costs, net</w:t>
            </w:r>
            <w:r>
              <w:rPr>
                <w:rFonts w:ascii="Arial" w:cs="Arial" w:eastAsia="Arial" w:hAnsi="Arial"/>
                <w:sz w:val="16"/>
                <w:szCs w:val="16"/>
                <w:color w:val="auto"/>
                <w:vertAlign w:val="superscript"/>
              </w:rPr>
              <w:t>(5)</w:t>
            </w:r>
          </w:p>
        </w:tc>
        <w:tc>
          <w:tcPr>
            <w:tcW w:w="900" w:type="dxa"/>
            <w:vAlign w:val="bottom"/>
          </w:tcPr>
          <w:p>
            <w:pPr>
              <w:spacing w:after="0"/>
              <w:rPr>
                <w:sz w:val="15"/>
                <w:szCs w:val="15"/>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6,384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6,875</w:t>
            </w:r>
          </w:p>
        </w:tc>
        <w:tc>
          <w:tcPr>
            <w:tcW w:w="0" w:type="dxa"/>
            <w:vAlign w:val="bottom"/>
          </w:tcPr>
          <w:p>
            <w:pPr>
              <w:spacing w:after="0"/>
              <w:rPr>
                <w:sz w:val="1"/>
                <w:szCs w:val="1"/>
                <w:color w:val="auto"/>
              </w:rPr>
            </w:pPr>
          </w:p>
        </w:tc>
      </w:tr>
      <w:tr>
        <w:trPr>
          <w:trHeight w:val="176"/>
        </w:trPr>
        <w:tc>
          <w:tcPr>
            <w:tcW w:w="5180" w:type="dxa"/>
            <w:vAlign w:val="bottom"/>
          </w:tcPr>
          <w:p>
            <w:pPr>
              <w:ind w:left="340"/>
              <w:spacing w:after="0" w:line="175" w:lineRule="exact"/>
              <w:rPr>
                <w:sz w:val="20"/>
                <w:szCs w:val="20"/>
                <w:color w:val="auto"/>
              </w:rPr>
            </w:pPr>
            <w:r>
              <w:rPr>
                <w:rFonts w:ascii="Arial" w:cs="Arial" w:eastAsia="Arial" w:hAnsi="Arial"/>
                <w:sz w:val="13"/>
                <w:szCs w:val="13"/>
                <w:color w:val="auto"/>
              </w:rPr>
              <w:t>Indirect tax matters</w:t>
            </w:r>
            <w:r>
              <w:rPr>
                <w:rFonts w:ascii="Arial" w:cs="Arial" w:eastAsia="Arial" w:hAnsi="Arial"/>
                <w:sz w:val="16"/>
                <w:szCs w:val="16"/>
                <w:color w:val="auto"/>
                <w:vertAlign w:val="superscript"/>
              </w:rPr>
              <w:t>(6)</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(1,620)</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2,888</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(5,656)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21,732</w:t>
            </w:r>
          </w:p>
        </w:tc>
        <w:tc>
          <w:tcPr>
            <w:tcW w:w="0" w:type="dxa"/>
            <w:vAlign w:val="bottom"/>
          </w:tcPr>
          <w:p>
            <w:pPr>
              <w:spacing w:after="0"/>
              <w:rPr>
                <w:sz w:val="1"/>
                <w:szCs w:val="1"/>
                <w:color w:val="auto"/>
              </w:rPr>
            </w:pPr>
          </w:p>
        </w:tc>
      </w:tr>
      <w:tr>
        <w:trPr>
          <w:trHeight w:val="166"/>
        </w:trPr>
        <w:tc>
          <w:tcPr>
            <w:tcW w:w="5180" w:type="dxa"/>
            <w:vAlign w:val="bottom"/>
          </w:tcPr>
          <w:p>
            <w:pPr>
              <w:ind w:left="340"/>
              <w:spacing w:after="0"/>
              <w:rPr>
                <w:sz w:val="20"/>
                <w:szCs w:val="20"/>
                <w:color w:val="auto"/>
              </w:rPr>
            </w:pPr>
            <w:r>
              <w:rPr>
                <w:rFonts w:ascii="Arial" w:cs="Arial" w:eastAsia="Arial" w:hAnsi="Arial"/>
                <w:sz w:val="13"/>
                <w:szCs w:val="13"/>
                <w:color w:val="auto"/>
              </w:rPr>
              <w:t>Stock-based compensation</w:t>
            </w: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10,889</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12,407</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45,661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49,027</w:t>
            </w:r>
          </w:p>
        </w:tc>
        <w:tc>
          <w:tcPr>
            <w:tcW w:w="0" w:type="dxa"/>
            <w:vAlign w:val="bottom"/>
          </w:tcPr>
          <w:p>
            <w:pPr>
              <w:spacing w:after="0"/>
              <w:rPr>
                <w:sz w:val="1"/>
                <w:szCs w:val="1"/>
                <w:color w:val="auto"/>
              </w:rPr>
            </w:pPr>
          </w:p>
        </w:tc>
      </w:tr>
      <w:tr>
        <w:trPr>
          <w:trHeight w:val="189"/>
        </w:trPr>
        <w:tc>
          <w:tcPr>
            <w:tcW w:w="5180" w:type="dxa"/>
            <w:vAlign w:val="bottom"/>
          </w:tcPr>
          <w:p>
            <w:pPr>
              <w:ind w:left="340"/>
              <w:spacing w:after="0"/>
              <w:rPr>
                <w:sz w:val="20"/>
                <w:szCs w:val="20"/>
                <w:color w:val="auto"/>
              </w:rPr>
            </w:pPr>
            <w:r>
              <w:rPr>
                <w:rFonts w:ascii="Arial" w:cs="Arial" w:eastAsia="Arial" w:hAnsi="Arial"/>
                <w:sz w:val="13"/>
                <w:szCs w:val="13"/>
                <w:color w:val="auto"/>
              </w:rPr>
              <w:t>Tax impact of adjustments</w:t>
            </w:r>
            <w:r>
              <w:rPr>
                <w:rFonts w:ascii="Arial" w:cs="Arial" w:eastAsia="Arial" w:hAnsi="Arial"/>
                <w:sz w:val="16"/>
                <w:szCs w:val="16"/>
                <w:color w:val="auto"/>
                <w:vertAlign w:val="superscript"/>
              </w:rPr>
              <w:t>(7)</w:t>
            </w: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15,478</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(9,669)</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24,056</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11,266</w:t>
            </w:r>
          </w:p>
        </w:tc>
        <w:tc>
          <w:tcPr>
            <w:tcW w:w="0" w:type="dxa"/>
            <w:vAlign w:val="bottom"/>
          </w:tcPr>
          <w:p>
            <w:pPr>
              <w:spacing w:after="0"/>
              <w:rPr>
                <w:sz w:val="1"/>
                <w:szCs w:val="1"/>
                <w:color w:val="auto"/>
              </w:rPr>
            </w:pPr>
          </w:p>
        </w:tc>
      </w:tr>
      <w:tr>
        <w:trPr>
          <w:trHeight w:val="163"/>
        </w:trPr>
        <w:tc>
          <w:tcPr>
            <w:tcW w:w="5180" w:type="dxa"/>
            <w:vAlign w:val="bottom"/>
          </w:tcPr>
          <w:p>
            <w:pPr>
              <w:spacing w:after="0"/>
              <w:rPr>
                <w:sz w:val="20"/>
                <w:szCs w:val="20"/>
                <w:color w:val="auto"/>
              </w:rPr>
            </w:pPr>
            <w:r>
              <w:rPr>
                <w:rFonts w:ascii="Arial" w:cs="Arial" w:eastAsia="Arial" w:hAnsi="Arial"/>
                <w:sz w:val="13"/>
                <w:szCs w:val="13"/>
                <w:color w:val="auto"/>
              </w:rPr>
              <w:t>Adjusted Net Loss from continuing operations</w:t>
            </w:r>
          </w:p>
        </w:tc>
        <w:tc>
          <w:tcPr>
            <w:tcW w:w="900" w:type="dxa"/>
            <w:vAlign w:val="bottom"/>
            <w:tcBorders>
              <w:bottom w:val="single" w:sz="8" w:color="auto"/>
            </w:tcBorders>
          </w:tcPr>
          <w:p>
            <w:pPr>
              <w:jc w:val="right"/>
              <w:ind w:right="737"/>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(4,918)</w:t>
            </w:r>
          </w:p>
        </w:tc>
        <w:tc>
          <w:tcPr>
            <w:tcW w:w="120" w:type="dxa"/>
            <w:vAlign w:val="bottom"/>
          </w:tcPr>
          <w:p>
            <w:pPr>
              <w:spacing w:after="0"/>
              <w:rPr>
                <w:sz w:val="14"/>
                <w:szCs w:val="14"/>
                <w:color w:val="auto"/>
              </w:rPr>
            </w:pPr>
          </w:p>
        </w:tc>
        <w:tc>
          <w:tcPr>
            <w:tcW w:w="3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(29,506)</w:t>
            </w:r>
          </w:p>
        </w:tc>
        <w:tc>
          <w:tcPr>
            <w:tcW w:w="120" w:type="dxa"/>
            <w:vAlign w:val="bottom"/>
          </w:tcPr>
          <w:p>
            <w:pPr>
              <w:spacing w:after="0"/>
              <w:rPr>
                <w:sz w:val="14"/>
                <w:szCs w:val="14"/>
                <w:color w:val="auto"/>
              </w:rPr>
            </w:pPr>
          </w:p>
        </w:tc>
        <w:tc>
          <w:tcPr>
            <w:tcW w:w="3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(14,835)</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(75,858)</w:t>
            </w:r>
          </w:p>
        </w:tc>
        <w:tc>
          <w:tcPr>
            <w:tcW w:w="0" w:type="dxa"/>
            <w:vAlign w:val="bottom"/>
          </w:tcPr>
          <w:p>
            <w:pPr>
              <w:spacing w:after="0"/>
              <w:rPr>
                <w:sz w:val="1"/>
                <w:szCs w:val="1"/>
                <w:color w:val="auto"/>
              </w:rPr>
            </w:pPr>
          </w:p>
        </w:tc>
      </w:tr>
      <w:tr>
        <w:trPr>
          <w:trHeight w:val="27"/>
        </w:trPr>
        <w:tc>
          <w:tcPr>
            <w:tcW w:w="5180" w:type="dxa"/>
            <w:vAlign w:val="bottom"/>
            <w:vMerge w:val="restart"/>
          </w:tcPr>
          <w:p>
            <w:pPr>
              <w:spacing w:after="0"/>
              <w:rPr>
                <w:sz w:val="20"/>
                <w:szCs w:val="20"/>
                <w:color w:val="auto"/>
              </w:rPr>
            </w:pPr>
            <w:r>
              <w:rPr>
                <w:rFonts w:ascii="Arial" w:cs="Arial" w:eastAsia="Arial" w:hAnsi="Arial"/>
                <w:sz w:val="13"/>
                <w:szCs w:val="13"/>
                <w:color w:val="auto"/>
              </w:rPr>
              <w:t>Adjusted Net Loss from continuing operations per share</w:t>
            </w: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5180" w:type="dxa"/>
            <w:vAlign w:val="bottom"/>
            <w:vMerge w:val="continue"/>
          </w:tcPr>
          <w:p>
            <w:pPr>
              <w:spacing w:after="0"/>
              <w:rPr>
                <w:sz w:val="13"/>
                <w:szCs w:val="13"/>
                <w:color w:val="auto"/>
              </w:rPr>
            </w:pPr>
          </w:p>
        </w:tc>
        <w:tc>
          <w:tcPr>
            <w:tcW w:w="900" w:type="dxa"/>
            <w:vAlign w:val="bottom"/>
          </w:tcPr>
          <w:p>
            <w:pPr>
              <w:jc w:val="right"/>
              <w:ind w:right="737"/>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(0.01)</w:t>
            </w:r>
          </w:p>
        </w:tc>
        <w:tc>
          <w:tcPr>
            <w:tcW w:w="120" w:type="dxa"/>
            <w:vAlign w:val="bottom"/>
          </w:tcPr>
          <w:p>
            <w:pPr>
              <w:spacing w:after="0"/>
              <w:rPr>
                <w:sz w:val="13"/>
                <w:szCs w:val="13"/>
                <w:color w:val="auto"/>
              </w:rPr>
            </w:pP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(0.08)</w:t>
            </w:r>
          </w:p>
        </w:tc>
        <w:tc>
          <w:tcPr>
            <w:tcW w:w="120" w:type="dxa"/>
            <w:vAlign w:val="bottom"/>
          </w:tcPr>
          <w:p>
            <w:pPr>
              <w:spacing w:after="0"/>
              <w:rPr>
                <w:sz w:val="13"/>
                <w:szCs w:val="13"/>
                <w:color w:val="auto"/>
              </w:rPr>
            </w:pPr>
          </w:p>
        </w:tc>
        <w:tc>
          <w:tcPr>
            <w:tcW w:w="320" w:type="dxa"/>
            <w:vAlign w:val="bottom"/>
          </w:tcPr>
          <w:p>
            <w:pPr>
              <w:jc w:val="right"/>
              <w:ind w:right="177"/>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(0.04)</w:t>
            </w:r>
          </w:p>
        </w:tc>
        <w:tc>
          <w:tcPr>
            <w:tcW w:w="100" w:type="dxa"/>
            <w:vAlign w:val="bottom"/>
          </w:tcPr>
          <w:p>
            <w:pPr>
              <w:spacing w:after="0"/>
              <w:rPr>
                <w:sz w:val="13"/>
                <w:szCs w:val="13"/>
                <w:color w:val="auto"/>
              </w:rPr>
            </w:pPr>
          </w:p>
        </w:tc>
        <w:tc>
          <w:tcPr>
            <w:tcW w:w="32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(0.20)</w:t>
            </w:r>
          </w:p>
        </w:tc>
        <w:tc>
          <w:tcPr>
            <w:tcW w:w="0" w:type="dxa"/>
            <w:vAlign w:val="bottom"/>
          </w:tcPr>
          <w:p>
            <w:pPr>
              <w:spacing w:after="0"/>
              <w:rPr>
                <w:sz w:val="1"/>
                <w:szCs w:val="1"/>
                <w:color w:val="auto"/>
              </w:rPr>
            </w:pPr>
          </w:p>
        </w:tc>
      </w:tr>
      <w:tr>
        <w:trPr>
          <w:trHeight w:val="158"/>
        </w:trPr>
        <w:tc>
          <w:tcPr>
            <w:tcW w:w="5180" w:type="dxa"/>
            <w:vAlign w:val="bottom"/>
          </w:tcPr>
          <w:p>
            <w:pPr>
              <w:spacing w:after="0"/>
              <w:rPr>
                <w:sz w:val="20"/>
                <w:szCs w:val="20"/>
                <w:color w:val="auto"/>
              </w:rPr>
            </w:pPr>
            <w:r>
              <w:rPr>
                <w:rFonts w:ascii="Arial" w:cs="Arial" w:eastAsia="Arial" w:hAnsi="Arial"/>
                <w:sz w:val="13"/>
                <w:szCs w:val="13"/>
                <w:color w:val="auto"/>
              </w:rPr>
              <w:t>Diluted weighted-average common shares outstanding</w:t>
            </w:r>
          </w:p>
        </w:tc>
        <w:tc>
          <w:tcPr>
            <w:tcW w:w="9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7"/>
              </w:rPr>
              <w:t>394,944</w:t>
            </w:r>
          </w:p>
        </w:tc>
        <w:tc>
          <w:tcPr>
            <w:tcW w:w="1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385,880</w:t>
            </w:r>
          </w:p>
        </w:tc>
        <w:tc>
          <w:tcPr>
            <w:tcW w:w="1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391,707</w:t>
            </w: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383,733</w:t>
            </w:r>
          </w:p>
        </w:tc>
        <w:tc>
          <w:tcPr>
            <w:tcW w:w="0" w:type="dxa"/>
            <w:vAlign w:val="bottom"/>
          </w:tcPr>
          <w:p>
            <w:pPr>
              <w:spacing w:after="0"/>
              <w:rPr>
                <w:sz w:val="1"/>
                <w:szCs w:val="1"/>
                <w:color w:val="auto"/>
              </w:rPr>
            </w:pPr>
          </w:p>
        </w:tc>
      </w:tr>
      <w:tr>
        <w:trPr>
          <w:trHeight w:val="21"/>
        </w:trPr>
        <w:tc>
          <w:tcPr>
            <w:tcW w:w="5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5180" w:type="dxa"/>
            <w:vAlign w:val="bottom"/>
          </w:tcPr>
          <w:p>
            <w:pPr>
              <w:spacing w:after="0"/>
              <w:rPr>
                <w:sz w:val="20"/>
                <w:szCs w:val="20"/>
                <w:color w:val="auto"/>
              </w:rPr>
            </w:pPr>
            <w:r>
              <w:rPr>
                <w:rFonts w:ascii="Arial" w:cs="Arial" w:eastAsia="Arial" w:hAnsi="Arial"/>
                <w:sz w:val="13"/>
                <w:szCs w:val="13"/>
                <w:color w:val="auto"/>
              </w:rPr>
              <w:t>Loss from continuing operations</w:t>
            </w:r>
          </w:p>
        </w:tc>
        <w:tc>
          <w:tcPr>
            <w:tcW w:w="900" w:type="dxa"/>
            <w:vAlign w:val="bottom"/>
          </w:tcPr>
          <w:p>
            <w:pPr>
              <w:jc w:val="right"/>
              <w:ind w:right="737"/>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(99,260)</w:t>
            </w:r>
          </w:p>
        </w:tc>
        <w:tc>
          <w:tcPr>
            <w:tcW w:w="120" w:type="dxa"/>
            <w:vAlign w:val="bottom"/>
          </w:tcPr>
          <w:p>
            <w:pPr>
              <w:spacing w:after="0"/>
              <w:rPr>
                <w:sz w:val="24"/>
                <w:szCs w:val="24"/>
                <w:color w:val="auto"/>
              </w:rPr>
            </w:pP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(72,309)</w:t>
            </w:r>
          </w:p>
        </w:tc>
        <w:tc>
          <w:tcPr>
            <w:tcW w:w="120" w:type="dxa"/>
            <w:vAlign w:val="bottom"/>
          </w:tcPr>
          <w:p>
            <w:pPr>
              <w:spacing w:after="0"/>
              <w:rPr>
                <w:sz w:val="24"/>
                <w:szCs w:val="24"/>
                <w:color w:val="auto"/>
              </w:rPr>
            </w:pPr>
          </w:p>
        </w:tc>
        <w:tc>
          <w:tcPr>
            <w:tcW w:w="320" w:type="dxa"/>
            <w:vAlign w:val="bottom"/>
          </w:tcPr>
          <w:p>
            <w:pPr>
              <w:jc w:val="right"/>
              <w:ind w:right="177"/>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(255,490)</w:t>
            </w:r>
          </w:p>
        </w:tc>
        <w:tc>
          <w:tcPr>
            <w:tcW w:w="100" w:type="dxa"/>
            <w:vAlign w:val="bottom"/>
          </w:tcPr>
          <w:p>
            <w:pPr>
              <w:spacing w:after="0"/>
              <w:rPr>
                <w:sz w:val="24"/>
                <w:szCs w:val="24"/>
                <w:color w:val="auto"/>
              </w:rPr>
            </w:pPr>
          </w:p>
        </w:tc>
        <w:tc>
          <w:tcPr>
            <w:tcW w:w="32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(271,548)</w:t>
            </w:r>
          </w:p>
        </w:tc>
        <w:tc>
          <w:tcPr>
            <w:tcW w:w="0" w:type="dxa"/>
            <w:vAlign w:val="bottom"/>
          </w:tcPr>
          <w:p>
            <w:pPr>
              <w:spacing w:after="0"/>
              <w:rPr>
                <w:sz w:val="1"/>
                <w:szCs w:val="1"/>
                <w:color w:val="auto"/>
              </w:rPr>
            </w:pPr>
          </w:p>
        </w:tc>
      </w:tr>
      <w:tr>
        <w:trPr>
          <w:trHeight w:val="175"/>
        </w:trPr>
        <w:tc>
          <w:tcPr>
            <w:tcW w:w="5180" w:type="dxa"/>
            <w:vAlign w:val="bottom"/>
          </w:tcPr>
          <w:p>
            <w:pPr>
              <w:spacing w:after="0"/>
              <w:rPr>
                <w:sz w:val="20"/>
                <w:szCs w:val="20"/>
                <w:color w:val="auto"/>
              </w:rPr>
            </w:pPr>
            <w:r>
              <w:rPr>
                <w:rFonts w:ascii="Arial" w:cs="Arial" w:eastAsia="Arial" w:hAnsi="Arial"/>
                <w:sz w:val="13"/>
                <w:szCs w:val="13"/>
                <w:color w:val="auto"/>
              </w:rPr>
              <w:t>Adjustments:</w:t>
            </w: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180" w:type="dxa"/>
            <w:vAlign w:val="bottom"/>
          </w:tcPr>
          <w:p>
            <w:pPr>
              <w:ind w:left="340"/>
              <w:spacing w:after="0"/>
              <w:rPr>
                <w:sz w:val="20"/>
                <w:szCs w:val="20"/>
                <w:color w:val="auto"/>
              </w:rPr>
            </w:pPr>
            <w:r>
              <w:rPr>
                <w:rFonts w:ascii="Arial" w:cs="Arial" w:eastAsia="Arial" w:hAnsi="Arial"/>
                <w:sz w:val="13"/>
                <w:szCs w:val="13"/>
                <w:color w:val="auto"/>
              </w:rPr>
              <w:t>Depreciation and amortization of property and equipment</w:t>
            </w:r>
            <w:r>
              <w:rPr>
                <w:rFonts w:ascii="Arial" w:cs="Arial" w:eastAsia="Arial" w:hAnsi="Arial"/>
                <w:sz w:val="16"/>
                <w:szCs w:val="16"/>
                <w:color w:val="auto"/>
                <w:vertAlign w:val="superscript"/>
              </w:rPr>
              <w:t>(1b)</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17,474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15,518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63,573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64,231</w:t>
            </w:r>
          </w:p>
        </w:tc>
        <w:tc>
          <w:tcPr>
            <w:tcW w:w="0" w:type="dxa"/>
            <w:vAlign w:val="bottom"/>
          </w:tcPr>
          <w:p>
            <w:pPr>
              <w:spacing w:after="0"/>
              <w:rPr>
                <w:sz w:val="1"/>
                <w:szCs w:val="1"/>
                <w:color w:val="auto"/>
              </w:rPr>
            </w:pPr>
          </w:p>
        </w:tc>
      </w:tr>
      <w:tr>
        <w:trPr>
          <w:trHeight w:val="176"/>
        </w:trPr>
        <w:tc>
          <w:tcPr>
            <w:tcW w:w="5180" w:type="dxa"/>
            <w:vAlign w:val="bottom"/>
          </w:tcPr>
          <w:p>
            <w:pPr>
              <w:ind w:left="340"/>
              <w:spacing w:after="0" w:line="175" w:lineRule="exact"/>
              <w:rPr>
                <w:sz w:val="20"/>
                <w:szCs w:val="20"/>
                <w:color w:val="auto"/>
              </w:rPr>
            </w:pPr>
            <w:r>
              <w:rPr>
                <w:rFonts w:ascii="Arial" w:cs="Arial" w:eastAsia="Arial" w:hAnsi="Arial"/>
                <w:sz w:val="13"/>
                <w:szCs w:val="13"/>
                <w:color w:val="auto"/>
              </w:rPr>
              <w:t>Amortization of capitalized implementation costs</w:t>
            </w:r>
            <w:r>
              <w:rPr>
                <w:rFonts w:ascii="Arial" w:cs="Arial" w:eastAsia="Arial" w:hAnsi="Arial"/>
                <w:sz w:val="16"/>
                <w:szCs w:val="16"/>
                <w:color w:val="auto"/>
                <w:vertAlign w:val="superscript"/>
              </w:rPr>
              <w:t>(1c)</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2,733</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3,229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11,423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12,698</w:t>
            </w:r>
          </w:p>
        </w:tc>
        <w:tc>
          <w:tcPr>
            <w:tcW w:w="0" w:type="dxa"/>
            <w:vAlign w:val="bottom"/>
          </w:tcPr>
          <w:p>
            <w:pPr>
              <w:spacing w:after="0"/>
              <w:rPr>
                <w:sz w:val="1"/>
                <w:szCs w:val="1"/>
                <w:color w:val="auto"/>
              </w:rPr>
            </w:pPr>
          </w:p>
        </w:tc>
      </w:tr>
      <w:tr>
        <w:trPr>
          <w:trHeight w:val="176"/>
        </w:trPr>
        <w:tc>
          <w:tcPr>
            <w:tcW w:w="5180" w:type="dxa"/>
            <w:vAlign w:val="bottom"/>
          </w:tcPr>
          <w:p>
            <w:pPr>
              <w:ind w:left="340"/>
              <w:spacing w:after="0" w:line="175" w:lineRule="exact"/>
              <w:rPr>
                <w:sz w:val="20"/>
                <w:szCs w:val="20"/>
                <w:color w:val="auto"/>
              </w:rPr>
            </w:pPr>
            <w:r>
              <w:rPr>
                <w:rFonts w:ascii="Arial" w:cs="Arial" w:eastAsia="Arial" w:hAnsi="Arial"/>
                <w:sz w:val="13"/>
                <w:szCs w:val="13"/>
                <w:color w:val="auto"/>
              </w:rPr>
              <w:t>Acquisition-related amortization</w:t>
            </w:r>
            <w:r>
              <w:rPr>
                <w:rFonts w:ascii="Arial" w:cs="Arial" w:eastAsia="Arial" w:hAnsi="Arial"/>
                <w:sz w:val="16"/>
                <w:szCs w:val="16"/>
                <w:color w:val="auto"/>
                <w:vertAlign w:val="superscript"/>
              </w:rPr>
              <w:t>(1a)</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7,730</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7,819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30,924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32,592</w:t>
            </w:r>
          </w:p>
        </w:tc>
        <w:tc>
          <w:tcPr>
            <w:tcW w:w="0" w:type="dxa"/>
            <w:vAlign w:val="bottom"/>
          </w:tcPr>
          <w:p>
            <w:pPr>
              <w:spacing w:after="0"/>
              <w:rPr>
                <w:sz w:val="1"/>
                <w:szCs w:val="1"/>
                <w:color w:val="auto"/>
              </w:rPr>
            </w:pPr>
          </w:p>
        </w:tc>
      </w:tr>
      <w:tr>
        <w:trPr>
          <w:trHeight w:val="175"/>
        </w:trPr>
        <w:tc>
          <w:tcPr>
            <w:tcW w:w="5180" w:type="dxa"/>
            <w:vAlign w:val="bottom"/>
          </w:tcPr>
          <w:p>
            <w:pPr>
              <w:ind w:left="340"/>
              <w:spacing w:after="0" w:line="175" w:lineRule="exact"/>
              <w:rPr>
                <w:sz w:val="20"/>
                <w:szCs w:val="20"/>
                <w:color w:val="auto"/>
              </w:rPr>
            </w:pPr>
            <w:r>
              <w:rPr>
                <w:rFonts w:ascii="Arial" w:cs="Arial" w:eastAsia="Arial" w:hAnsi="Arial"/>
                <w:sz w:val="13"/>
                <w:szCs w:val="13"/>
                <w:color w:val="auto"/>
              </w:rPr>
              <w:t>Restructuring and other costs</w:t>
            </w:r>
            <w:r>
              <w:rPr>
                <w:rFonts w:ascii="Arial" w:cs="Arial" w:eastAsia="Arial" w:hAnsi="Arial"/>
                <w:sz w:val="16"/>
                <w:szCs w:val="16"/>
                <w:color w:val="auto"/>
                <w:vertAlign w:val="superscript"/>
              </w:rPr>
              <w:t>(2)</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50,611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1,862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54,426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11,653</w:t>
            </w:r>
          </w:p>
        </w:tc>
        <w:tc>
          <w:tcPr>
            <w:tcW w:w="0" w:type="dxa"/>
            <w:vAlign w:val="bottom"/>
          </w:tcPr>
          <w:p>
            <w:pPr>
              <w:spacing w:after="0"/>
              <w:rPr>
                <w:sz w:val="1"/>
                <w:szCs w:val="1"/>
                <w:color w:val="auto"/>
              </w:rPr>
            </w:pPr>
          </w:p>
        </w:tc>
      </w:tr>
      <w:tr>
        <w:trPr>
          <w:trHeight w:val="166"/>
        </w:trPr>
        <w:tc>
          <w:tcPr>
            <w:tcW w:w="5180" w:type="dxa"/>
            <w:vAlign w:val="bottom"/>
          </w:tcPr>
          <w:p>
            <w:pPr>
              <w:ind w:left="340"/>
              <w:spacing w:after="0"/>
              <w:rPr>
                <w:sz w:val="20"/>
                <w:szCs w:val="20"/>
                <w:color w:val="auto"/>
              </w:rPr>
            </w:pPr>
            <w:r>
              <w:rPr>
                <w:rFonts w:ascii="Arial" w:cs="Arial" w:eastAsia="Arial" w:hAnsi="Arial"/>
                <w:sz w:val="13"/>
                <w:szCs w:val="13"/>
                <w:color w:val="auto"/>
              </w:rPr>
              <w:t>Interest expense, net</w:t>
            </w: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97"/>
              </w:rPr>
              <w:t>115,483</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111,839</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447,829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453,274</w:t>
            </w:r>
          </w:p>
        </w:tc>
        <w:tc>
          <w:tcPr>
            <w:tcW w:w="0" w:type="dxa"/>
            <w:vAlign w:val="bottom"/>
          </w:tcPr>
          <w:p>
            <w:pPr>
              <w:spacing w:after="0"/>
              <w:rPr>
                <w:sz w:val="1"/>
                <w:szCs w:val="1"/>
                <w:color w:val="auto"/>
              </w:rPr>
            </w:pPr>
          </w:p>
        </w:tc>
      </w:tr>
      <w:tr>
        <w:trPr>
          <w:trHeight w:val="185"/>
        </w:trPr>
        <w:tc>
          <w:tcPr>
            <w:tcW w:w="5180" w:type="dxa"/>
            <w:vAlign w:val="bottom"/>
          </w:tcPr>
          <w:p>
            <w:pPr>
              <w:ind w:left="340"/>
              <w:spacing w:after="0"/>
              <w:rPr>
                <w:sz w:val="20"/>
                <w:szCs w:val="20"/>
                <w:color w:val="auto"/>
              </w:rPr>
            </w:pPr>
            <w:r>
              <w:rPr>
                <w:rFonts w:ascii="Arial" w:cs="Arial" w:eastAsia="Arial" w:hAnsi="Arial"/>
                <w:sz w:val="13"/>
                <w:szCs w:val="13"/>
                <w:color w:val="auto"/>
              </w:rPr>
              <w:t>Other, net</w:t>
            </w:r>
            <w:r>
              <w:rPr>
                <w:rFonts w:ascii="Arial" w:cs="Arial" w:eastAsia="Arial" w:hAnsi="Arial"/>
                <w:sz w:val="16"/>
                <w:szCs w:val="16"/>
                <w:color w:val="auto"/>
                <w:vertAlign w:val="superscript"/>
              </w:rPr>
              <w:t>(3)</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6,041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19,765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(391)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20,628</w:t>
            </w:r>
          </w:p>
        </w:tc>
        <w:tc>
          <w:tcPr>
            <w:tcW w:w="0" w:type="dxa"/>
            <w:vAlign w:val="bottom"/>
          </w:tcPr>
          <w:p>
            <w:pPr>
              <w:spacing w:after="0"/>
              <w:rPr>
                <w:sz w:val="1"/>
                <w:szCs w:val="1"/>
                <w:color w:val="auto"/>
              </w:rPr>
            </w:pPr>
          </w:p>
        </w:tc>
      </w:tr>
      <w:tr>
        <w:trPr>
          <w:trHeight w:val="166"/>
        </w:trPr>
        <w:tc>
          <w:tcPr>
            <w:tcW w:w="5180" w:type="dxa"/>
            <w:vAlign w:val="bottom"/>
          </w:tcPr>
          <w:p>
            <w:pPr>
              <w:ind w:left="340"/>
              <w:spacing w:after="0"/>
              <w:rPr>
                <w:sz w:val="20"/>
                <w:szCs w:val="20"/>
                <w:color w:val="auto"/>
              </w:rPr>
            </w:pPr>
            <w:r>
              <w:rPr>
                <w:rFonts w:ascii="Arial" w:cs="Arial" w:eastAsia="Arial" w:hAnsi="Arial"/>
                <w:sz w:val="13"/>
                <w:szCs w:val="13"/>
                <w:color w:val="auto"/>
              </w:rPr>
              <w:t>Loss on extinguishment of debt, net</w:t>
            </w: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5,498</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90,680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37,994</w:t>
            </w:r>
          </w:p>
        </w:tc>
        <w:tc>
          <w:tcPr>
            <w:tcW w:w="0" w:type="dxa"/>
            <w:vAlign w:val="bottom"/>
          </w:tcPr>
          <w:p>
            <w:pPr>
              <w:spacing w:after="0"/>
              <w:rPr>
                <w:sz w:val="1"/>
                <w:szCs w:val="1"/>
                <w:color w:val="auto"/>
              </w:rPr>
            </w:pPr>
          </w:p>
        </w:tc>
      </w:tr>
      <w:tr>
        <w:trPr>
          <w:trHeight w:val="185"/>
        </w:trPr>
        <w:tc>
          <w:tcPr>
            <w:tcW w:w="5180" w:type="dxa"/>
            <w:vAlign w:val="bottom"/>
          </w:tcPr>
          <w:p>
            <w:pPr>
              <w:ind w:left="340"/>
              <w:spacing w:after="0"/>
              <w:rPr>
                <w:sz w:val="20"/>
                <w:szCs w:val="20"/>
                <w:color w:val="auto"/>
              </w:rPr>
            </w:pPr>
            <w:r>
              <w:rPr>
                <w:rFonts w:ascii="Arial" w:cs="Arial" w:eastAsia="Arial" w:hAnsi="Arial"/>
                <w:sz w:val="13"/>
                <w:szCs w:val="13"/>
                <w:color w:val="auto"/>
              </w:rPr>
              <w:t>Disposition-related costs</w:t>
            </w:r>
            <w:r>
              <w:rPr>
                <w:rFonts w:ascii="Arial" w:cs="Arial" w:eastAsia="Arial" w:hAnsi="Arial"/>
                <w:sz w:val="16"/>
                <w:szCs w:val="16"/>
                <w:color w:val="auto"/>
                <w:vertAlign w:val="superscript"/>
              </w:rPr>
              <w:t>(4)</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(285)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1,347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955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3,923</w:t>
            </w:r>
          </w:p>
        </w:tc>
        <w:tc>
          <w:tcPr>
            <w:tcW w:w="0" w:type="dxa"/>
            <w:vAlign w:val="bottom"/>
          </w:tcPr>
          <w:p>
            <w:pPr>
              <w:spacing w:after="0"/>
              <w:rPr>
                <w:sz w:val="1"/>
                <w:szCs w:val="1"/>
                <w:color w:val="auto"/>
              </w:rPr>
            </w:pPr>
          </w:p>
        </w:tc>
      </w:tr>
      <w:tr>
        <w:trPr>
          <w:trHeight w:val="175"/>
        </w:trPr>
        <w:tc>
          <w:tcPr>
            <w:tcW w:w="5180" w:type="dxa"/>
            <w:vAlign w:val="bottom"/>
          </w:tcPr>
          <w:p>
            <w:pPr>
              <w:ind w:left="340"/>
              <w:spacing w:after="0" w:line="175" w:lineRule="exact"/>
              <w:rPr>
                <w:sz w:val="20"/>
                <w:szCs w:val="20"/>
                <w:color w:val="auto"/>
              </w:rPr>
            </w:pPr>
            <w:r>
              <w:rPr>
                <w:rFonts w:ascii="Arial" w:cs="Arial" w:eastAsia="Arial" w:hAnsi="Arial"/>
                <w:sz w:val="13"/>
                <w:szCs w:val="13"/>
                <w:color w:val="auto"/>
              </w:rPr>
              <w:t>Litigation costs, net</w:t>
            </w:r>
            <w:r>
              <w:rPr>
                <w:rFonts w:ascii="Arial" w:cs="Arial" w:eastAsia="Arial" w:hAnsi="Arial"/>
                <w:sz w:val="16"/>
                <w:szCs w:val="16"/>
                <w:color w:val="auto"/>
                <w:vertAlign w:val="superscript"/>
              </w:rPr>
              <w:t>(5)</w:t>
            </w:r>
          </w:p>
        </w:tc>
        <w:tc>
          <w:tcPr>
            <w:tcW w:w="900" w:type="dxa"/>
            <w:vAlign w:val="bottom"/>
          </w:tcPr>
          <w:p>
            <w:pPr>
              <w:spacing w:after="0"/>
              <w:rPr>
                <w:sz w:val="15"/>
                <w:szCs w:val="15"/>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6,384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6,875</w:t>
            </w:r>
          </w:p>
        </w:tc>
        <w:tc>
          <w:tcPr>
            <w:tcW w:w="0" w:type="dxa"/>
            <w:vAlign w:val="bottom"/>
          </w:tcPr>
          <w:p>
            <w:pPr>
              <w:spacing w:after="0"/>
              <w:rPr>
                <w:sz w:val="1"/>
                <w:szCs w:val="1"/>
                <w:color w:val="auto"/>
              </w:rPr>
            </w:pPr>
          </w:p>
        </w:tc>
      </w:tr>
      <w:tr>
        <w:trPr>
          <w:trHeight w:val="175"/>
        </w:trPr>
        <w:tc>
          <w:tcPr>
            <w:tcW w:w="5180" w:type="dxa"/>
            <w:vAlign w:val="bottom"/>
          </w:tcPr>
          <w:p>
            <w:pPr>
              <w:ind w:left="340"/>
              <w:spacing w:after="0" w:line="175" w:lineRule="exact"/>
              <w:rPr>
                <w:sz w:val="20"/>
                <w:szCs w:val="20"/>
                <w:color w:val="auto"/>
              </w:rPr>
            </w:pPr>
            <w:r>
              <w:rPr>
                <w:rFonts w:ascii="Arial" w:cs="Arial" w:eastAsia="Arial" w:hAnsi="Arial"/>
                <w:sz w:val="13"/>
                <w:szCs w:val="13"/>
                <w:color w:val="auto"/>
              </w:rPr>
              <w:t>Indirect tax matters</w:t>
            </w:r>
            <w:r>
              <w:rPr>
                <w:rFonts w:ascii="Arial" w:cs="Arial" w:eastAsia="Arial" w:hAnsi="Arial"/>
                <w:sz w:val="16"/>
                <w:szCs w:val="16"/>
                <w:color w:val="auto"/>
                <w:vertAlign w:val="superscript"/>
              </w:rPr>
              <w:t>(6)</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(1,620)</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2,888</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(5,656)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21,732</w:t>
            </w:r>
          </w:p>
        </w:tc>
        <w:tc>
          <w:tcPr>
            <w:tcW w:w="0" w:type="dxa"/>
            <w:vAlign w:val="bottom"/>
          </w:tcPr>
          <w:p>
            <w:pPr>
              <w:spacing w:after="0"/>
              <w:rPr>
                <w:sz w:val="1"/>
                <w:szCs w:val="1"/>
                <w:color w:val="auto"/>
              </w:rPr>
            </w:pPr>
          </w:p>
        </w:tc>
      </w:tr>
      <w:tr>
        <w:trPr>
          <w:trHeight w:val="166"/>
        </w:trPr>
        <w:tc>
          <w:tcPr>
            <w:tcW w:w="5180" w:type="dxa"/>
            <w:vAlign w:val="bottom"/>
          </w:tcPr>
          <w:p>
            <w:pPr>
              <w:ind w:left="340"/>
              <w:spacing w:after="0"/>
              <w:rPr>
                <w:sz w:val="20"/>
                <w:szCs w:val="20"/>
                <w:color w:val="auto"/>
              </w:rPr>
            </w:pPr>
            <w:r>
              <w:rPr>
                <w:rFonts w:ascii="Arial" w:cs="Arial" w:eastAsia="Arial" w:hAnsi="Arial"/>
                <w:sz w:val="13"/>
                <w:szCs w:val="13"/>
                <w:color w:val="auto"/>
              </w:rPr>
              <w:t>Stock-based compensation</w:t>
            </w: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10,889</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12,407</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45,661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49,027</w:t>
            </w:r>
          </w:p>
        </w:tc>
        <w:tc>
          <w:tcPr>
            <w:tcW w:w="0" w:type="dxa"/>
            <w:vAlign w:val="bottom"/>
          </w:tcPr>
          <w:p>
            <w:pPr>
              <w:spacing w:after="0"/>
              <w:rPr>
                <w:sz w:val="1"/>
                <w:szCs w:val="1"/>
                <w:color w:val="auto"/>
              </w:rPr>
            </w:pPr>
          </w:p>
        </w:tc>
      </w:tr>
      <w:tr>
        <w:trPr>
          <w:trHeight w:val="183"/>
        </w:trPr>
        <w:tc>
          <w:tcPr>
            <w:tcW w:w="5180" w:type="dxa"/>
            <w:vAlign w:val="bottom"/>
          </w:tcPr>
          <w:p>
            <w:pPr>
              <w:ind w:left="340"/>
              <w:spacing w:after="0"/>
              <w:rPr>
                <w:sz w:val="20"/>
                <w:szCs w:val="20"/>
                <w:color w:val="auto"/>
              </w:rPr>
            </w:pPr>
            <w:r>
              <w:rPr>
                <w:rFonts w:ascii="Arial" w:cs="Arial" w:eastAsia="Arial" w:hAnsi="Arial"/>
                <w:sz w:val="13"/>
                <w:szCs w:val="13"/>
                <w:color w:val="auto"/>
              </w:rPr>
              <w:t>Provision for income taxes</w:t>
            </w:r>
          </w:p>
        </w:tc>
        <w:tc>
          <w:tcPr>
            <w:tcW w:w="9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(4,812)</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(12,457)</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16,256</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4,107</w:t>
            </w:r>
          </w:p>
        </w:tc>
        <w:tc>
          <w:tcPr>
            <w:tcW w:w="0" w:type="dxa"/>
            <w:vAlign w:val="bottom"/>
          </w:tcPr>
          <w:p>
            <w:pPr>
              <w:spacing w:after="0"/>
              <w:rPr>
                <w:sz w:val="1"/>
                <w:szCs w:val="1"/>
                <w:color w:val="auto"/>
              </w:rPr>
            </w:pPr>
          </w:p>
        </w:tc>
      </w:tr>
      <w:tr>
        <w:trPr>
          <w:trHeight w:val="166"/>
        </w:trPr>
        <w:tc>
          <w:tcPr>
            <w:tcW w:w="5180" w:type="dxa"/>
            <w:vAlign w:val="bottom"/>
          </w:tcPr>
          <w:p>
            <w:pPr>
              <w:spacing w:after="0" w:line="148" w:lineRule="exact"/>
              <w:rPr>
                <w:sz w:val="20"/>
                <w:szCs w:val="20"/>
                <w:color w:val="auto"/>
              </w:rPr>
            </w:pPr>
            <w:r>
              <w:rPr>
                <w:rFonts w:ascii="Arial" w:cs="Arial" w:eastAsia="Arial" w:hAnsi="Arial"/>
                <w:sz w:val="13"/>
                <w:szCs w:val="13"/>
                <w:color w:val="auto"/>
              </w:rPr>
              <w:t>Adjusted EBITDA</w:t>
            </w:r>
          </w:p>
        </w:tc>
        <w:tc>
          <w:tcPr>
            <w:tcW w:w="900" w:type="dxa"/>
            <w:vAlign w:val="bottom"/>
          </w:tcPr>
          <w:p>
            <w:pPr>
              <w:jc w:val="right"/>
              <w:ind w:right="737"/>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w w:val="97"/>
              </w:rPr>
              <w:t>110,482</w:t>
            </w:r>
          </w:p>
        </w:tc>
        <w:tc>
          <w:tcPr>
            <w:tcW w:w="12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98,292</w:t>
            </w:r>
          </w:p>
        </w:tc>
        <w:tc>
          <w:tcPr>
            <w:tcW w:w="12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500,190</w:t>
            </w:r>
          </w:p>
        </w:tc>
        <w:tc>
          <w:tcPr>
            <w:tcW w:w="100" w:type="dxa"/>
            <w:vAlign w:val="bottom"/>
          </w:tcPr>
          <w:p>
            <w:pPr>
              <w:spacing w:after="0"/>
              <w:rPr>
                <w:sz w:val="14"/>
                <w:szCs w:val="14"/>
                <w:color w:val="auto"/>
              </w:rPr>
            </w:pPr>
          </w:p>
        </w:tc>
        <w:tc>
          <w:tcPr>
            <w:tcW w:w="32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447,186</w:t>
            </w:r>
          </w:p>
        </w:tc>
        <w:tc>
          <w:tcPr>
            <w:tcW w:w="0" w:type="dxa"/>
            <w:vAlign w:val="bottom"/>
          </w:tcPr>
          <w:p>
            <w:pPr>
              <w:spacing w:after="0"/>
              <w:rPr>
                <w:sz w:val="1"/>
                <w:szCs w:val="1"/>
                <w:color w:val="auto"/>
              </w:rPr>
            </w:pPr>
          </w:p>
        </w:tc>
      </w:tr>
      <w:tr>
        <w:trPr>
          <w:trHeight w:val="179"/>
        </w:trPr>
        <w:tc>
          <w:tcPr>
            <w:tcW w:w="5180" w:type="dxa"/>
            <w:vAlign w:val="bottom"/>
          </w:tcPr>
          <w:p>
            <w:pPr>
              <w:spacing w:after="0"/>
              <w:rPr>
                <w:sz w:val="20"/>
                <w:szCs w:val="20"/>
                <w:color w:val="auto"/>
              </w:rPr>
            </w:pPr>
            <w:r>
              <w:rPr>
                <w:rFonts w:ascii="Arial" w:cs="Arial" w:eastAsia="Arial" w:hAnsi="Arial"/>
                <w:sz w:val="13"/>
                <w:szCs w:val="13"/>
                <w:color w:val="auto"/>
              </w:rPr>
              <w:t>Plus estimated costs historically allocated to Hospitality Solutions</w:t>
            </w:r>
          </w:p>
        </w:tc>
        <w:tc>
          <w:tcPr>
            <w:tcW w:w="9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8,235</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9,638</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35,391</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37,778</w:t>
            </w:r>
          </w:p>
        </w:tc>
        <w:tc>
          <w:tcPr>
            <w:tcW w:w="0" w:type="dxa"/>
            <w:vAlign w:val="bottom"/>
          </w:tcPr>
          <w:p>
            <w:pPr>
              <w:spacing w:after="0"/>
              <w:rPr>
                <w:sz w:val="1"/>
                <w:szCs w:val="1"/>
                <w:color w:val="auto"/>
              </w:rPr>
            </w:pPr>
          </w:p>
        </w:tc>
      </w:tr>
      <w:tr>
        <w:trPr>
          <w:trHeight w:val="171"/>
        </w:trPr>
        <w:tc>
          <w:tcPr>
            <w:tcW w:w="5180" w:type="dxa"/>
            <w:vAlign w:val="bottom"/>
          </w:tcPr>
          <w:p>
            <w:pPr>
              <w:spacing w:after="0"/>
              <w:rPr>
                <w:sz w:val="20"/>
                <w:szCs w:val="20"/>
                <w:color w:val="auto"/>
              </w:rPr>
            </w:pPr>
            <w:r>
              <w:rPr>
                <w:rFonts w:ascii="Arial" w:cs="Arial" w:eastAsia="Arial" w:hAnsi="Arial"/>
                <w:sz w:val="13"/>
                <w:szCs w:val="13"/>
                <w:color w:val="auto"/>
              </w:rPr>
              <w:t>Normalized Adjusted EBITDA</w:t>
            </w:r>
          </w:p>
        </w:tc>
        <w:tc>
          <w:tcPr>
            <w:tcW w:w="900" w:type="dxa"/>
            <w:vAlign w:val="bottom"/>
            <w:tcBorders>
              <w:bottom w:val="single" w:sz="8" w:color="auto"/>
            </w:tcBorders>
          </w:tcPr>
          <w:p>
            <w:pPr>
              <w:jc w:val="right"/>
              <w:ind w:right="737"/>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7"/>
              </w:rPr>
              <w:t>118,717</w:t>
            </w:r>
          </w:p>
        </w:tc>
        <w:tc>
          <w:tcPr>
            <w:tcW w:w="120" w:type="dxa"/>
            <w:vAlign w:val="bottom"/>
          </w:tcPr>
          <w:p>
            <w:pPr>
              <w:spacing w:after="0"/>
              <w:rPr>
                <w:sz w:val="14"/>
                <w:szCs w:val="14"/>
                <w:color w:val="auto"/>
              </w:rPr>
            </w:pPr>
          </w:p>
        </w:tc>
        <w:tc>
          <w:tcPr>
            <w:tcW w:w="3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107,930</w:t>
            </w:r>
          </w:p>
        </w:tc>
        <w:tc>
          <w:tcPr>
            <w:tcW w:w="120" w:type="dxa"/>
            <w:vAlign w:val="bottom"/>
          </w:tcPr>
          <w:p>
            <w:pPr>
              <w:spacing w:after="0"/>
              <w:rPr>
                <w:sz w:val="14"/>
                <w:szCs w:val="14"/>
                <w:color w:val="auto"/>
              </w:rPr>
            </w:pPr>
          </w:p>
        </w:tc>
        <w:tc>
          <w:tcPr>
            <w:tcW w:w="3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535,581</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484,964</w:t>
            </w:r>
          </w:p>
        </w:tc>
        <w:tc>
          <w:tcPr>
            <w:tcW w:w="0" w:type="dxa"/>
            <w:vAlign w:val="bottom"/>
          </w:tcPr>
          <w:p>
            <w:pPr>
              <w:spacing w:after="0"/>
              <w:rPr>
                <w:sz w:val="1"/>
                <w:szCs w:val="1"/>
                <w:color w:val="auto"/>
              </w:rPr>
            </w:pPr>
          </w:p>
        </w:tc>
      </w:tr>
      <w:tr>
        <w:trPr>
          <w:trHeight w:val="25"/>
        </w:trPr>
        <w:tc>
          <w:tcPr>
            <w:tcW w:w="5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791" w:right="339" w:bottom="1440" w:gutter="0" w:footer="0" w:header="0"/>
        </w:sectPr>
      </w:pPr>
    </w:p>
    <w:bookmarkStart w:id="22" w:name="page23"/>
    <w:bookmarkEnd w:id="22"/>
    <w:p>
      <w:pPr>
        <w:spacing w:after="0"/>
        <w:rPr>
          <w:sz w:val="20"/>
          <w:szCs w:val="20"/>
          <w:color w:val="auto"/>
        </w:rPr>
      </w:pPr>
      <w:r>
        <w:rPr>
          <w:rFonts w:ascii="Arial" w:cs="Arial" w:eastAsia="Arial" w:hAnsi="Arial"/>
          <w:sz w:val="20"/>
          <w:szCs w:val="20"/>
          <w:i w:val="1"/>
          <w:iCs w:val="1"/>
          <w:color w:val="auto"/>
        </w:rPr>
        <w:t>Reconciliation of Free Cash Flow:</w:t>
      </w:r>
    </w:p>
    <w:p>
      <w:pPr>
        <w:spacing w:after="0" w:line="106" w:lineRule="exact"/>
        <w:rPr>
          <w:sz w:val="20"/>
          <w:szCs w:val="20"/>
          <w:color w:val="auto"/>
        </w:rPr>
      </w:pPr>
    </w:p>
    <w:tbl>
      <w:tblPr>
        <w:tblLayout w:type="fixed"/>
        <w:tblInd w:w="300" w:type="dxa"/>
        <w:tblCellMar>
          <w:top w:w="0" w:type="dxa"/>
          <w:left w:w="0" w:type="dxa"/>
          <w:bottom w:w="0" w:type="dxa"/>
          <w:right w:w="0" w:type="dxa"/>
        </w:tblCellMar>
      </w:tblPr>
      <w:tr>
        <w:trPr>
          <w:trHeight w:val="197"/>
        </w:trPr>
        <w:tc>
          <w:tcPr>
            <w:tcW w:w="4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60" w:type="dxa"/>
            <w:vAlign w:val="bottom"/>
            <w:gridSpan w:val="8"/>
          </w:tcPr>
          <w:p>
            <w:pPr>
              <w:ind w:left="80"/>
              <w:spacing w:after="0"/>
              <w:rPr>
                <w:sz w:val="20"/>
                <w:szCs w:val="20"/>
                <w:color w:val="auto"/>
              </w:rPr>
            </w:pPr>
            <w:r>
              <w:rPr>
                <w:rFonts w:ascii="Arial" w:cs="Arial" w:eastAsia="Arial" w:hAnsi="Arial"/>
                <w:sz w:val="14"/>
                <w:szCs w:val="14"/>
                <w:b w:val="1"/>
                <w:bCs w:val="1"/>
                <w:color w:val="auto"/>
              </w:rPr>
              <w:t>Three Months Ended December 31,</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60" w:type="dxa"/>
            <w:vAlign w:val="bottom"/>
            <w:gridSpan w:val="4"/>
          </w:tcPr>
          <w:p>
            <w:pPr>
              <w:jc w:val="right"/>
              <w:ind w:right="481"/>
              <w:spacing w:after="0"/>
              <w:rPr>
                <w:sz w:val="20"/>
                <w:szCs w:val="20"/>
                <w:color w:val="auto"/>
              </w:rPr>
            </w:pPr>
            <w:r>
              <w:rPr>
                <w:rFonts w:ascii="Arial" w:cs="Arial" w:eastAsia="Arial" w:hAnsi="Arial"/>
                <w:sz w:val="14"/>
                <w:szCs w:val="14"/>
                <w:b w:val="1"/>
                <w:bCs w:val="1"/>
                <w:color w:val="auto"/>
              </w:rPr>
              <w:t>Year Ended December 31,</w:t>
            </w:r>
          </w:p>
        </w:tc>
      </w:tr>
      <w:tr>
        <w:trPr>
          <w:trHeight w:val="195"/>
        </w:trPr>
        <w:tc>
          <w:tcPr>
            <w:tcW w:w="472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2025</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2024</w:t>
            </w:r>
          </w:p>
        </w:tc>
      </w:tr>
      <w:tr>
        <w:trPr>
          <w:trHeight w:val="210"/>
        </w:trPr>
        <w:tc>
          <w:tcPr>
            <w:tcW w:w="4720" w:type="dxa"/>
            <w:vAlign w:val="bottom"/>
          </w:tcPr>
          <w:p>
            <w:pPr>
              <w:spacing w:after="0"/>
              <w:rPr>
                <w:sz w:val="20"/>
                <w:szCs w:val="20"/>
                <w:color w:val="auto"/>
              </w:rPr>
            </w:pPr>
            <w:r>
              <w:rPr>
                <w:rFonts w:ascii="Arial" w:cs="Arial" w:eastAsia="Arial" w:hAnsi="Arial"/>
                <w:sz w:val="16"/>
                <w:szCs w:val="16"/>
                <w:color w:val="auto"/>
              </w:rPr>
              <w:t>Cash provided by (used in) operating activities</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139,291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75,712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(108,864)</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70,249</w:t>
            </w:r>
          </w:p>
        </w:tc>
      </w:tr>
      <w:tr>
        <w:trPr>
          <w:trHeight w:val="215"/>
        </w:trPr>
        <w:tc>
          <w:tcPr>
            <w:tcW w:w="4720" w:type="dxa"/>
            <w:vAlign w:val="bottom"/>
          </w:tcPr>
          <w:p>
            <w:pPr>
              <w:spacing w:after="0"/>
              <w:rPr>
                <w:sz w:val="20"/>
                <w:szCs w:val="20"/>
                <w:color w:val="auto"/>
              </w:rPr>
            </w:pPr>
            <w:r>
              <w:rPr>
                <w:rFonts w:ascii="Arial" w:cs="Arial" w:eastAsia="Arial" w:hAnsi="Arial"/>
                <w:sz w:val="16"/>
                <w:szCs w:val="16"/>
                <w:color w:val="auto"/>
              </w:rPr>
              <w:t>Cash used in investing activities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(23,468)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(14,686)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(73,820)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(24,993)</w:t>
            </w:r>
          </w:p>
        </w:tc>
      </w:tr>
      <w:tr>
        <w:trPr>
          <w:trHeight w:val="216"/>
        </w:trPr>
        <w:tc>
          <w:tcPr>
            <w:tcW w:w="4720" w:type="dxa"/>
            <w:vAlign w:val="bottom"/>
          </w:tcPr>
          <w:p>
            <w:pPr>
              <w:spacing w:after="0"/>
              <w:rPr>
                <w:sz w:val="20"/>
                <w:szCs w:val="20"/>
                <w:color w:val="auto"/>
              </w:rPr>
            </w:pPr>
            <w:r>
              <w:rPr>
                <w:rFonts w:ascii="Arial" w:cs="Arial" w:eastAsia="Arial" w:hAnsi="Arial"/>
                <w:sz w:val="16"/>
                <w:szCs w:val="16"/>
                <w:color w:val="auto"/>
              </w:rPr>
              <w:t>Cash provided by (used in) financing activities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118,657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(6,477)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(685,751)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39,572</w:t>
            </w:r>
          </w:p>
        </w:tc>
      </w:tr>
      <w:tr>
        <w:trPr>
          <w:trHeight w:val="595"/>
        </w:trPr>
        <w:tc>
          <w:tcPr>
            <w:tcW w:w="4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60" w:type="dxa"/>
            <w:vAlign w:val="bottom"/>
            <w:gridSpan w:val="8"/>
          </w:tcPr>
          <w:p>
            <w:pPr>
              <w:ind w:left="100"/>
              <w:spacing w:after="0"/>
              <w:rPr>
                <w:sz w:val="20"/>
                <w:szCs w:val="20"/>
                <w:color w:val="auto"/>
              </w:rPr>
            </w:pPr>
            <w:r>
              <w:rPr>
                <w:rFonts w:ascii="Arial" w:cs="Arial" w:eastAsia="Arial" w:hAnsi="Arial"/>
                <w:sz w:val="14"/>
                <w:szCs w:val="14"/>
                <w:b w:val="1"/>
                <w:bCs w:val="1"/>
                <w:color w:val="auto"/>
              </w:rPr>
              <w:t>Three Months Ended December 31,</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60" w:type="dxa"/>
            <w:vAlign w:val="bottom"/>
            <w:gridSpan w:val="4"/>
          </w:tcPr>
          <w:p>
            <w:pPr>
              <w:jc w:val="right"/>
              <w:ind w:right="481"/>
              <w:spacing w:after="0"/>
              <w:rPr>
                <w:sz w:val="20"/>
                <w:szCs w:val="20"/>
                <w:color w:val="auto"/>
              </w:rPr>
            </w:pPr>
            <w:r>
              <w:rPr>
                <w:rFonts w:ascii="Arial" w:cs="Arial" w:eastAsia="Arial" w:hAnsi="Arial"/>
                <w:sz w:val="14"/>
                <w:szCs w:val="14"/>
                <w:b w:val="1"/>
                <w:bCs w:val="1"/>
                <w:color w:val="auto"/>
              </w:rPr>
              <w:t>Year Ended December 31,</w:t>
            </w:r>
          </w:p>
        </w:tc>
      </w:tr>
      <w:tr>
        <w:trPr>
          <w:trHeight w:val="195"/>
        </w:trPr>
        <w:tc>
          <w:tcPr>
            <w:tcW w:w="4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2025</w:t>
            </w: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2024</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2024</w:t>
            </w:r>
          </w:p>
        </w:tc>
      </w:tr>
      <w:tr>
        <w:trPr>
          <w:trHeight w:val="210"/>
        </w:trPr>
        <w:tc>
          <w:tcPr>
            <w:tcW w:w="4720" w:type="dxa"/>
            <w:vAlign w:val="bottom"/>
          </w:tcPr>
          <w:p>
            <w:pPr>
              <w:spacing w:after="0"/>
              <w:rPr>
                <w:sz w:val="20"/>
                <w:szCs w:val="20"/>
                <w:color w:val="auto"/>
              </w:rPr>
            </w:pPr>
            <w:r>
              <w:rPr>
                <w:rFonts w:ascii="Arial" w:cs="Arial" w:eastAsia="Arial" w:hAnsi="Arial"/>
                <w:sz w:val="16"/>
                <w:szCs w:val="16"/>
                <w:color w:val="auto"/>
              </w:rPr>
              <w:t>Cash provided by (used in) operating activities</w:t>
            </w:r>
          </w:p>
        </w:tc>
        <w:tc>
          <w:tcPr>
            <w:tcW w:w="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139,291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75,712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(108,864)</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70,249</w:t>
            </w:r>
          </w:p>
        </w:tc>
      </w:tr>
      <w:tr>
        <w:trPr>
          <w:trHeight w:val="215"/>
        </w:trPr>
        <w:tc>
          <w:tcPr>
            <w:tcW w:w="4720" w:type="dxa"/>
            <w:vAlign w:val="bottom"/>
          </w:tcPr>
          <w:p>
            <w:pPr>
              <w:ind w:left="220"/>
              <w:spacing w:after="0"/>
              <w:rPr>
                <w:sz w:val="20"/>
                <w:szCs w:val="20"/>
                <w:color w:val="auto"/>
              </w:rPr>
            </w:pPr>
            <w:r>
              <w:rPr>
                <w:rFonts w:ascii="Arial" w:cs="Arial" w:eastAsia="Arial" w:hAnsi="Arial"/>
                <w:sz w:val="16"/>
                <w:szCs w:val="16"/>
                <w:color w:val="auto"/>
              </w:rPr>
              <w:t>Additions to property and equipment</w:t>
            </w: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(23,468)</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(14,686)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(82,887)</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(79,527)</w:t>
            </w:r>
          </w:p>
        </w:tc>
      </w:tr>
      <w:tr>
        <w:trPr>
          <w:trHeight w:val="210"/>
        </w:trPr>
        <w:tc>
          <w:tcPr>
            <w:tcW w:w="4720" w:type="dxa"/>
            <w:vAlign w:val="bottom"/>
          </w:tcPr>
          <w:p>
            <w:pPr>
              <w:spacing w:after="0"/>
              <w:rPr>
                <w:sz w:val="20"/>
                <w:szCs w:val="20"/>
                <w:color w:val="auto"/>
              </w:rPr>
            </w:pPr>
            <w:r>
              <w:rPr>
                <w:rFonts w:ascii="Arial" w:cs="Arial" w:eastAsia="Arial" w:hAnsi="Arial"/>
                <w:sz w:val="16"/>
                <w:szCs w:val="16"/>
                <w:color w:val="auto"/>
              </w:rPr>
              <w:t>Free Cash Flow</w:t>
            </w:r>
          </w:p>
        </w:tc>
        <w:tc>
          <w:tcPr>
            <w:tcW w:w="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115,823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61,026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(191,751)</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(9,278)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Reconciliation of Free Cash Flow from Discontinued Operations:</w:t>
      </w:r>
    </w:p>
    <w:p>
      <w:pPr>
        <w:spacing w:after="0" w:line="336"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4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6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December 31,</w:t>
            </w:r>
          </w:p>
        </w:tc>
        <w:tc>
          <w:tcPr>
            <w:tcW w:w="300" w:type="dxa"/>
            <w:vAlign w:val="bottom"/>
          </w:tcPr>
          <w:p>
            <w:pPr>
              <w:spacing w:after="0"/>
              <w:rPr>
                <w:sz w:val="17"/>
                <w:szCs w:val="17"/>
                <w:color w:val="auto"/>
              </w:rPr>
            </w:pPr>
          </w:p>
        </w:tc>
        <w:tc>
          <w:tcPr>
            <w:tcW w:w="2560" w:type="dxa"/>
            <w:vAlign w:val="bottom"/>
            <w:gridSpan w:val="4"/>
          </w:tcPr>
          <w:p>
            <w:pPr>
              <w:jc w:val="right"/>
              <w:ind w:right="481"/>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95"/>
        </w:trPr>
        <w:tc>
          <w:tcPr>
            <w:tcW w:w="474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44"/>
        </w:trPr>
        <w:tc>
          <w:tcPr>
            <w:tcW w:w="4740" w:type="dxa"/>
            <w:vAlign w:val="bottom"/>
          </w:tcPr>
          <w:p>
            <w:pPr>
              <w:spacing w:after="0" w:line="144" w:lineRule="exact"/>
              <w:rPr>
                <w:sz w:val="20"/>
                <w:szCs w:val="20"/>
                <w:color w:val="auto"/>
              </w:rPr>
            </w:pPr>
            <w:r>
              <w:rPr>
                <w:rFonts w:ascii="Arial" w:cs="Arial" w:eastAsia="Arial" w:hAnsi="Arial"/>
                <w:sz w:val="16"/>
                <w:szCs w:val="16"/>
                <w:color w:val="auto"/>
              </w:rPr>
              <w:t>Cash (used in) provided by operating activities from Discontinued</w:t>
            </w: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(2,520)</w:t>
            </w:r>
          </w:p>
        </w:tc>
        <w:tc>
          <w:tcPr>
            <w:tcW w:w="100" w:type="dxa"/>
            <w:vAlign w:val="bottom"/>
          </w:tcPr>
          <w:p>
            <w:pPr>
              <w:spacing w:after="0"/>
              <w:rPr>
                <w:sz w:val="12"/>
                <w:szCs w:val="12"/>
                <w:color w:val="auto"/>
              </w:rPr>
            </w:pPr>
          </w:p>
        </w:tc>
        <w:tc>
          <w:tcPr>
            <w:tcW w:w="34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vMerge w:val="restart"/>
          </w:tcPr>
          <w:p>
            <w:pPr>
              <w:jc w:val="center"/>
              <w:ind w:left="501"/>
              <w:spacing w:after="0"/>
              <w:rPr>
                <w:sz w:val="20"/>
                <w:szCs w:val="20"/>
                <w:color w:val="auto"/>
              </w:rPr>
            </w:pPr>
            <w:r>
              <w:rPr>
                <w:rFonts w:ascii="Arial" w:cs="Arial" w:eastAsia="Arial" w:hAnsi="Arial"/>
                <w:sz w:val="16"/>
                <w:szCs w:val="16"/>
                <w:color w:val="auto"/>
              </w:rPr>
              <w:t>7,032</w:t>
            </w:r>
          </w:p>
        </w:tc>
        <w:tc>
          <w:tcPr>
            <w:tcW w:w="120" w:type="dxa"/>
            <w:vAlign w:val="bottom"/>
          </w:tcPr>
          <w:p>
            <w:pPr>
              <w:spacing w:after="0"/>
              <w:rPr>
                <w:sz w:val="12"/>
                <w:szCs w:val="12"/>
                <w:color w:val="auto"/>
              </w:rPr>
            </w:pPr>
          </w:p>
        </w:tc>
        <w:tc>
          <w:tcPr>
            <w:tcW w:w="300" w:type="dxa"/>
            <w:vAlign w:val="bottom"/>
            <w:vMerge w:val="restart"/>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(21,659)</w:t>
            </w:r>
          </w:p>
        </w:tc>
        <w:tc>
          <w:tcPr>
            <w:tcW w:w="120" w:type="dxa"/>
            <w:vAlign w:val="bottom"/>
          </w:tcPr>
          <w:p>
            <w:pPr>
              <w:spacing w:after="0"/>
              <w:rPr>
                <w:sz w:val="12"/>
                <w:szCs w:val="12"/>
                <w:color w:val="auto"/>
              </w:rPr>
            </w:pPr>
          </w:p>
        </w:tc>
        <w:tc>
          <w:tcPr>
            <w:tcW w:w="320" w:type="dxa"/>
            <w:vAlign w:val="bottom"/>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vMerge w:val="restart"/>
          </w:tcPr>
          <w:p>
            <w:pPr>
              <w:jc w:val="right"/>
              <w:ind w:right="1"/>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215"/>
        </w:trPr>
        <w:tc>
          <w:tcPr>
            <w:tcW w:w="4740" w:type="dxa"/>
            <w:vAlign w:val="bottom"/>
          </w:tcPr>
          <w:p>
            <w:pPr>
              <w:spacing w:after="0"/>
              <w:rPr>
                <w:sz w:val="20"/>
                <w:szCs w:val="20"/>
                <w:color w:val="auto"/>
              </w:rPr>
            </w:pPr>
            <w:r>
              <w:rPr>
                <w:rFonts w:ascii="Arial" w:cs="Arial" w:eastAsia="Arial" w:hAnsi="Arial"/>
                <w:sz w:val="16"/>
                <w:szCs w:val="16"/>
                <w:color w:val="auto"/>
              </w:rPr>
              <w:t>Operations</w:t>
            </w:r>
          </w:p>
        </w:tc>
        <w:tc>
          <w:tcPr>
            <w:tcW w:w="20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740" w:type="dxa"/>
            <w:vAlign w:val="bottom"/>
          </w:tcPr>
          <w:p>
            <w:pPr>
              <w:ind w:left="200"/>
              <w:spacing w:after="0" w:line="164" w:lineRule="exact"/>
              <w:rPr>
                <w:sz w:val="20"/>
                <w:szCs w:val="20"/>
                <w:color w:val="auto"/>
              </w:rPr>
            </w:pPr>
            <w:r>
              <w:rPr>
                <w:rFonts w:ascii="Arial" w:cs="Arial" w:eastAsia="Arial" w:hAnsi="Arial"/>
                <w:sz w:val="16"/>
                <w:szCs w:val="16"/>
                <w:color w:val="auto"/>
              </w:rPr>
              <w:t>Additions to property and equipment from Discontinued</w:t>
            </w:r>
          </w:p>
        </w:tc>
        <w:tc>
          <w:tcPr>
            <w:tcW w:w="2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(4,657)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vMerge w:val="restart"/>
          </w:tcPr>
          <w:p>
            <w:pPr>
              <w:jc w:val="center"/>
              <w:ind w:left="481"/>
              <w:spacing w:after="0"/>
              <w:rPr>
                <w:sz w:val="20"/>
                <w:szCs w:val="20"/>
                <w:color w:val="auto"/>
              </w:rPr>
            </w:pPr>
            <w:r>
              <w:rPr>
                <w:rFonts w:ascii="Arial" w:cs="Arial" w:eastAsia="Arial" w:hAnsi="Arial"/>
                <w:sz w:val="16"/>
                <w:szCs w:val="16"/>
                <w:color w:val="auto"/>
              </w:rPr>
              <w:t>(1,410)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(11,101)</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(4,621)</w:t>
            </w:r>
          </w:p>
        </w:tc>
        <w:tc>
          <w:tcPr>
            <w:tcW w:w="0" w:type="dxa"/>
            <w:vAlign w:val="bottom"/>
          </w:tcPr>
          <w:p>
            <w:pPr>
              <w:spacing w:after="0"/>
              <w:rPr>
                <w:sz w:val="1"/>
                <w:szCs w:val="1"/>
                <w:color w:val="auto"/>
              </w:rPr>
            </w:pPr>
          </w:p>
        </w:tc>
      </w:tr>
      <w:tr>
        <w:trPr>
          <w:trHeight w:val="215"/>
        </w:trPr>
        <w:tc>
          <w:tcPr>
            <w:tcW w:w="4740" w:type="dxa"/>
            <w:vAlign w:val="bottom"/>
          </w:tcPr>
          <w:p>
            <w:pPr>
              <w:ind w:left="200"/>
              <w:spacing w:after="0"/>
              <w:rPr>
                <w:sz w:val="20"/>
                <w:szCs w:val="20"/>
                <w:color w:val="auto"/>
              </w:rPr>
            </w:pPr>
            <w:r>
              <w:rPr>
                <w:rFonts w:ascii="Arial" w:cs="Arial" w:eastAsia="Arial" w:hAnsi="Arial"/>
                <w:sz w:val="16"/>
                <w:szCs w:val="16"/>
                <w:color w:val="auto"/>
              </w:rPr>
              <w:t>Operations</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Pr>
          <w:p>
            <w:pPr>
              <w:spacing w:after="0"/>
              <w:rPr>
                <w:sz w:val="20"/>
                <w:szCs w:val="20"/>
                <w:color w:val="auto"/>
              </w:rPr>
            </w:pPr>
            <w:r>
              <w:rPr>
                <w:rFonts w:ascii="Arial" w:cs="Arial" w:eastAsia="Arial" w:hAnsi="Arial"/>
                <w:sz w:val="16"/>
                <w:szCs w:val="16"/>
                <w:color w:val="auto"/>
              </w:rPr>
              <w:t>Free Cash Flow from Discontinued Operations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(7,177)</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center"/>
              <w:ind w:left="501"/>
              <w:spacing w:after="0"/>
              <w:rPr>
                <w:sz w:val="20"/>
                <w:szCs w:val="20"/>
                <w:color w:val="auto"/>
              </w:rPr>
            </w:pPr>
            <w:r>
              <w:rPr>
                <w:rFonts w:ascii="Arial" w:cs="Arial" w:eastAsia="Arial" w:hAnsi="Arial"/>
                <w:sz w:val="16"/>
                <w:szCs w:val="16"/>
                <w:color w:val="auto"/>
              </w:rPr>
              <w:t>5,622</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(32,760)</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(4,276)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793" w:right="339" w:bottom="1440" w:gutter="0" w:footer="0" w:header="0"/>
        </w:sectPr>
      </w:pPr>
    </w:p>
    <w:bookmarkStart w:id="23" w:name="page24"/>
    <w:bookmarkEnd w:id="23"/>
    <w:p>
      <w:pPr>
        <w:spacing w:after="0" w:line="13"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Non-GAAP Footnotes</w:t>
      </w:r>
    </w:p>
    <w:p>
      <w:pPr>
        <w:spacing w:after="0" w:line="326" w:lineRule="exact"/>
        <w:rPr>
          <w:sz w:val="20"/>
          <w:szCs w:val="20"/>
          <w:color w:val="auto"/>
        </w:rPr>
      </w:pPr>
    </w:p>
    <w:p>
      <w:pPr>
        <w:ind w:left="280" w:hanging="280"/>
        <w:spacing w:after="0"/>
        <w:tabs>
          <w:tab w:leader="none" w:pos="2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Depreciation and amortization expenses:</w:t>
      </w:r>
    </w:p>
    <w:p>
      <w:pPr>
        <w:spacing w:after="0" w:line="67" w:lineRule="exact"/>
        <w:rPr>
          <w:rFonts w:ascii="Arial" w:cs="Arial" w:eastAsia="Arial" w:hAnsi="Arial"/>
          <w:sz w:val="20"/>
          <w:szCs w:val="20"/>
          <w:color w:val="auto"/>
        </w:rPr>
      </w:pPr>
    </w:p>
    <w:p>
      <w:pPr>
        <w:ind w:left="920" w:hanging="205"/>
        <w:spacing w:after="0" w:line="324" w:lineRule="auto"/>
        <w:tabs>
          <w:tab w:leader="none" w:pos="909" w:val="left"/>
        </w:tabs>
        <w:numPr>
          <w:ilvl w:val="1"/>
          <w:numId w:val="14"/>
        </w:numPr>
        <w:rPr>
          <w:rFonts w:ascii="Arial" w:cs="Arial" w:eastAsia="Arial" w:hAnsi="Arial"/>
          <w:sz w:val="20"/>
          <w:szCs w:val="20"/>
          <w:color w:val="auto"/>
        </w:rPr>
      </w:pPr>
      <w:r>
        <w:rPr>
          <w:rFonts w:ascii="Arial" w:cs="Arial" w:eastAsia="Arial" w:hAnsi="Arial"/>
          <w:sz w:val="20"/>
          <w:szCs w:val="20"/>
          <w:color w:val="auto"/>
        </w:rPr>
        <w:t>Acquisition-related amortization represents amortization of intangible assets from the take-private transaction in 2007 as well as intangibles associated with acquisitions since that date.</w:t>
      </w:r>
    </w:p>
    <w:p>
      <w:pPr>
        <w:ind w:left="920" w:hanging="205"/>
        <w:spacing w:after="0" w:line="316" w:lineRule="auto"/>
        <w:tabs>
          <w:tab w:leader="none" w:pos="973" w:val="left"/>
        </w:tabs>
        <w:numPr>
          <w:ilvl w:val="1"/>
          <w:numId w:val="14"/>
        </w:numPr>
        <w:rPr>
          <w:rFonts w:ascii="Arial" w:cs="Arial" w:eastAsia="Arial" w:hAnsi="Arial"/>
          <w:sz w:val="20"/>
          <w:szCs w:val="20"/>
          <w:color w:val="auto"/>
        </w:rPr>
      </w:pPr>
      <w:r>
        <w:rPr>
          <w:rFonts w:ascii="Arial" w:cs="Arial" w:eastAsia="Arial" w:hAnsi="Arial"/>
          <w:sz w:val="20"/>
          <w:szCs w:val="20"/>
          <w:color w:val="auto"/>
        </w:rPr>
        <w:t>Depreciation and amortization of property and equipment includes software developed for internal use as well as amortization of contract acquisition costs.</w:t>
      </w:r>
    </w:p>
    <w:p>
      <w:pPr>
        <w:spacing w:after="0" w:line="1" w:lineRule="exact"/>
        <w:rPr>
          <w:rFonts w:ascii="Arial" w:cs="Arial" w:eastAsia="Arial" w:hAnsi="Arial"/>
          <w:sz w:val="20"/>
          <w:szCs w:val="20"/>
          <w:color w:val="auto"/>
        </w:rPr>
      </w:pPr>
    </w:p>
    <w:p>
      <w:pPr>
        <w:ind w:left="920" w:right="20" w:hanging="205"/>
        <w:spacing w:after="0" w:line="356" w:lineRule="auto"/>
        <w:tabs>
          <w:tab w:leader="none" w:pos="939" w:val="left"/>
        </w:tabs>
        <w:numPr>
          <w:ilvl w:val="1"/>
          <w:numId w:val="14"/>
        </w:numPr>
        <w:rPr>
          <w:rFonts w:ascii="Arial" w:cs="Arial" w:eastAsia="Arial" w:hAnsi="Arial"/>
          <w:sz w:val="20"/>
          <w:szCs w:val="20"/>
          <w:color w:val="auto"/>
        </w:rPr>
      </w:pPr>
      <w:r>
        <w:rPr>
          <w:rFonts w:ascii="Arial" w:cs="Arial" w:eastAsia="Arial" w:hAnsi="Arial"/>
          <w:sz w:val="20"/>
          <w:szCs w:val="20"/>
          <w:color w:val="auto"/>
        </w:rPr>
        <w:t>Amortization of capitalized implementation costs represents amortization of upfront costs to implement new customer contracts under our SaaS and hosted revenue model.</w:t>
      </w:r>
    </w:p>
    <w:p>
      <w:pPr>
        <w:spacing w:after="0" w:line="181" w:lineRule="exact"/>
        <w:rPr>
          <w:rFonts w:ascii="Arial" w:cs="Arial" w:eastAsia="Arial" w:hAnsi="Arial"/>
          <w:sz w:val="20"/>
          <w:szCs w:val="20"/>
          <w:color w:val="auto"/>
        </w:rPr>
      </w:pPr>
    </w:p>
    <w:p>
      <w:pPr>
        <w:jc w:val="both"/>
        <w:ind w:left="360" w:hanging="360"/>
        <w:spacing w:after="0" w:line="333" w:lineRule="auto"/>
        <w:tabs>
          <w:tab w:leader="none" w:pos="348" w:val="left"/>
        </w:tabs>
        <w:numPr>
          <w:ilvl w:val="0"/>
          <w:numId w:val="14"/>
        </w:numPr>
        <w:rPr>
          <w:rFonts w:ascii="Arial" w:cs="Arial" w:eastAsia="Arial" w:hAnsi="Arial"/>
          <w:sz w:val="20"/>
          <w:szCs w:val="20"/>
          <w:color w:val="auto"/>
        </w:rPr>
      </w:pPr>
      <w:r>
        <w:rPr>
          <w:rFonts w:ascii="Arial" w:cs="Arial" w:eastAsia="Arial" w:hAnsi="Arial"/>
          <w:sz w:val="20"/>
          <w:szCs w:val="20"/>
          <w:color w:val="auto"/>
        </w:rPr>
        <w:t>Restructuring and other costs for 2025 primarily represents charges related to the inflation offset program we began implementing in 2026 and in prior periods, charges and adjustments to charges associated with the cost reduction plan we began implementing in the second quarter of 2023.</w:t>
      </w:r>
    </w:p>
    <w:p>
      <w:pPr>
        <w:spacing w:after="0" w:line="203" w:lineRule="exact"/>
        <w:rPr>
          <w:rFonts w:ascii="Arial" w:cs="Arial" w:eastAsia="Arial" w:hAnsi="Arial"/>
          <w:sz w:val="20"/>
          <w:szCs w:val="20"/>
          <w:color w:val="auto"/>
        </w:rPr>
      </w:pPr>
    </w:p>
    <w:p>
      <w:pPr>
        <w:jc w:val="both"/>
        <w:ind w:left="360" w:hanging="360"/>
        <w:spacing w:after="0" w:line="327" w:lineRule="auto"/>
        <w:tabs>
          <w:tab w:leader="none" w:pos="3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Other, net includes $18 million of transition services agreement income, net, in 2025, $13 million of debt modification costs in 2025, a gain on the sale of assets of $5 million recognized in 2025, $21 million of debt modification costs in 2024, non-operating gains recognized in 2023, and the impacts of realized and unrealized gains and losses from our investments in securities in 2023 and 2024. In addition, all periods presented include non-operating gains and losses as well as foreign exchange gains and losses related to the remeasurement of foreign currency denominated balances included in our consolidated balance sheets into the relevant functional currency.</w:t>
      </w:r>
    </w:p>
    <w:p>
      <w:pPr>
        <w:spacing w:after="0" w:line="198" w:lineRule="exact"/>
        <w:rPr>
          <w:rFonts w:ascii="Arial" w:cs="Arial" w:eastAsia="Arial" w:hAnsi="Arial"/>
          <w:sz w:val="20"/>
          <w:szCs w:val="20"/>
          <w:color w:val="auto"/>
        </w:rPr>
      </w:pPr>
    </w:p>
    <w:p>
      <w:pPr>
        <w:ind w:left="280" w:hanging="280"/>
        <w:spacing w:after="0"/>
        <w:tabs>
          <w:tab w:leader="none" w:pos="2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Disposition-related costs represent fees and expenses incurred associated with disposition-related activities.</w:t>
      </w:r>
    </w:p>
    <w:p>
      <w:pPr>
        <w:spacing w:after="0" w:line="323" w:lineRule="exact"/>
        <w:rPr>
          <w:rFonts w:ascii="Arial" w:cs="Arial" w:eastAsia="Arial" w:hAnsi="Arial"/>
          <w:sz w:val="20"/>
          <w:szCs w:val="20"/>
          <w:color w:val="auto"/>
        </w:rPr>
      </w:pPr>
    </w:p>
    <w:p>
      <w:pPr>
        <w:ind w:left="280" w:hanging="280"/>
        <w:spacing w:after="0"/>
        <w:tabs>
          <w:tab w:leader="none" w:pos="2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Litigation costs, net represent charges associated with antitrust litigation.</w:t>
      </w:r>
    </w:p>
    <w:p>
      <w:pPr>
        <w:spacing w:after="0" w:line="323" w:lineRule="exact"/>
        <w:rPr>
          <w:rFonts w:ascii="Arial" w:cs="Arial" w:eastAsia="Arial" w:hAnsi="Arial"/>
          <w:sz w:val="20"/>
          <w:szCs w:val="20"/>
          <w:color w:val="auto"/>
        </w:rPr>
      </w:pPr>
    </w:p>
    <w:p>
      <w:pPr>
        <w:ind w:left="360" w:hanging="360"/>
        <w:spacing w:after="0" w:line="342" w:lineRule="auto"/>
        <w:tabs>
          <w:tab w:leader="none" w:pos="301" w:val="left"/>
        </w:tabs>
        <w:numPr>
          <w:ilvl w:val="0"/>
          <w:numId w:val="14"/>
        </w:numPr>
        <w:rPr>
          <w:rFonts w:ascii="Arial" w:cs="Arial" w:eastAsia="Arial" w:hAnsi="Arial"/>
          <w:sz w:val="20"/>
          <w:szCs w:val="20"/>
          <w:color w:val="auto"/>
        </w:rPr>
      </w:pPr>
      <w:r>
        <w:rPr>
          <w:rFonts w:ascii="Arial" w:cs="Arial" w:eastAsia="Arial" w:hAnsi="Arial"/>
          <w:sz w:val="20"/>
          <w:szCs w:val="20"/>
          <w:color w:val="auto"/>
        </w:rPr>
        <w:t>Indirect tax matters represents charges and adjustments to charges associated with certain DST related to historical periods, which may ultimately be settled in cash, and certain foreign non-income tax litigation matters.</w:t>
      </w:r>
    </w:p>
    <w:p>
      <w:pPr>
        <w:spacing w:after="0" w:line="195" w:lineRule="exact"/>
        <w:rPr>
          <w:rFonts w:ascii="Arial" w:cs="Arial" w:eastAsia="Arial" w:hAnsi="Arial"/>
          <w:sz w:val="20"/>
          <w:szCs w:val="20"/>
          <w:color w:val="auto"/>
        </w:rPr>
      </w:pPr>
    </w:p>
    <w:p>
      <w:pPr>
        <w:ind w:left="360" w:hanging="360"/>
        <w:spacing w:after="0" w:line="356" w:lineRule="auto"/>
        <w:tabs>
          <w:tab w:leader="none" w:pos="319"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tax impact of adjustments includes the tax effect of each separate adjustment based on the statutory tax rate for the jurisdiction(s) in which the adjustment was taxable or deductible,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20" w:top="1440" w:right="339" w:bottom="1440" w:gutter="0" w:footer="0" w:header="0"/>
        </w:sectPr>
      </w:pPr>
    </w:p>
    <w:bookmarkStart w:id="24" w:name="page25"/>
    <w:bookmarkEnd w:id="24"/>
    <w:p>
      <w:pPr>
        <w:spacing w:after="0" w:line="15" w:lineRule="exact"/>
        <w:rPr>
          <w:sz w:val="20"/>
          <w:szCs w:val="20"/>
          <w:color w:val="auto"/>
        </w:rPr>
      </w:pPr>
    </w:p>
    <w:p>
      <w:pPr>
        <w:spacing w:after="0" w:line="356" w:lineRule="auto"/>
        <w:rPr>
          <w:sz w:val="20"/>
          <w:szCs w:val="20"/>
          <w:color w:val="auto"/>
        </w:rPr>
      </w:pPr>
      <w:r>
        <w:rPr>
          <w:rFonts w:ascii="Arial" w:cs="Arial" w:eastAsia="Arial" w:hAnsi="Arial"/>
          <w:sz w:val="20"/>
          <w:szCs w:val="20"/>
          <w:color w:val="auto"/>
        </w:rPr>
        <w:t>and the tax effect of items that relate to tax specific financial transactions, tax law changes, uncertain tax positions, valuation allowances and other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sectPr>
      <w:pgSz w:w="11900" w:h="16838" w:orient="portrait"/>
      <w:cols w:equalWidth="0" w:num="1">
        <w:col w:w="10980"/>
      </w:cols>
      <w:pgMar w:left="58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lowerLetter"/>
      <w:start w:val="4"/>
    </w:lvl>
  </w:abstractNum>
  <w:abstractNum w:abstractNumId="2">
    <w:nsid w:val="515F007C"/>
    <w:multiLevelType w:val="hybridMultilevel"/>
    <w:lvl w:ilvl="0">
      <w:lvlJc w:val="left"/>
      <w:lvlText w:val="•"/>
      <w:numFmt w:val="bullet"/>
      <w:start w:val="1"/>
    </w:lvl>
    <w:lvl w:ilvl="1">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lvl w:ilvl="1">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lvl w:ilvl="1">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2026-02-18T06:42:28Z</dcterms:created>
  <dcterms:modified xsi:type="dcterms:W3CDTF">2026-02-18T06:42:28Z</dcterms:modified>
</cp:coreProperties>
</file>