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1117600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1143000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w:t>
      </w:r>
    </w:p>
    <w:p>
      <w:pPr>
        <w:spacing w:after="0" w:line="23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7, 2020</w:t>
      </w:r>
    </w:p>
    <w:p>
      <w:pPr>
        <w:spacing w:after="0" w:line="2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tbl>
      <w:tblPr>
        <w:tblLayout w:type="fixed"/>
        <w:tblInd w:w="74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3260" w:type="dxa"/>
            <w:vAlign w:val="bottom"/>
          </w:tcPr>
          <w:p>
            <w:pPr>
              <w:jc w:val="center"/>
              <w:ind w:right="917"/>
              <w:spacing w:after="0"/>
              <w:rPr>
                <w:sz w:val="20"/>
                <w:szCs w:val="20"/>
                <w:color w:val="auto"/>
              </w:rPr>
            </w:pPr>
            <w:r>
              <w:rPr>
                <w:rFonts w:ascii="Arial" w:cs="Arial" w:eastAsia="Arial" w:hAnsi="Arial"/>
                <w:sz w:val="18"/>
                <w:szCs w:val="18"/>
                <w:color w:val="auto"/>
                <w:w w:val="99"/>
              </w:rPr>
              <w:t>_____________________</w:t>
            </w:r>
          </w:p>
        </w:tc>
        <w:tc>
          <w:tcPr>
            <w:tcW w:w="2300" w:type="dxa"/>
            <w:vAlign w:val="bottom"/>
          </w:tcPr>
          <w:p>
            <w:pPr>
              <w:spacing w:after="0"/>
              <w:rPr>
                <w:sz w:val="18"/>
                <w:szCs w:val="18"/>
                <w:color w:val="auto"/>
              </w:rPr>
            </w:pPr>
          </w:p>
        </w:tc>
      </w:tr>
      <w:tr>
        <w:trPr>
          <w:trHeight w:val="432"/>
        </w:trPr>
        <w:tc>
          <w:tcPr>
            <w:tcW w:w="378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3260" w:type="dxa"/>
            <w:vAlign w:val="bottom"/>
          </w:tcPr>
          <w:p>
            <w:pPr>
              <w:jc w:val="center"/>
              <w:ind w:right="957"/>
              <w:spacing w:after="0"/>
              <w:rPr>
                <w:sz w:val="20"/>
                <w:szCs w:val="20"/>
                <w:color w:val="auto"/>
              </w:rPr>
            </w:pPr>
            <w:r>
              <w:rPr>
                <w:rFonts w:ascii="Arial" w:cs="Arial" w:eastAsia="Arial" w:hAnsi="Arial"/>
                <w:sz w:val="18"/>
                <w:szCs w:val="18"/>
                <w:b w:val="1"/>
                <w:bCs w:val="1"/>
                <w:color w:val="auto"/>
                <w:w w:val="99"/>
              </w:rPr>
              <w:t>001-36422</w:t>
            </w:r>
          </w:p>
        </w:tc>
        <w:tc>
          <w:tcPr>
            <w:tcW w:w="2300" w:type="dxa"/>
            <w:vAlign w:val="bottom"/>
          </w:tcPr>
          <w:p>
            <w:pPr>
              <w:jc w:val="center"/>
              <w:ind w:left="1021"/>
              <w:spacing w:after="0"/>
              <w:rPr>
                <w:sz w:val="20"/>
                <w:szCs w:val="20"/>
                <w:color w:val="auto"/>
              </w:rPr>
            </w:pPr>
            <w:r>
              <w:rPr>
                <w:rFonts w:ascii="Arial" w:cs="Arial" w:eastAsia="Arial" w:hAnsi="Arial"/>
                <w:sz w:val="18"/>
                <w:szCs w:val="18"/>
                <w:b w:val="1"/>
                <w:bCs w:val="1"/>
                <w:color w:val="auto"/>
                <w:w w:val="99"/>
              </w:rPr>
              <w:t>20-8647322</w:t>
            </w:r>
          </w:p>
        </w:tc>
      </w:tr>
      <w:tr>
        <w:trPr>
          <w:trHeight w:val="189"/>
        </w:trPr>
        <w:tc>
          <w:tcPr>
            <w:tcW w:w="3780" w:type="dxa"/>
            <w:vAlign w:val="bottom"/>
          </w:tcPr>
          <w:p>
            <w:pPr>
              <w:jc w:val="center"/>
              <w:ind w:right="163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right="957"/>
              <w:spacing w:after="0"/>
              <w:rPr>
                <w:sz w:val="20"/>
                <w:szCs w:val="20"/>
                <w:color w:val="auto"/>
              </w:rPr>
            </w:pPr>
            <w:r>
              <w:rPr>
                <w:rFonts w:ascii="Arial" w:cs="Arial" w:eastAsia="Arial" w:hAnsi="Arial"/>
                <w:sz w:val="14"/>
                <w:szCs w:val="14"/>
                <w:b w:val="1"/>
                <w:bCs w:val="1"/>
                <w:color w:val="auto"/>
              </w:rPr>
              <w:t>(Commission</w:t>
            </w:r>
          </w:p>
        </w:tc>
        <w:tc>
          <w:tcPr>
            <w:tcW w:w="2300" w:type="dxa"/>
            <w:vAlign w:val="bottom"/>
          </w:tcPr>
          <w:p>
            <w:pPr>
              <w:jc w:val="center"/>
              <w:ind w:left="100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80" w:type="dxa"/>
            <w:vAlign w:val="bottom"/>
          </w:tcPr>
          <w:p>
            <w:pPr>
              <w:jc w:val="center"/>
              <w:ind w:right="165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right="937"/>
              <w:spacing w:after="0"/>
              <w:rPr>
                <w:sz w:val="20"/>
                <w:szCs w:val="20"/>
                <w:color w:val="auto"/>
              </w:rPr>
            </w:pPr>
            <w:r>
              <w:rPr>
                <w:rFonts w:ascii="Arial" w:cs="Arial" w:eastAsia="Arial" w:hAnsi="Arial"/>
                <w:sz w:val="14"/>
                <w:szCs w:val="14"/>
                <w:b w:val="1"/>
                <w:bCs w:val="1"/>
                <w:color w:val="auto"/>
              </w:rPr>
              <w:t>File Number)</w:t>
            </w:r>
          </w:p>
        </w:tc>
        <w:tc>
          <w:tcPr>
            <w:tcW w:w="2300" w:type="dxa"/>
            <w:vAlign w:val="bottom"/>
          </w:tcPr>
          <w:p>
            <w:pPr>
              <w:jc w:val="center"/>
              <w:ind w:left="1021"/>
              <w:spacing w:after="0"/>
              <w:rPr>
                <w:sz w:val="20"/>
                <w:szCs w:val="20"/>
                <w:color w:val="auto"/>
              </w:rPr>
            </w:pPr>
            <w:r>
              <w:rPr>
                <w:rFonts w:ascii="Arial" w:cs="Arial" w:eastAsia="Arial" w:hAnsi="Arial"/>
                <w:sz w:val="14"/>
                <w:szCs w:val="14"/>
                <w:b w:val="1"/>
                <w:bCs w:val="1"/>
                <w:color w:val="auto"/>
              </w:rPr>
              <w:t>Identification No.)</w:t>
            </w:r>
          </w:p>
        </w:tc>
      </w:tr>
      <w:tr>
        <w:trPr>
          <w:trHeight w:val="849"/>
        </w:trPr>
        <w:tc>
          <w:tcPr>
            <w:tcW w:w="3780" w:type="dxa"/>
            <w:vAlign w:val="bottom"/>
          </w:tcPr>
          <w:p>
            <w:pPr>
              <w:jc w:val="center"/>
              <w:ind w:left="2079"/>
              <w:spacing w:after="0"/>
              <w:rPr>
                <w:sz w:val="20"/>
                <w:szCs w:val="20"/>
                <w:color w:val="auto"/>
              </w:rPr>
            </w:pPr>
            <w:r>
              <w:rPr>
                <w:rFonts w:ascii="Arial" w:cs="Arial" w:eastAsia="Arial" w:hAnsi="Arial"/>
                <w:sz w:val="18"/>
                <w:szCs w:val="18"/>
                <w:b w:val="1"/>
                <w:bCs w:val="1"/>
                <w:color w:val="auto"/>
              </w:rPr>
              <w:t>3150 Sabre Drive</w:t>
            </w:r>
          </w:p>
        </w:tc>
        <w:tc>
          <w:tcPr>
            <w:tcW w:w="32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7"/>
        </w:trPr>
        <w:tc>
          <w:tcPr>
            <w:tcW w:w="3780" w:type="dxa"/>
            <w:vAlign w:val="bottom"/>
          </w:tcPr>
          <w:p>
            <w:pPr>
              <w:ind w:left="2040"/>
              <w:spacing w:after="0"/>
              <w:rPr>
                <w:sz w:val="20"/>
                <w:szCs w:val="20"/>
                <w:color w:val="auto"/>
              </w:rPr>
            </w:pPr>
            <w:r>
              <w:rPr>
                <w:rFonts w:ascii="Arial" w:cs="Arial" w:eastAsia="Arial" w:hAnsi="Arial"/>
                <w:sz w:val="18"/>
                <w:szCs w:val="18"/>
                <w:b w:val="1"/>
                <w:bCs w:val="1"/>
                <w:color w:val="auto"/>
              </w:rPr>
              <w:t>Southlake, TX</w:t>
            </w:r>
          </w:p>
        </w:tc>
        <w:tc>
          <w:tcPr>
            <w:tcW w:w="3260" w:type="dxa"/>
            <w:vAlign w:val="bottom"/>
          </w:tcPr>
          <w:p>
            <w:pPr>
              <w:spacing w:after="0"/>
              <w:rPr>
                <w:sz w:val="22"/>
                <w:szCs w:val="22"/>
                <w:color w:val="auto"/>
              </w:rPr>
            </w:pPr>
          </w:p>
        </w:tc>
        <w:tc>
          <w:tcPr>
            <w:tcW w:w="2300" w:type="dxa"/>
            <w:vAlign w:val="bottom"/>
          </w:tcPr>
          <w:p>
            <w:pPr>
              <w:jc w:val="right"/>
              <w:ind w:right="341"/>
              <w:spacing w:after="0"/>
              <w:rPr>
                <w:sz w:val="20"/>
                <w:szCs w:val="20"/>
                <w:color w:val="auto"/>
              </w:rPr>
            </w:pPr>
            <w:r>
              <w:rPr>
                <w:rFonts w:ascii="Arial" w:cs="Arial" w:eastAsia="Arial" w:hAnsi="Arial"/>
                <w:sz w:val="18"/>
                <w:szCs w:val="18"/>
                <w:b w:val="1"/>
                <w:bCs w:val="1"/>
                <w:color w:val="auto"/>
              </w:rPr>
              <w:t>76092</w:t>
            </w:r>
          </w:p>
        </w:tc>
      </w:tr>
      <w:tr>
        <w:trPr>
          <w:trHeight w:val="217"/>
        </w:trPr>
        <w:tc>
          <w:tcPr>
            <w:tcW w:w="7040" w:type="dxa"/>
            <w:vAlign w:val="bottom"/>
            <w:gridSpan w:val="2"/>
          </w:tcPr>
          <w:p>
            <w:pPr>
              <w:jc w:val="center"/>
              <w:ind w:right="997"/>
              <w:spacing w:after="0"/>
              <w:rPr>
                <w:sz w:val="20"/>
                <w:szCs w:val="20"/>
                <w:color w:val="auto"/>
              </w:rPr>
            </w:pPr>
            <w:r>
              <w:rPr>
                <w:rFonts w:ascii="Arial" w:cs="Arial" w:eastAsia="Arial" w:hAnsi="Arial"/>
                <w:sz w:val="14"/>
                <w:szCs w:val="14"/>
                <w:b w:val="1"/>
                <w:bCs w:val="1"/>
                <w:color w:val="auto"/>
              </w:rPr>
              <w:t>(Address of principal executive offices)</w:t>
            </w:r>
          </w:p>
        </w:tc>
        <w:tc>
          <w:tcPr>
            <w:tcW w:w="2300" w:type="dxa"/>
            <w:vAlign w:val="bottom"/>
          </w:tcPr>
          <w:p>
            <w:pPr>
              <w:jc w:val="center"/>
              <w:ind w:left="901"/>
              <w:spacing w:after="0"/>
              <w:rPr>
                <w:sz w:val="20"/>
                <w:szCs w:val="20"/>
                <w:color w:val="auto"/>
              </w:rPr>
            </w:pPr>
            <w:r>
              <w:rPr>
                <w:rFonts w:ascii="Arial" w:cs="Arial" w:eastAsia="Arial" w:hAnsi="Arial"/>
                <w:sz w:val="14"/>
                <w:szCs w:val="14"/>
                <w:b w:val="1"/>
                <w:bCs w:val="1"/>
                <w:color w:val="auto"/>
              </w:rPr>
              <w:t>(Zip Code)</w:t>
            </w:r>
          </w:p>
        </w:tc>
      </w:tr>
      <w:tr>
        <w:trPr>
          <w:trHeight w:val="444"/>
        </w:trPr>
        <w:tc>
          <w:tcPr>
            <w:tcW w:w="3780" w:type="dxa"/>
            <w:vAlign w:val="bottom"/>
          </w:tcPr>
          <w:p>
            <w:pPr>
              <w:spacing w:after="0"/>
              <w:rPr>
                <w:sz w:val="24"/>
                <w:szCs w:val="24"/>
                <w:color w:val="auto"/>
              </w:rPr>
            </w:pPr>
          </w:p>
        </w:tc>
        <w:tc>
          <w:tcPr>
            <w:tcW w:w="3260" w:type="dxa"/>
            <w:vAlign w:val="bottom"/>
          </w:tcPr>
          <w:p>
            <w:pPr>
              <w:jc w:val="center"/>
              <w:ind w:right="977"/>
              <w:spacing w:after="0"/>
              <w:rPr>
                <w:sz w:val="20"/>
                <w:szCs w:val="20"/>
                <w:color w:val="auto"/>
              </w:rPr>
            </w:pPr>
            <w:r>
              <w:rPr>
                <w:rFonts w:ascii="Arial" w:cs="Arial" w:eastAsia="Arial" w:hAnsi="Arial"/>
                <w:sz w:val="18"/>
                <w:szCs w:val="18"/>
                <w:b w:val="1"/>
                <w:bCs w:val="1"/>
                <w:color w:val="auto"/>
              </w:rPr>
              <w:t>(682) 605-1000</w:t>
            </w:r>
          </w:p>
        </w:tc>
        <w:tc>
          <w:tcPr>
            <w:tcW w:w="23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620"/>
        <w:spacing w:after="0"/>
        <w:rPr>
          <w:sz w:val="20"/>
          <w:szCs w:val="20"/>
          <w:color w:val="auto"/>
        </w:rPr>
      </w:pPr>
      <w:r>
        <w:rPr>
          <w:rFonts w:ascii="Arial" w:cs="Arial" w:eastAsia="Arial" w:hAnsi="Arial"/>
          <w:sz w:val="18"/>
          <w:szCs w:val="18"/>
          <w:color w:val="auto"/>
        </w:rPr>
        <w:t>____________________</w:t>
      </w:r>
    </w:p>
    <w:p>
      <w:pPr>
        <w:spacing w:after="0" w:line="252"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6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Title of each class</w:t>
            </w:r>
          </w:p>
        </w:tc>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422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31"/>
        </w:trPr>
        <w:tc>
          <w:tcPr>
            <w:tcW w:w="3960" w:type="dxa"/>
            <w:vAlign w:val="bottom"/>
            <w:vMerge w:val="continue"/>
          </w:tcPr>
          <w:p>
            <w:pPr>
              <w:spacing w:after="0"/>
              <w:rPr>
                <w:sz w:val="11"/>
                <w:szCs w:val="11"/>
                <w:color w:val="auto"/>
              </w:rPr>
            </w:pPr>
          </w:p>
        </w:tc>
        <w:tc>
          <w:tcPr>
            <w:tcW w:w="3060" w:type="dxa"/>
            <w:vAlign w:val="bottom"/>
            <w:vMerge w:val="continue"/>
          </w:tcPr>
          <w:p>
            <w:pPr>
              <w:spacing w:after="0"/>
              <w:rPr>
                <w:sz w:val="11"/>
                <w:szCs w:val="11"/>
                <w:color w:val="auto"/>
              </w:rPr>
            </w:pPr>
          </w:p>
        </w:tc>
        <w:tc>
          <w:tcPr>
            <w:tcW w:w="422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98"/>
              </w:rPr>
              <w:t>registered</w:t>
            </w: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96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Common Stock, $.01 par value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7"/>
              </w:rPr>
              <w:t>SABR</w:t>
            </w:r>
          </w:p>
        </w:tc>
        <w:tc>
          <w:tcPr>
            <w:tcW w:w="422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006"/>
        </w:trPr>
        <w:tc>
          <w:tcPr>
            <w:tcW w:w="39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520" w:type="dxa"/>
            <w:vAlign w:val="bottom"/>
          </w:tcPr>
          <w:p>
            <w:pPr>
              <w:ind w:left="7120"/>
              <w:spacing w:after="0"/>
              <w:rPr>
                <w:sz w:val="20"/>
                <w:szCs w:val="20"/>
                <w:color w:val="auto"/>
              </w:rPr>
            </w:pPr>
            <w:r>
              <w:rPr>
                <w:rFonts w:ascii="Arial" w:cs="Arial" w:eastAsia="Arial" w:hAnsi="Arial"/>
                <w:sz w:val="17"/>
                <w:szCs w:val="17"/>
                <w:color w:val="auto"/>
              </w:rPr>
              <w:t>Emerging growth company</w:t>
            </w:r>
          </w:p>
        </w:tc>
        <w:tc>
          <w:tcPr>
            <w:tcW w:w="172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7"/>
        </w:trPr>
        <w:tc>
          <w:tcPr>
            <w:tcW w:w="9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520" w:type="dxa"/>
            <w:vAlign w:val="bottom"/>
          </w:tcPr>
          <w:p>
            <w:pPr>
              <w:ind w:left="20"/>
              <w:spacing w:after="0" w:line="189" w:lineRule="exact"/>
              <w:rPr>
                <w:sz w:val="20"/>
                <w:szCs w:val="20"/>
                <w:color w:val="auto"/>
              </w:rPr>
            </w:pPr>
            <w:r>
              <w:rPr>
                <w:rFonts w:ascii="Arial" w:cs="Arial" w:eastAsia="Arial" w:hAnsi="Arial"/>
                <w:sz w:val="17"/>
                <w:szCs w:val="17"/>
                <w:color w:val="auto"/>
              </w:rPr>
              <w:t>If emerging growth company, indicate by check mark if the registrant has elected not to use the extended transition</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520" w:type="dxa"/>
            <w:vAlign w:val="bottom"/>
          </w:tcPr>
          <w:p>
            <w:pPr>
              <w:ind w:left="20"/>
              <w:spacing w:after="0" w:line="189" w:lineRule="exact"/>
              <w:rPr>
                <w:sz w:val="20"/>
                <w:szCs w:val="20"/>
                <w:color w:val="auto"/>
              </w:rPr>
            </w:pPr>
            <w:r>
              <w:rPr>
                <w:rFonts w:ascii="Arial" w:cs="Arial" w:eastAsia="Arial" w:hAnsi="Arial"/>
                <w:sz w:val="17"/>
                <w:szCs w:val="17"/>
                <w:color w:val="auto"/>
              </w:rPr>
              <w:t>period for complying with any new or revised financial accounting standards provided pursuant to Section 13(a) of the</w:t>
            </w:r>
          </w:p>
        </w:tc>
        <w:tc>
          <w:tcPr>
            <w:tcW w:w="172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43"/>
        </w:trPr>
        <w:tc>
          <w:tcPr>
            <w:tcW w:w="9520" w:type="dxa"/>
            <w:vAlign w:val="bottom"/>
          </w:tcPr>
          <w:p>
            <w:pPr>
              <w:ind w:left="20"/>
              <w:spacing w:after="0"/>
              <w:rPr>
                <w:sz w:val="20"/>
                <w:szCs w:val="20"/>
                <w:color w:val="auto"/>
              </w:rPr>
            </w:pPr>
            <w:r>
              <w:rPr>
                <w:rFonts w:ascii="Arial" w:cs="Arial" w:eastAsia="Arial" w:hAnsi="Arial"/>
                <w:sz w:val="17"/>
                <w:szCs w:val="17"/>
                <w:color w:val="auto"/>
              </w:rPr>
              <w:t>Exchange Act.</w:t>
            </w: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9"/>
        </w:trPr>
        <w:tc>
          <w:tcPr>
            <w:tcW w:w="9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60" w:lineRule="exact"/>
        <w:rPr>
          <w:sz w:val="20"/>
          <w:szCs w:val="20"/>
          <w:color w:val="auto"/>
        </w:rPr>
      </w:pPr>
    </w:p>
    <w:p>
      <w:pPr>
        <w:ind w:right="160" w:firstLine="486"/>
        <w:spacing w:after="0" w:line="260" w:lineRule="auto"/>
        <w:rPr>
          <w:sz w:val="20"/>
          <w:szCs w:val="20"/>
          <w:color w:val="auto"/>
        </w:rPr>
      </w:pPr>
      <w:r>
        <w:rPr>
          <w:rFonts w:ascii="Arial" w:cs="Arial" w:eastAsia="Arial" w:hAnsi="Arial"/>
          <w:sz w:val="16"/>
          <w:szCs w:val="16"/>
          <w:color w:val="auto"/>
        </w:rPr>
        <w:t>On August 7, 2020, Sabre Corporation (“Sabre”) issued a press release and will hold a conference call regarding its financial results for the quarter ended June 30, 2020. A copy of the press release is attached as Exhibit 99.1.</w:t>
      </w:r>
    </w:p>
    <w:p>
      <w:pPr>
        <w:spacing w:after="0" w:line="195" w:lineRule="exact"/>
        <w:rPr>
          <w:sz w:val="20"/>
          <w:szCs w:val="20"/>
          <w:color w:val="auto"/>
        </w:rPr>
      </w:pPr>
    </w:p>
    <w:p>
      <w:pPr>
        <w:ind w:firstLine="486"/>
        <w:spacing w:after="0" w:line="253" w:lineRule="auto"/>
        <w:rPr>
          <w:sz w:val="20"/>
          <w:szCs w:val="20"/>
          <w:color w:val="auto"/>
        </w:rPr>
      </w:pPr>
      <w:r>
        <w:rPr>
          <w:rFonts w:ascii="Arial" w:cs="Arial" w:eastAsia="Arial" w:hAnsi="Arial"/>
          <w:sz w:val="16"/>
          <w:szCs w:val="16"/>
          <w:color w:val="auto"/>
        </w:rPr>
        <w:t>The information in this Item 2.02 of Form 8-K and the attached exhibit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201" w:lineRule="exact"/>
        <w:rPr>
          <w:sz w:val="20"/>
          <w:szCs w:val="20"/>
          <w:color w:val="auto"/>
        </w:rPr>
      </w:pPr>
    </w:p>
    <w:p>
      <w:pPr>
        <w:ind w:right="640" w:firstLine="486"/>
        <w:spacing w:after="0" w:line="260" w:lineRule="auto"/>
        <w:rPr>
          <w:sz w:val="20"/>
          <w:szCs w:val="20"/>
          <w:color w:val="auto"/>
        </w:rPr>
      </w:pPr>
      <w:r>
        <w:rPr>
          <w:rFonts w:ascii="Arial" w:cs="Arial" w:eastAsia="Arial" w:hAnsi="Arial"/>
          <w:sz w:val="16"/>
          <w:szCs w:val="16"/>
          <w:color w:val="auto"/>
        </w:rPr>
        <w:t>Sabre makes reference to non-GAAP financial measures in the press release. A reconciliation of these non-GAAP financial measures to the comparable GAAP financial measures is contained in the attached press release.</w:t>
      </w:r>
    </w:p>
    <w:p>
      <w:pPr>
        <w:spacing w:after="0" w:line="378"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44"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6" w:lineRule="exact"/>
        <w:rPr>
          <w:sz w:val="20"/>
          <w:szCs w:val="20"/>
          <w:color w:val="auto"/>
        </w:rPr>
      </w:pPr>
    </w:p>
    <w:p>
      <w:pPr>
        <w:ind w:left="80"/>
        <w:spacing w:after="0"/>
        <w:tabs>
          <w:tab w:leader="none" w:pos="1180" w:val="left"/>
        </w:tabs>
        <w:rPr>
          <w:rFonts w:ascii="Arial" w:cs="Arial" w:eastAsia="Arial" w:hAnsi="Arial"/>
          <w:sz w:val="16"/>
          <w:szCs w:val="16"/>
          <w:u w:val="single" w:color="auto"/>
          <w:color w:val="0000FF"/>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6"/>
            <w:szCs w:val="16"/>
            <w:u w:val="single" w:color="auto"/>
            <w:color w:val="0000FF"/>
          </w:rPr>
          <w:t>Press Release dated August 7, 2020.</w:t>
        </w:r>
      </w:hyperlink>
    </w:p>
    <w:p>
      <w:pPr>
        <w:spacing w:after="0" w:line="73" w:lineRule="exact"/>
        <w:rPr>
          <w:sz w:val="20"/>
          <w:szCs w:val="20"/>
          <w:color w:val="auto"/>
        </w:rPr>
      </w:pPr>
    </w:p>
    <w:p>
      <w:pPr>
        <w:ind w:left="1240" w:hanging="1214"/>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w:t>
      </w:r>
    </w:p>
    <w:p>
      <w:pPr>
        <w:spacing w:after="0" w:line="101"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320"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980" w:type="dxa"/>
            <w:vAlign w:val="bottom"/>
            <w:gridSpan w:val="2"/>
          </w:tcPr>
          <w:p>
            <w:pPr>
              <w:ind w:left="2240"/>
              <w:spacing w:after="0"/>
              <w:rPr>
                <w:sz w:val="20"/>
                <w:szCs w:val="20"/>
                <w:color w:val="auto"/>
              </w:rPr>
            </w:pPr>
            <w:r>
              <w:rPr>
                <w:rFonts w:ascii="Arial" w:cs="Arial" w:eastAsia="Arial" w:hAnsi="Arial"/>
                <w:sz w:val="16"/>
                <w:szCs w:val="16"/>
                <w:color w:val="auto"/>
              </w:rPr>
              <w:t>Sabre Corporation</w:t>
            </w:r>
          </w:p>
        </w:tc>
      </w:tr>
      <w:tr>
        <w:trPr>
          <w:trHeight w:val="553"/>
        </w:trPr>
        <w:tc>
          <w:tcPr>
            <w:tcW w:w="620" w:type="dxa"/>
            <w:vAlign w:val="bottom"/>
          </w:tcPr>
          <w:p>
            <w:pPr>
              <w:spacing w:after="0"/>
              <w:rPr>
                <w:sz w:val="20"/>
                <w:szCs w:val="20"/>
                <w:color w:val="auto"/>
              </w:rPr>
            </w:pPr>
            <w:r>
              <w:rPr>
                <w:rFonts w:ascii="Arial" w:cs="Arial" w:eastAsia="Arial" w:hAnsi="Arial"/>
                <w:sz w:val="16"/>
                <w:szCs w:val="16"/>
                <w:color w:val="auto"/>
              </w:rPr>
              <w:t>Dated:</w:t>
            </w:r>
          </w:p>
        </w:tc>
        <w:tc>
          <w:tcPr>
            <w:tcW w:w="3480" w:type="dxa"/>
            <w:vAlign w:val="bottom"/>
          </w:tcPr>
          <w:p>
            <w:pPr>
              <w:ind w:left="160"/>
              <w:spacing w:after="0"/>
              <w:rPr>
                <w:sz w:val="20"/>
                <w:szCs w:val="20"/>
                <w:color w:val="auto"/>
              </w:rPr>
            </w:pPr>
            <w:r>
              <w:rPr>
                <w:rFonts w:ascii="Arial" w:cs="Arial" w:eastAsia="Arial" w:hAnsi="Arial"/>
                <w:sz w:val="16"/>
                <w:szCs w:val="16"/>
                <w:color w:val="auto"/>
              </w:rPr>
              <w:t>August 7, 2020</w:t>
            </w:r>
          </w:p>
        </w:tc>
        <w:tc>
          <w:tcPr>
            <w:tcW w:w="3040" w:type="dxa"/>
            <w:vAlign w:val="bottom"/>
          </w:tcPr>
          <w:p>
            <w:pPr>
              <w:ind w:left="224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Douglas E. Barnett</w:t>
            </w:r>
          </w:p>
        </w:tc>
      </w:tr>
      <w:tr>
        <w:trPr>
          <w:trHeight w:val="223"/>
        </w:trPr>
        <w:tc>
          <w:tcPr>
            <w:tcW w:w="6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040" w:type="dxa"/>
            <w:vAlign w:val="bottom"/>
          </w:tcPr>
          <w:p>
            <w:pPr>
              <w:ind w:left="2240"/>
              <w:spacing w:after="0"/>
              <w:rPr>
                <w:sz w:val="20"/>
                <w:szCs w:val="20"/>
                <w:color w:val="auto"/>
              </w:rPr>
            </w:pPr>
            <w:r>
              <w:rPr>
                <w:rFonts w:ascii="Arial" w:cs="Arial" w:eastAsia="Arial" w:hAnsi="Arial"/>
                <w:sz w:val="16"/>
                <w:szCs w:val="16"/>
                <w:color w:val="auto"/>
              </w:rPr>
              <w:t>Name:</w:t>
            </w:r>
          </w:p>
        </w:tc>
        <w:tc>
          <w:tcPr>
            <w:tcW w:w="3940" w:type="dxa"/>
            <w:vAlign w:val="bottom"/>
          </w:tcPr>
          <w:p>
            <w:pPr>
              <w:ind w:left="20"/>
              <w:spacing w:after="0"/>
              <w:rPr>
                <w:sz w:val="20"/>
                <w:szCs w:val="20"/>
                <w:color w:val="auto"/>
              </w:rPr>
            </w:pPr>
            <w:r>
              <w:rPr>
                <w:rFonts w:ascii="Arial" w:cs="Arial" w:eastAsia="Arial" w:hAnsi="Arial"/>
                <w:sz w:val="16"/>
                <w:szCs w:val="16"/>
                <w:color w:val="auto"/>
              </w:rPr>
              <w:t>Douglas E. Barnett</w:t>
            </w:r>
          </w:p>
        </w:tc>
      </w:tr>
      <w:tr>
        <w:trPr>
          <w:trHeight w:val="243"/>
        </w:trPr>
        <w:tc>
          <w:tcPr>
            <w:tcW w:w="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040" w:type="dxa"/>
            <w:vAlign w:val="bottom"/>
          </w:tcPr>
          <w:p>
            <w:pPr>
              <w:ind w:left="2240"/>
              <w:spacing w:after="0"/>
              <w:rPr>
                <w:sz w:val="20"/>
                <w:szCs w:val="20"/>
                <w:color w:val="auto"/>
              </w:rPr>
            </w:pPr>
            <w:r>
              <w:rPr>
                <w:rFonts w:ascii="Arial" w:cs="Arial" w:eastAsia="Arial" w:hAnsi="Arial"/>
                <w:sz w:val="16"/>
                <w:szCs w:val="16"/>
                <w:color w:val="auto"/>
              </w:rPr>
              <w:t>Title:</w:t>
            </w:r>
          </w:p>
        </w:tc>
        <w:tc>
          <w:tcPr>
            <w:tcW w:w="39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140"/>
          </w:cols>
          <w:pgMar w:left="320" w:top="1440"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911860</wp:posOffset>
            </wp:positionV>
            <wp:extent cx="120015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Sabre positions for growth post-COVID-19; reports second quarter 2020 results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67" w:lineRule="exact"/>
        <w:rPr>
          <w:sz w:val="20"/>
          <w:szCs w:val="20"/>
          <w:color w:val="auto"/>
        </w:rPr>
      </w:pPr>
    </w:p>
    <w:p>
      <w:pPr>
        <w:ind w:left="660" w:hanging="328"/>
        <w:spacing w:after="0" w:line="309"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Announced business realignment, combining airline and agency-focused businesses to provide a more seamless customer experience and unlock cost efficiencies</w:t>
      </w:r>
    </w:p>
    <w:p>
      <w:pPr>
        <w:spacing w:after="0" w:line="1" w:lineRule="exact"/>
        <w:rPr>
          <w:rFonts w:ascii="Arial" w:cs="Arial" w:eastAsia="Arial" w:hAnsi="Arial"/>
          <w:sz w:val="20"/>
          <w:szCs w:val="20"/>
          <w:b w:val="1"/>
          <w:bCs w:val="1"/>
          <w:color w:val="auto"/>
        </w:rPr>
      </w:pPr>
    </w:p>
    <w:p>
      <w:pPr>
        <w:ind w:left="660" w:right="20" w:hanging="328"/>
        <w:spacing w:after="0" w:line="309"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Signed new commercial agreements and key renewals despite impact of COVID-19, including new airlines for SabreSonic reservation system, expanded use of Intelligence Exchange and GDS renewals</w:t>
      </w:r>
    </w:p>
    <w:p>
      <w:pPr>
        <w:spacing w:after="0" w:line="1" w:lineRule="exact"/>
        <w:rPr>
          <w:rFonts w:ascii="Arial" w:cs="Arial" w:eastAsia="Arial" w:hAnsi="Arial"/>
          <w:sz w:val="20"/>
          <w:szCs w:val="20"/>
          <w:b w:val="1"/>
          <w:bCs w:val="1"/>
          <w:color w:val="auto"/>
        </w:rPr>
      </w:pPr>
    </w:p>
    <w:p>
      <w:pPr>
        <w:ind w:left="660" w:right="20" w:hanging="328"/>
        <w:spacing w:after="0" w:line="309"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Completed integration of Sabre infrastructure with Google Cloud platform and delivered first phase of Google Flight Search Availability</w:t>
      </w:r>
    </w:p>
    <w:p>
      <w:pPr>
        <w:spacing w:after="0" w:line="1"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Recognized significant technology cost savings related to progress on cloud migration</w:t>
      </w:r>
    </w:p>
    <w:p>
      <w:pPr>
        <w:spacing w:after="0" w:line="67"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Expanded and renewed Radixx business with low-cost carriers</w:t>
      </w:r>
    </w:p>
    <w:p>
      <w:pPr>
        <w:spacing w:after="0" w:line="67" w:lineRule="exact"/>
        <w:rPr>
          <w:rFonts w:ascii="Arial" w:cs="Arial" w:eastAsia="Arial" w:hAnsi="Arial"/>
          <w:sz w:val="20"/>
          <w:szCs w:val="20"/>
          <w:b w:val="1"/>
          <w:bCs w:val="1"/>
          <w:color w:val="auto"/>
        </w:rPr>
      </w:pPr>
    </w:p>
    <w:p>
      <w:pPr>
        <w:ind w:left="660" w:hanging="328"/>
        <w:spacing w:after="0" w:line="342"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Saw commercial strength in Hospitality Solutions as hotel transactions lead the travel industry's recovery and remain committed to Accor partnership</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2020 summary:</w:t>
      </w:r>
    </w:p>
    <w:p>
      <w:pPr>
        <w:spacing w:after="0" w:line="6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Second quarter revenue totaled $83 million</w:t>
      </w:r>
    </w:p>
    <w:p>
      <w:pPr>
        <w:spacing w:after="0" w:line="67" w:lineRule="exact"/>
        <w:rPr>
          <w:rFonts w:ascii="Arial" w:cs="Arial" w:eastAsia="Arial" w:hAnsi="Arial"/>
          <w:sz w:val="20"/>
          <w:szCs w:val="20"/>
          <w:b w:val="1"/>
          <w:bCs w:val="1"/>
          <w:color w:val="auto"/>
        </w:rPr>
      </w:pPr>
    </w:p>
    <w:p>
      <w:pPr>
        <w:ind w:left="660" w:right="20" w:hanging="328"/>
        <w:spacing w:after="0" w:line="309"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Net loss attributable to common stockholders of $444 million and net loss attributable to common stockholders per share of $1.61</w:t>
      </w:r>
    </w:p>
    <w:p>
      <w:pPr>
        <w:spacing w:after="0" w:line="1" w:lineRule="exact"/>
        <w:rPr>
          <w:rFonts w:ascii="Arial" w:cs="Arial" w:eastAsia="Arial" w:hAnsi="Arial"/>
          <w:sz w:val="20"/>
          <w:szCs w:val="20"/>
          <w:b w:val="1"/>
          <w:bCs w:val="1"/>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Adjusted Net Loss from continuing operations per share of $1.30</w:t>
      </w:r>
    </w:p>
    <w:p>
      <w:pPr>
        <w:spacing w:after="0" w:line="67" w:lineRule="exact"/>
        <w:rPr>
          <w:rFonts w:ascii="Arial" w:cs="Arial" w:eastAsia="Arial" w:hAnsi="Arial"/>
          <w:sz w:val="20"/>
          <w:szCs w:val="20"/>
          <w:b w:val="1"/>
          <w:bCs w:val="1"/>
          <w:color w:val="auto"/>
        </w:rPr>
      </w:pPr>
    </w:p>
    <w:p>
      <w:pPr>
        <w:ind w:left="660" w:hanging="328"/>
        <w:spacing w:after="0" w:line="342"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All metrics were negatively impacted by COVID-19 pandemic, partially offset by variable cost relief and implementation of cost saving actions</w:t>
      </w:r>
    </w:p>
    <w:p>
      <w:pPr>
        <w:spacing w:after="0" w:line="206"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SOUTHLAKE, Texas – August 7, 2020 – Sabre Corporation ("Sabre" or the "Company") (NASDAQ: SABR) today announced financial results for the quarter ended June 30, 2020.</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"This remains an extraordinary time of disruption in global travel. As a mission-critical solutions provider to the global travel industry, we responded quickly and effectively to reduce costs and improve liquidity to mitigate the massive challenge the COVID-19 pandemic represents. We took difficult and decisive actions that we believe best position the company on the other side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33"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this crisis," said Sean Menke, President and CEO. "Although we exited the quarter with positive net air bookings in June for the first time since early March and stronger improvement in hotel bookings, the overall travel environment remains severely depressed.</w:t>
      </w:r>
    </w:p>
    <w:p>
      <w:pPr>
        <w:spacing w:after="0" w:line="234"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 COVID-19 pandemic has caused major shifts in the travel ecosystem. We have taken this opportunity to right-size our global organization with a reduction in workforce and accelerate the realignment of our airline and agency-focused businesses to provide a stronger, more seamless experience for our customers.</w:t>
      </w:r>
    </w:p>
    <w:p>
      <w:pPr>
        <w:spacing w:after="0" w:line="234"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"We are winning new business and signing key renewals even during this challenging time. Because of the progress we've made on our cloud migration, we have successfully scaled down processing capacity during this time of reduced travel volumes, resulting in significantly lower technology costs. We are accelerating our transition to Google Cloud and have completed the necessary integration work to start migrating workloads in the second half of 2020.</w:t>
      </w:r>
    </w:p>
    <w:p>
      <w:pPr>
        <w:spacing w:after="0" w:line="23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"I'd like to thank my Sabre teammates for making great sacrifices and welcome back colleagues that have been on furlough. I'm proud of what we have accomplished and believe we are positioning the company well for growth post-COVID-19."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Q2 2020 Financial Summary</w:t>
      </w:r>
    </w:p>
    <w:p>
      <w:pPr>
        <w:spacing w:after="0" w:line="334"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Sabre consolidated second quarter revenue totaled $83 million, compared to $1 billion in the second quarter of 2019. The decline in revenue was driven by unprecedented reductions in global air, hotel and other travel bookings due to the COVID-19 pandemic.</w:t>
      </w:r>
    </w:p>
    <w:p>
      <w:pPr>
        <w:spacing w:after="0" w:line="234"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Operating loss was $384 million, versus operating income of $82 million in the second quarter of 2019. The decline in operating results in the quarter was primarily due to the significant decline in revenue driven by COVID-19, as well as $48 million in restructuring charges related to our cost savings actions. These impacts were partially offset by a decline in Travel Network incentive expenses, reduced headcount-related expenses resulting from implementation of cost saving actions and a decline in technology costs due to lower transaction volumes.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Net loss attributable to common stockholders totaled $444 million, versus net income of $28 million in the second quarter of 2019. Diluted net loss attributable to common stockholders per share totaled $1.61, versus diluted net income attributable to common stockholders per share of $0.10 in the second quarter of 2019. The change in net income attributable to common stockholders was driven by the items impacting operating loss described above and increased interest expense, partially offset by a reduction in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Adjusted Operating Loss was $307 million, versus $127 million Adjusted Operating Income in the second quarter of 2019. The decline in operating results in the quarter was primarily due to the significant decline in revenue driven by COVID-19, partially offset by a decline in Travel Network incentive expenses, reduced headcount-related expenses resulting from implementation of cost saving actions and a decline in technology costs due to lower transaction volumes.</w:t>
      </w:r>
    </w:p>
    <w:p>
      <w:pPr>
        <w:spacing w:after="0" w:line="23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For the quarter, Sabre reported Adjusted Net Loss from continuing operations per share of $1.30, versus Adjusted Net Income from continuing operations per share of $0.24 in the second quarter of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With regards to Sabre's second quarter 2020 cash flows (versus prior year):</w:t>
      </w:r>
    </w:p>
    <w:p>
      <w:pPr>
        <w:spacing w:after="0" w:line="6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used in operating activities totaled $435 million (vs. $106 million provided by)</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used in investing activities totaled $11 million (vs. $38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provided by financing activities totaled $1,070 million (vs. $129 million used in)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Capitalized expenditures totaled $11 million (vs. $29 million)</w:t>
      </w:r>
    </w:p>
    <w:p>
      <w:pPr>
        <w:spacing w:after="0" w:line="310"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The second quarter presented negative Free Cash Flow of $446 million, versus Free Cash Flow generation of $76 million in the second quarter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ind w:left="20"/>
              <w:spacing w:after="0"/>
              <w:rPr>
                <w:sz w:val="20"/>
                <w:szCs w:val="20"/>
                <w:color w:val="auto"/>
              </w:rPr>
            </w:pPr>
            <w:r>
              <w:rPr>
                <w:rFonts w:ascii="Arial" w:cs="Arial" w:eastAsia="Arial" w:hAnsi="Arial"/>
                <w:sz w:val="14"/>
                <w:szCs w:val="14"/>
                <w:color w:val="auto"/>
              </w:rPr>
              <w:t>Financial Highlights</w:t>
            </w:r>
          </w:p>
        </w:tc>
        <w:tc>
          <w:tcPr>
            <w:tcW w:w="180" w:type="dxa"/>
            <w:vAlign w:val="bottom"/>
            <w:tcBorders>
              <w:bottom w:val="single" w:sz="8" w:color="800000"/>
            </w:tcBorders>
          </w:tcPr>
          <w:p>
            <w:pPr>
              <w:spacing w:after="0"/>
              <w:rPr>
                <w:sz w:val="17"/>
                <w:szCs w:val="17"/>
                <w:color w:val="auto"/>
              </w:rPr>
            </w:pPr>
          </w:p>
        </w:tc>
        <w:tc>
          <w:tcPr>
            <w:tcW w:w="920" w:type="dxa"/>
            <w:vAlign w:val="bottom"/>
            <w:tcBorders>
              <w:bottom w:val="single" w:sz="8" w:color="800000"/>
            </w:tcBorders>
          </w:tcPr>
          <w:p>
            <w:pPr>
              <w:spacing w:after="0"/>
              <w:rPr>
                <w:sz w:val="17"/>
                <w:szCs w:val="17"/>
                <w:color w:val="auto"/>
              </w:rPr>
            </w:pPr>
          </w:p>
        </w:tc>
        <w:tc>
          <w:tcPr>
            <w:tcW w:w="2340" w:type="dxa"/>
            <w:vAlign w:val="bottom"/>
            <w:tcBorders>
              <w:bottom w:val="single" w:sz="8" w:color="800000"/>
            </w:tcBorders>
            <w:gridSpan w:val="2"/>
          </w:tcPr>
          <w:p>
            <w:pPr>
              <w:jc w:val="right"/>
              <w:ind w:right="124"/>
              <w:spacing w:after="0"/>
              <w:rPr>
                <w:sz w:val="20"/>
                <w:szCs w:val="20"/>
                <w:color w:val="auto"/>
              </w:rPr>
            </w:pPr>
            <w:r>
              <w:rPr>
                <w:rFonts w:ascii="Arial" w:cs="Arial" w:eastAsia="Arial" w:hAnsi="Arial"/>
                <w:sz w:val="14"/>
                <w:szCs w:val="14"/>
                <w:b w:val="1"/>
                <w:bCs w:val="1"/>
                <w:color w:val="auto"/>
              </w:rPr>
              <w:t>Three Months Ended June 30,</w:t>
            </w:r>
          </w:p>
        </w:tc>
        <w:tc>
          <w:tcPr>
            <w:tcW w:w="1000" w:type="dxa"/>
            <w:vAlign w:val="bottom"/>
            <w:tcBorders>
              <w:bottom w:val="single" w:sz="8" w:color="800000"/>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800000"/>
            </w:tcBorders>
          </w:tcPr>
          <w:p>
            <w:pPr>
              <w:spacing w:after="0"/>
              <w:rPr>
                <w:sz w:val="17"/>
                <w:szCs w:val="17"/>
                <w:color w:val="auto"/>
              </w:rPr>
            </w:pPr>
          </w:p>
        </w:tc>
        <w:tc>
          <w:tcPr>
            <w:tcW w:w="2700" w:type="dxa"/>
            <w:vAlign w:val="bottom"/>
            <w:tcBorders>
              <w:bottom w:val="single" w:sz="8" w:color="800000"/>
            </w:tcBorders>
            <w:gridSpan w:val="3"/>
          </w:tcPr>
          <w:p>
            <w:pPr>
              <w:jc w:val="right"/>
              <w:ind w:right="4"/>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Borders>
              <w:bottom w:val="single" w:sz="8" w:color="800000"/>
            </w:tcBorders>
          </w:tcPr>
          <w:p>
            <w:pPr>
              <w:spacing w:after="0"/>
              <w:rPr>
                <w:sz w:val="17"/>
                <w:szCs w:val="17"/>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4"/>
                <w:szCs w:val="14"/>
                <w:color w:val="auto"/>
              </w:rPr>
              <w:t>(in thousands, except for EPS; unaudited):</w:t>
            </w:r>
          </w:p>
        </w:tc>
        <w:tc>
          <w:tcPr>
            <w:tcW w:w="180" w:type="dxa"/>
            <w:vAlign w:val="bottom"/>
          </w:tcPr>
          <w:p>
            <w:pPr>
              <w:spacing w:after="0"/>
              <w:rPr>
                <w:sz w:val="18"/>
                <w:szCs w:val="18"/>
                <w:color w:val="auto"/>
              </w:rPr>
            </w:pPr>
          </w:p>
        </w:tc>
        <w:tc>
          <w:tcPr>
            <w:tcW w:w="9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8"/>
                <w:szCs w:val="18"/>
                <w:color w:val="auto"/>
              </w:rPr>
            </w:pPr>
          </w:p>
        </w:tc>
        <w:tc>
          <w:tcPr>
            <w:tcW w:w="1920" w:type="dxa"/>
            <w:vAlign w:val="bottom"/>
          </w:tcPr>
          <w:p>
            <w:pPr>
              <w:jc w:val="right"/>
              <w:ind w:right="844"/>
              <w:spacing w:after="0"/>
              <w:rPr>
                <w:sz w:val="20"/>
                <w:szCs w:val="20"/>
                <w:color w:val="auto"/>
              </w:rPr>
            </w:pPr>
            <w:r>
              <w:rPr>
                <w:rFonts w:ascii="Arial" w:cs="Arial" w:eastAsia="Arial" w:hAnsi="Arial"/>
                <w:sz w:val="14"/>
                <w:szCs w:val="14"/>
                <w:b w:val="1"/>
                <w:bCs w:val="1"/>
                <w:color w:val="auto"/>
              </w:rPr>
              <w:t>2019</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8"/>
                <w:szCs w:val="18"/>
                <w:color w:val="auto"/>
              </w:rPr>
            </w:pPr>
          </w:p>
        </w:tc>
        <w:tc>
          <w:tcPr>
            <w:tcW w:w="920" w:type="dxa"/>
            <w:vAlign w:val="bottom"/>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8"/>
                <w:szCs w:val="18"/>
                <w:color w:val="auto"/>
              </w:rPr>
            </w:pPr>
          </w:p>
        </w:tc>
        <w:tc>
          <w:tcPr>
            <w:tcW w:w="1480" w:type="dxa"/>
            <w:vAlign w:val="bottom"/>
          </w:tcPr>
          <w:p>
            <w:pPr>
              <w:jc w:val="right"/>
              <w:ind w:right="624"/>
              <w:spacing w:after="0"/>
              <w:rPr>
                <w:sz w:val="20"/>
                <w:szCs w:val="20"/>
                <w:color w:val="auto"/>
              </w:rPr>
            </w:pPr>
            <w:r>
              <w:rPr>
                <w:rFonts w:ascii="Arial" w:cs="Arial" w:eastAsia="Arial" w:hAnsi="Arial"/>
                <w:sz w:val="14"/>
                <w:szCs w:val="14"/>
                <w:b w:val="1"/>
                <w:bCs w:val="1"/>
                <w:color w:val="auto"/>
              </w:rPr>
              <w:t>2019</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960" w:type="dxa"/>
            <w:vAlign w:val="bottom"/>
            <w:tcBorders>
              <w:top w:val="single" w:sz="8" w:color="800000"/>
            </w:tcBorders>
            <w:shd w:val="clear" w:color="auto" w:fill="F2DCDB"/>
          </w:tcPr>
          <w:p>
            <w:pPr>
              <w:ind w:left="20"/>
              <w:spacing w:after="0"/>
              <w:rPr>
                <w:sz w:val="20"/>
                <w:szCs w:val="20"/>
                <w:color w:val="auto"/>
              </w:rPr>
            </w:pPr>
            <w:r>
              <w:rPr>
                <w:rFonts w:ascii="Arial" w:cs="Arial" w:eastAsia="Arial" w:hAnsi="Arial"/>
                <w:sz w:val="16"/>
                <w:szCs w:val="16"/>
                <w:color w:val="auto"/>
              </w:rPr>
              <w:t>Total Company:</w:t>
            </w:r>
          </w:p>
        </w:tc>
        <w:tc>
          <w:tcPr>
            <w:tcW w:w="180" w:type="dxa"/>
            <w:vAlign w:val="bottom"/>
            <w:tcBorders>
              <w:top w:val="single" w:sz="8" w:color="800000"/>
            </w:tcBorders>
            <w:shd w:val="clear" w:color="auto" w:fill="F2DCDB"/>
          </w:tcPr>
          <w:p>
            <w:pPr>
              <w:spacing w:after="0"/>
              <w:rPr>
                <w:sz w:val="21"/>
                <w:szCs w:val="21"/>
                <w:color w:val="auto"/>
              </w:rPr>
            </w:pPr>
          </w:p>
        </w:tc>
        <w:tc>
          <w:tcPr>
            <w:tcW w:w="920" w:type="dxa"/>
            <w:vAlign w:val="bottom"/>
            <w:tcBorders>
              <w:top w:val="single" w:sz="8" w:color="800000"/>
            </w:tcBorders>
            <w:shd w:val="clear" w:color="auto" w:fill="F2DCDB"/>
          </w:tcPr>
          <w:p>
            <w:pPr>
              <w:spacing w:after="0"/>
              <w:rPr>
                <w:sz w:val="21"/>
                <w:szCs w:val="21"/>
                <w:color w:val="auto"/>
              </w:rPr>
            </w:pPr>
          </w:p>
        </w:tc>
        <w:tc>
          <w:tcPr>
            <w:tcW w:w="420" w:type="dxa"/>
            <w:vAlign w:val="bottom"/>
            <w:tcBorders>
              <w:top w:val="single" w:sz="8" w:color="800000"/>
            </w:tcBorders>
            <w:shd w:val="clear" w:color="auto" w:fill="F2DCDB"/>
          </w:tcPr>
          <w:p>
            <w:pPr>
              <w:spacing w:after="0"/>
              <w:rPr>
                <w:sz w:val="21"/>
                <w:szCs w:val="21"/>
                <w:color w:val="auto"/>
              </w:rPr>
            </w:pPr>
          </w:p>
        </w:tc>
        <w:tc>
          <w:tcPr>
            <w:tcW w:w="1920" w:type="dxa"/>
            <w:vAlign w:val="bottom"/>
            <w:tcBorders>
              <w:top w:val="single" w:sz="8" w:color="800000"/>
            </w:tcBorders>
            <w:shd w:val="clear" w:color="auto" w:fill="F2DCDB"/>
          </w:tcPr>
          <w:p>
            <w:pPr>
              <w:spacing w:after="0"/>
              <w:rPr>
                <w:sz w:val="21"/>
                <w:szCs w:val="21"/>
                <w:color w:val="auto"/>
              </w:rPr>
            </w:pPr>
          </w:p>
        </w:tc>
        <w:tc>
          <w:tcPr>
            <w:tcW w:w="1000" w:type="dxa"/>
            <w:vAlign w:val="bottom"/>
            <w:tcBorders>
              <w:top w:val="single" w:sz="8" w:color="800000"/>
            </w:tcBorders>
            <w:shd w:val="clear" w:color="auto" w:fill="F2DCDB"/>
          </w:tcPr>
          <w:p>
            <w:pPr>
              <w:spacing w:after="0"/>
              <w:rPr>
                <w:sz w:val="21"/>
                <w:szCs w:val="21"/>
                <w:color w:val="auto"/>
              </w:rPr>
            </w:pPr>
          </w:p>
        </w:tc>
        <w:tc>
          <w:tcPr>
            <w:tcW w:w="80" w:type="dxa"/>
            <w:vAlign w:val="bottom"/>
            <w:tcBorders>
              <w:top w:val="single" w:sz="8" w:color="F2DCDB"/>
            </w:tcBorders>
            <w:shd w:val="clear" w:color="auto" w:fill="F2DCDB"/>
          </w:tcPr>
          <w:p>
            <w:pPr>
              <w:spacing w:after="0"/>
              <w:rPr>
                <w:sz w:val="21"/>
                <w:szCs w:val="21"/>
                <w:color w:val="auto"/>
              </w:rPr>
            </w:pPr>
          </w:p>
        </w:tc>
        <w:tc>
          <w:tcPr>
            <w:tcW w:w="200" w:type="dxa"/>
            <w:vAlign w:val="bottom"/>
            <w:tcBorders>
              <w:top w:val="single" w:sz="8" w:color="800000"/>
            </w:tcBorders>
            <w:shd w:val="clear" w:color="auto" w:fill="F2DCDB"/>
          </w:tcPr>
          <w:p>
            <w:pPr>
              <w:spacing w:after="0"/>
              <w:rPr>
                <w:sz w:val="21"/>
                <w:szCs w:val="21"/>
                <w:color w:val="auto"/>
              </w:rPr>
            </w:pPr>
          </w:p>
        </w:tc>
        <w:tc>
          <w:tcPr>
            <w:tcW w:w="920" w:type="dxa"/>
            <w:vAlign w:val="bottom"/>
            <w:tcBorders>
              <w:top w:val="single" w:sz="8" w:color="800000"/>
            </w:tcBorders>
            <w:shd w:val="clear" w:color="auto" w:fill="F2DCDB"/>
          </w:tcPr>
          <w:p>
            <w:pPr>
              <w:spacing w:after="0"/>
              <w:rPr>
                <w:sz w:val="21"/>
                <w:szCs w:val="21"/>
                <w:color w:val="auto"/>
              </w:rPr>
            </w:pPr>
          </w:p>
        </w:tc>
        <w:tc>
          <w:tcPr>
            <w:tcW w:w="300" w:type="dxa"/>
            <w:vAlign w:val="bottom"/>
            <w:tcBorders>
              <w:top w:val="single" w:sz="8" w:color="800000"/>
            </w:tcBorders>
            <w:shd w:val="clear" w:color="auto" w:fill="F2DCDB"/>
          </w:tcPr>
          <w:p>
            <w:pPr>
              <w:spacing w:after="0"/>
              <w:rPr>
                <w:sz w:val="21"/>
                <w:szCs w:val="21"/>
                <w:color w:val="auto"/>
              </w:rPr>
            </w:pPr>
          </w:p>
        </w:tc>
        <w:tc>
          <w:tcPr>
            <w:tcW w:w="1480" w:type="dxa"/>
            <w:vAlign w:val="bottom"/>
            <w:tcBorders>
              <w:top w:val="single" w:sz="8" w:color="800000"/>
            </w:tcBorders>
            <w:shd w:val="clear" w:color="auto" w:fill="F2DCDB"/>
          </w:tcPr>
          <w:p>
            <w:pPr>
              <w:spacing w:after="0"/>
              <w:rPr>
                <w:sz w:val="21"/>
                <w:szCs w:val="21"/>
                <w:color w:val="auto"/>
              </w:rPr>
            </w:pPr>
          </w:p>
        </w:tc>
        <w:tc>
          <w:tcPr>
            <w:tcW w:w="860" w:type="dxa"/>
            <w:vAlign w:val="bottom"/>
            <w:tcBorders>
              <w:top w:val="single" w:sz="8" w:color="800000"/>
            </w:tcBorders>
            <w:shd w:val="clear" w:color="auto" w:fill="F2DCDB"/>
          </w:tcPr>
          <w:p>
            <w:pPr>
              <w:spacing w:after="0"/>
              <w:rPr>
                <w:sz w:val="21"/>
                <w:szCs w:val="21"/>
                <w:color w:val="auto"/>
              </w:rPr>
            </w:pPr>
          </w:p>
        </w:tc>
      </w:tr>
      <w:tr>
        <w:trPr>
          <w:trHeight w:val="3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Revenue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83,044</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1,000,006</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(91.7)</w:t>
            </w:r>
          </w:p>
        </w:tc>
        <w:tc>
          <w:tcPr>
            <w:tcW w:w="80" w:type="dxa"/>
            <w:vAlign w:val="bottom"/>
          </w:tcPr>
          <w:p>
            <w:pPr>
              <w:spacing w:after="0"/>
              <w:rPr>
                <w:sz w:val="24"/>
                <w:szCs w:val="24"/>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742,021</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2,049,367</w:t>
            </w:r>
          </w:p>
        </w:tc>
        <w:tc>
          <w:tcPr>
            <w:tcW w:w="860" w:type="dxa"/>
            <w:vAlign w:val="bottom"/>
          </w:tcPr>
          <w:p>
            <w:pPr>
              <w:jc w:val="center"/>
              <w:spacing w:after="0"/>
              <w:rPr>
                <w:sz w:val="20"/>
                <w:szCs w:val="20"/>
                <w:color w:val="auto"/>
              </w:rPr>
            </w:pPr>
            <w:r>
              <w:rPr>
                <w:rFonts w:ascii="Arial" w:cs="Arial" w:eastAsia="Arial" w:hAnsi="Arial"/>
                <w:sz w:val="15"/>
                <w:szCs w:val="15"/>
                <w:color w:val="auto"/>
              </w:rPr>
              <w:t>(63.8)</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Operating (loss)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(384,070)</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81,913</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(568.9)</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(535,481)</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192,320</w:t>
            </w:r>
          </w:p>
        </w:tc>
        <w:tc>
          <w:tcPr>
            <w:tcW w:w="860" w:type="dxa"/>
            <w:vAlign w:val="bottom"/>
          </w:tcPr>
          <w:p>
            <w:pPr>
              <w:jc w:val="center"/>
              <w:spacing w:after="0"/>
              <w:rPr>
                <w:sz w:val="20"/>
                <w:szCs w:val="20"/>
                <w:color w:val="auto"/>
              </w:rPr>
            </w:pPr>
            <w:r>
              <w:rPr>
                <w:rFonts w:ascii="Arial" w:cs="Arial" w:eastAsia="Arial" w:hAnsi="Arial"/>
                <w:sz w:val="15"/>
                <w:szCs w:val="15"/>
                <w:color w:val="auto"/>
              </w:rPr>
              <w:t>(378.4)</w:t>
            </w:r>
          </w:p>
        </w:tc>
      </w:tr>
      <w:tr>
        <w:trPr>
          <w:trHeight w:val="17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Net (loss) income attributable to</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(444,131)</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27,838</w:t>
            </w:r>
          </w:p>
        </w:tc>
        <w:tc>
          <w:tcPr>
            <w:tcW w:w="1000" w:type="dxa"/>
            <w:vAlign w:val="bottom"/>
          </w:tcPr>
          <w:p>
            <w:pPr>
              <w:jc w:val="center"/>
              <w:ind w:left="64"/>
              <w:spacing w:after="0"/>
              <w:rPr>
                <w:sz w:val="20"/>
                <w:szCs w:val="20"/>
                <w:color w:val="auto"/>
              </w:rPr>
            </w:pPr>
            <w:r>
              <w:rPr>
                <w:rFonts w:ascii="Arial" w:cs="Arial" w:eastAsia="Arial" w:hAnsi="Arial"/>
                <w:sz w:val="15"/>
                <w:szCs w:val="15"/>
                <w:color w:val="auto"/>
              </w:rPr>
              <w:t>(1,695.4)</w:t>
            </w: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(656,811)</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84,688</w:t>
            </w:r>
          </w:p>
        </w:tc>
        <w:tc>
          <w:tcPr>
            <w:tcW w:w="860" w:type="dxa"/>
            <w:vAlign w:val="bottom"/>
          </w:tcPr>
          <w:p>
            <w:pPr>
              <w:jc w:val="center"/>
              <w:spacing w:after="0"/>
              <w:rPr>
                <w:sz w:val="20"/>
                <w:szCs w:val="20"/>
                <w:color w:val="auto"/>
              </w:rPr>
            </w:pPr>
            <w:r>
              <w:rPr>
                <w:rFonts w:ascii="Arial" w:cs="Arial" w:eastAsia="Arial" w:hAnsi="Arial"/>
                <w:sz w:val="15"/>
                <w:szCs w:val="15"/>
                <w:color w:val="auto"/>
              </w:rPr>
              <w:t>(875.6)</w:t>
            </w:r>
          </w:p>
        </w:tc>
      </w:tr>
      <w:tr>
        <w:trPr>
          <w:trHeight w:val="17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Diluted net (loss) income attributable to</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common stockholders per share (EPS)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(1.61)</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0.10</w:t>
            </w:r>
          </w:p>
        </w:tc>
        <w:tc>
          <w:tcPr>
            <w:tcW w:w="1000" w:type="dxa"/>
            <w:vAlign w:val="bottom"/>
          </w:tcPr>
          <w:p>
            <w:pPr>
              <w:jc w:val="center"/>
              <w:ind w:left="64"/>
              <w:spacing w:after="0"/>
              <w:rPr>
                <w:sz w:val="20"/>
                <w:szCs w:val="20"/>
                <w:color w:val="auto"/>
              </w:rPr>
            </w:pPr>
            <w:r>
              <w:rPr>
                <w:rFonts w:ascii="Arial" w:cs="Arial" w:eastAsia="Arial" w:hAnsi="Arial"/>
                <w:sz w:val="15"/>
                <w:szCs w:val="15"/>
                <w:color w:val="auto"/>
              </w:rPr>
              <w:t>(1,710.0)</w:t>
            </w: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(2.39)</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0.31</w:t>
            </w:r>
          </w:p>
        </w:tc>
        <w:tc>
          <w:tcPr>
            <w:tcW w:w="860" w:type="dxa"/>
            <w:vAlign w:val="bottom"/>
          </w:tcPr>
          <w:p>
            <w:pPr>
              <w:jc w:val="center"/>
              <w:spacing w:after="0"/>
              <w:rPr>
                <w:sz w:val="20"/>
                <w:szCs w:val="20"/>
                <w:color w:val="auto"/>
              </w:rPr>
            </w:pPr>
            <w:r>
              <w:rPr>
                <w:rFonts w:ascii="Arial" w:cs="Arial" w:eastAsia="Arial" w:hAnsi="Arial"/>
                <w:sz w:val="15"/>
                <w:szCs w:val="15"/>
                <w:color w:val="auto"/>
              </w:rPr>
              <w:t>(871.0)</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Gross Profit*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(129,000)</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350,438</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(136.8)</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38,100</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723,528</w:t>
            </w:r>
          </w:p>
        </w:tc>
        <w:tc>
          <w:tcPr>
            <w:tcW w:w="860" w:type="dxa"/>
            <w:vAlign w:val="bottom"/>
          </w:tcPr>
          <w:p>
            <w:pPr>
              <w:jc w:val="center"/>
              <w:spacing w:after="0"/>
              <w:rPr>
                <w:sz w:val="20"/>
                <w:szCs w:val="20"/>
                <w:color w:val="auto"/>
              </w:rPr>
            </w:pPr>
            <w:r>
              <w:rPr>
                <w:rFonts w:ascii="Arial" w:cs="Arial" w:eastAsia="Arial" w:hAnsi="Arial"/>
                <w:sz w:val="15"/>
                <w:szCs w:val="15"/>
                <w:color w:val="auto"/>
              </w:rPr>
              <w:t>(94.7)</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EBITDA*</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(210,288)</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235,635</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(189.2)</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(185,885)</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497,984</w:t>
            </w:r>
          </w:p>
        </w:tc>
        <w:tc>
          <w:tcPr>
            <w:tcW w:w="860" w:type="dxa"/>
            <w:vAlign w:val="bottom"/>
          </w:tcPr>
          <w:p>
            <w:pPr>
              <w:jc w:val="center"/>
              <w:spacing w:after="0"/>
              <w:rPr>
                <w:sz w:val="20"/>
                <w:szCs w:val="20"/>
                <w:color w:val="auto"/>
              </w:rPr>
            </w:pPr>
            <w:r>
              <w:rPr>
                <w:rFonts w:ascii="Arial" w:cs="Arial" w:eastAsia="Arial" w:hAnsi="Arial"/>
                <w:sz w:val="15"/>
                <w:szCs w:val="15"/>
                <w:color w:val="auto"/>
              </w:rPr>
              <w:t>(137.3)</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EBITDA Margin*</w:t>
            </w:r>
          </w:p>
        </w:tc>
        <w:tc>
          <w:tcPr>
            <w:tcW w:w="18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NM</w:t>
            </w:r>
          </w:p>
        </w:tc>
        <w:tc>
          <w:tcPr>
            <w:tcW w:w="420" w:type="dxa"/>
            <w:vAlign w:val="bottom"/>
          </w:tcPr>
          <w:p>
            <w:pPr>
              <w:spacing w:after="0"/>
              <w:rPr>
                <w:sz w:val="18"/>
                <w:szCs w:val="18"/>
                <w:color w:val="auto"/>
              </w:rPr>
            </w:pPr>
          </w:p>
        </w:tc>
        <w:tc>
          <w:tcPr>
            <w:tcW w:w="1920" w:type="dxa"/>
            <w:vAlign w:val="bottom"/>
          </w:tcPr>
          <w:p>
            <w:pPr>
              <w:jc w:val="right"/>
              <w:ind w:right="884"/>
              <w:spacing w:after="0"/>
              <w:rPr>
                <w:sz w:val="20"/>
                <w:szCs w:val="20"/>
                <w:color w:val="auto"/>
              </w:rPr>
            </w:pPr>
            <w:r>
              <w:rPr>
                <w:rFonts w:ascii="Arial" w:cs="Arial" w:eastAsia="Arial" w:hAnsi="Arial"/>
                <w:sz w:val="15"/>
                <w:szCs w:val="15"/>
                <w:color w:val="auto"/>
              </w:rPr>
              <w:t>23.6 %</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NM</w:t>
            </w:r>
          </w:p>
        </w:tc>
        <w:tc>
          <w:tcPr>
            <w:tcW w:w="300" w:type="dxa"/>
            <w:vAlign w:val="bottom"/>
          </w:tcPr>
          <w:p>
            <w:pPr>
              <w:spacing w:after="0"/>
              <w:rPr>
                <w:sz w:val="18"/>
                <w:szCs w:val="18"/>
                <w:color w:val="auto"/>
              </w:rPr>
            </w:pPr>
          </w:p>
        </w:tc>
        <w:tc>
          <w:tcPr>
            <w:tcW w:w="1480" w:type="dxa"/>
            <w:vAlign w:val="bottom"/>
          </w:tcPr>
          <w:p>
            <w:pPr>
              <w:jc w:val="right"/>
              <w:ind w:right="444"/>
              <w:spacing w:after="0"/>
              <w:rPr>
                <w:sz w:val="20"/>
                <w:szCs w:val="20"/>
                <w:color w:val="auto"/>
              </w:rPr>
            </w:pPr>
            <w:r>
              <w:rPr>
                <w:rFonts w:ascii="Arial" w:cs="Arial" w:eastAsia="Arial" w:hAnsi="Arial"/>
                <w:sz w:val="15"/>
                <w:szCs w:val="15"/>
                <w:color w:val="auto"/>
              </w:rPr>
              <w:t>24.3 %</w:t>
            </w:r>
          </w:p>
        </w:tc>
        <w:tc>
          <w:tcPr>
            <w:tcW w:w="860" w:type="dxa"/>
            <w:vAlign w:val="bottom"/>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Operating (Loss)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(306,809)</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126,953</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(341.7)</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(379,679)</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282,715</w:t>
            </w:r>
          </w:p>
        </w:tc>
        <w:tc>
          <w:tcPr>
            <w:tcW w:w="860" w:type="dxa"/>
            <w:vAlign w:val="bottom"/>
          </w:tcPr>
          <w:p>
            <w:pPr>
              <w:jc w:val="center"/>
              <w:spacing w:after="0"/>
              <w:rPr>
                <w:sz w:val="20"/>
                <w:szCs w:val="20"/>
                <w:color w:val="auto"/>
              </w:rPr>
            </w:pPr>
            <w:r>
              <w:rPr>
                <w:rFonts w:ascii="Arial" w:cs="Arial" w:eastAsia="Arial" w:hAnsi="Arial"/>
                <w:sz w:val="15"/>
                <w:szCs w:val="15"/>
                <w:color w:val="auto"/>
              </w:rPr>
              <w:t>(234.3)</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Net (Loss)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(358,003)</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67,454</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(630.7)</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(437,979)</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161,653</w:t>
            </w:r>
          </w:p>
        </w:tc>
        <w:tc>
          <w:tcPr>
            <w:tcW w:w="860" w:type="dxa"/>
            <w:vAlign w:val="bottom"/>
          </w:tcPr>
          <w:p>
            <w:pPr>
              <w:jc w:val="center"/>
              <w:spacing w:after="0"/>
              <w:rPr>
                <w:sz w:val="20"/>
                <w:szCs w:val="20"/>
                <w:color w:val="auto"/>
              </w:rPr>
            </w:pPr>
            <w:r>
              <w:rPr>
                <w:rFonts w:ascii="Arial" w:cs="Arial" w:eastAsia="Arial" w:hAnsi="Arial"/>
                <w:sz w:val="15"/>
                <w:szCs w:val="15"/>
                <w:color w:val="auto"/>
              </w:rPr>
              <w:t>(370.9)</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EPS*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(1.30)</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0.24</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(641.7)</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(1.59)</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0.58</w:t>
            </w:r>
          </w:p>
        </w:tc>
        <w:tc>
          <w:tcPr>
            <w:tcW w:w="860" w:type="dxa"/>
            <w:vAlign w:val="bottom"/>
          </w:tcPr>
          <w:p>
            <w:pPr>
              <w:jc w:val="center"/>
              <w:spacing w:after="0"/>
              <w:rPr>
                <w:sz w:val="20"/>
                <w:szCs w:val="20"/>
                <w:color w:val="auto"/>
              </w:rPr>
            </w:pPr>
            <w:r>
              <w:rPr>
                <w:rFonts w:ascii="Arial" w:cs="Arial" w:eastAsia="Arial" w:hAnsi="Arial"/>
                <w:sz w:val="15"/>
                <w:szCs w:val="15"/>
                <w:color w:val="auto"/>
              </w:rPr>
              <w:t>(374.1)</w:t>
            </w:r>
          </w:p>
        </w:tc>
      </w:tr>
      <w:tr>
        <w:trPr>
          <w:trHeight w:val="17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Cash (used in) provided by operating</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activities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(435,467)</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105,661</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(512.1)</w:t>
            </w: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(395,036)</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257,661</w:t>
            </w:r>
          </w:p>
        </w:tc>
        <w:tc>
          <w:tcPr>
            <w:tcW w:w="860" w:type="dxa"/>
            <w:vAlign w:val="bottom"/>
          </w:tcPr>
          <w:p>
            <w:pPr>
              <w:jc w:val="center"/>
              <w:spacing w:after="0"/>
              <w:rPr>
                <w:sz w:val="20"/>
                <w:szCs w:val="20"/>
                <w:color w:val="auto"/>
              </w:rPr>
            </w:pPr>
            <w:r>
              <w:rPr>
                <w:rFonts w:ascii="Arial" w:cs="Arial" w:eastAsia="Arial" w:hAnsi="Arial"/>
                <w:sz w:val="15"/>
                <w:szCs w:val="15"/>
                <w:color w:val="auto"/>
              </w:rPr>
              <w:t>(253.3)</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Cash used in investing activities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(10,896)</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24"/>
              <w:spacing w:after="0"/>
              <w:rPr>
                <w:sz w:val="20"/>
                <w:szCs w:val="20"/>
                <w:color w:val="auto"/>
              </w:rPr>
            </w:pPr>
            <w:r>
              <w:rPr>
                <w:rFonts w:ascii="Arial" w:cs="Arial" w:eastAsia="Arial" w:hAnsi="Arial"/>
                <w:sz w:val="15"/>
                <w:szCs w:val="15"/>
                <w:color w:val="auto"/>
              </w:rPr>
              <w:t>(38,299)</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(71.6)</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(43,746)</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584"/>
              <w:spacing w:after="0"/>
              <w:rPr>
                <w:sz w:val="20"/>
                <w:szCs w:val="20"/>
                <w:color w:val="auto"/>
              </w:rPr>
            </w:pPr>
            <w:r>
              <w:rPr>
                <w:rFonts w:ascii="Arial" w:cs="Arial" w:eastAsia="Arial" w:hAnsi="Arial"/>
                <w:sz w:val="15"/>
                <w:szCs w:val="15"/>
                <w:color w:val="auto"/>
              </w:rPr>
              <w:t>(76,163)</w:t>
            </w:r>
          </w:p>
        </w:tc>
        <w:tc>
          <w:tcPr>
            <w:tcW w:w="860" w:type="dxa"/>
            <w:vAlign w:val="bottom"/>
          </w:tcPr>
          <w:p>
            <w:pPr>
              <w:jc w:val="center"/>
              <w:spacing w:after="0"/>
              <w:rPr>
                <w:sz w:val="20"/>
                <w:szCs w:val="20"/>
                <w:color w:val="auto"/>
              </w:rPr>
            </w:pPr>
            <w:r>
              <w:rPr>
                <w:rFonts w:ascii="Arial" w:cs="Arial" w:eastAsia="Arial" w:hAnsi="Arial"/>
                <w:sz w:val="15"/>
                <w:szCs w:val="15"/>
                <w:color w:val="auto"/>
              </w:rPr>
              <w:t>(42.6)</w:t>
            </w:r>
          </w:p>
        </w:tc>
      </w:tr>
      <w:tr>
        <w:trPr>
          <w:trHeight w:val="17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Cash provided by (used in) financing</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activities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1,070,047</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24"/>
              <w:spacing w:after="0"/>
              <w:rPr>
                <w:sz w:val="20"/>
                <w:szCs w:val="20"/>
                <w:color w:val="auto"/>
              </w:rPr>
            </w:pPr>
            <w:r>
              <w:rPr>
                <w:rFonts w:ascii="Arial" w:cs="Arial" w:eastAsia="Arial" w:hAnsi="Arial"/>
                <w:sz w:val="15"/>
                <w:szCs w:val="15"/>
                <w:color w:val="auto"/>
              </w:rPr>
              <w:t>(128,661)</w:t>
            </w:r>
          </w:p>
        </w:tc>
        <w:tc>
          <w:tcPr>
            <w:tcW w:w="1080" w:type="dxa"/>
            <w:vAlign w:val="bottom"/>
            <w:gridSpan w:val="2"/>
          </w:tcPr>
          <w:p>
            <w:pPr>
              <w:jc w:val="center"/>
              <w:ind w:left="4"/>
              <w:spacing w:after="0"/>
              <w:rPr>
                <w:sz w:val="20"/>
                <w:szCs w:val="20"/>
                <w:color w:val="auto"/>
              </w:rPr>
            </w:pPr>
            <w:r>
              <w:rPr>
                <w:rFonts w:ascii="Arial" w:cs="Arial" w:eastAsia="Arial" w:hAnsi="Arial"/>
                <w:sz w:val="15"/>
                <w:szCs w:val="15"/>
                <w:color w:val="auto"/>
              </w:rPr>
              <w:t>NM</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1,308,193</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584"/>
              <w:spacing w:after="0"/>
              <w:rPr>
                <w:sz w:val="20"/>
                <w:szCs w:val="20"/>
                <w:color w:val="auto"/>
              </w:rPr>
            </w:pPr>
            <w:r>
              <w:rPr>
                <w:rFonts w:ascii="Arial" w:cs="Arial" w:eastAsia="Arial" w:hAnsi="Arial"/>
                <w:sz w:val="15"/>
                <w:szCs w:val="15"/>
                <w:color w:val="auto"/>
              </w:rPr>
              <w:t>(292,975)</w:t>
            </w:r>
          </w:p>
        </w:tc>
        <w:tc>
          <w:tcPr>
            <w:tcW w:w="860" w:type="dxa"/>
            <w:vAlign w:val="bottom"/>
          </w:tcPr>
          <w:p>
            <w:pPr>
              <w:jc w:val="center"/>
              <w:spacing w:after="0"/>
              <w:rPr>
                <w:sz w:val="20"/>
                <w:szCs w:val="20"/>
                <w:color w:val="auto"/>
              </w:rPr>
            </w:pPr>
            <w:r>
              <w:rPr>
                <w:rFonts w:ascii="Arial" w:cs="Arial" w:eastAsia="Arial" w:hAnsi="Arial"/>
                <w:sz w:val="15"/>
                <w:szCs w:val="15"/>
                <w:color w:val="auto"/>
              </w:rPr>
              <w:t>NM</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Capitalized expenditures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10,896</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29,332</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(62.9)</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39,333</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67,196</w:t>
            </w:r>
          </w:p>
        </w:tc>
        <w:tc>
          <w:tcPr>
            <w:tcW w:w="860" w:type="dxa"/>
            <w:vAlign w:val="bottom"/>
          </w:tcPr>
          <w:p>
            <w:pPr>
              <w:jc w:val="center"/>
              <w:spacing w:after="0"/>
              <w:rPr>
                <w:sz w:val="20"/>
                <w:szCs w:val="20"/>
                <w:color w:val="auto"/>
              </w:rPr>
            </w:pPr>
            <w:r>
              <w:rPr>
                <w:rFonts w:ascii="Arial" w:cs="Arial" w:eastAsia="Arial" w:hAnsi="Arial"/>
                <w:sz w:val="15"/>
                <w:szCs w:val="15"/>
                <w:color w:val="auto"/>
              </w:rPr>
              <w:t>(41.5)</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Free Cash Flow*</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(446,363)</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76,329</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(684.8)</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(434,369)</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190,465</w:t>
            </w:r>
          </w:p>
        </w:tc>
        <w:tc>
          <w:tcPr>
            <w:tcW w:w="860" w:type="dxa"/>
            <w:vAlign w:val="bottom"/>
          </w:tcPr>
          <w:p>
            <w:pPr>
              <w:jc w:val="center"/>
              <w:spacing w:after="0"/>
              <w:rPr>
                <w:sz w:val="20"/>
                <w:szCs w:val="20"/>
                <w:color w:val="auto"/>
              </w:rPr>
            </w:pPr>
            <w:r>
              <w:rPr>
                <w:rFonts w:ascii="Arial" w:cs="Arial" w:eastAsia="Arial" w:hAnsi="Arial"/>
                <w:sz w:val="15"/>
                <w:szCs w:val="15"/>
                <w:color w:val="auto"/>
              </w:rPr>
              <w:t>(328.1)</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Net Debt (total debt, less cash)</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3,510,798</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3,007,906</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Net Debt / LTM Adjusted EBITDA*</w:t>
            </w:r>
          </w:p>
        </w:tc>
        <w:tc>
          <w:tcPr>
            <w:tcW w:w="18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13.4x</w:t>
            </w:r>
          </w:p>
        </w:tc>
        <w:tc>
          <w:tcPr>
            <w:tcW w:w="420" w:type="dxa"/>
            <w:vAlign w:val="bottom"/>
          </w:tcPr>
          <w:p>
            <w:pPr>
              <w:spacing w:after="0"/>
              <w:rPr>
                <w:sz w:val="18"/>
                <w:szCs w:val="18"/>
                <w:color w:val="auto"/>
              </w:rPr>
            </w:pP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2.9x</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03"/>
        </w:trPr>
        <w:tc>
          <w:tcPr>
            <w:tcW w:w="2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43"/>
        </w:trPr>
        <w:tc>
          <w:tcPr>
            <w:tcW w:w="2960" w:type="dxa"/>
            <w:vAlign w:val="bottom"/>
            <w:shd w:val="clear" w:color="auto" w:fill="F2DCDB"/>
          </w:tcPr>
          <w:p>
            <w:pPr>
              <w:ind w:left="20"/>
              <w:spacing w:after="0"/>
              <w:rPr>
                <w:sz w:val="20"/>
                <w:szCs w:val="20"/>
                <w:color w:val="auto"/>
              </w:rPr>
            </w:pPr>
            <w:r>
              <w:rPr>
                <w:rFonts w:ascii="Arial" w:cs="Arial" w:eastAsia="Arial" w:hAnsi="Arial"/>
                <w:sz w:val="16"/>
                <w:szCs w:val="16"/>
                <w:color w:val="auto"/>
              </w:rPr>
              <w:t>Travel Network:</w:t>
            </w:r>
          </w:p>
        </w:tc>
        <w:tc>
          <w:tcPr>
            <w:tcW w:w="180" w:type="dxa"/>
            <w:vAlign w:val="bottom"/>
            <w:shd w:val="clear" w:color="auto" w:fill="F2DCDB"/>
          </w:tcPr>
          <w:p>
            <w:pPr>
              <w:spacing w:after="0"/>
              <w:rPr>
                <w:sz w:val="21"/>
                <w:szCs w:val="21"/>
                <w:color w:val="auto"/>
              </w:rPr>
            </w:pPr>
          </w:p>
        </w:tc>
        <w:tc>
          <w:tcPr>
            <w:tcW w:w="920" w:type="dxa"/>
            <w:vAlign w:val="bottom"/>
            <w:shd w:val="clear" w:color="auto" w:fill="F2DCDB"/>
          </w:tcPr>
          <w:p>
            <w:pPr>
              <w:spacing w:after="0"/>
              <w:rPr>
                <w:sz w:val="21"/>
                <w:szCs w:val="21"/>
                <w:color w:val="auto"/>
              </w:rPr>
            </w:pPr>
          </w:p>
        </w:tc>
        <w:tc>
          <w:tcPr>
            <w:tcW w:w="420" w:type="dxa"/>
            <w:vAlign w:val="bottom"/>
            <w:shd w:val="clear" w:color="auto" w:fill="F2DCDB"/>
          </w:tcPr>
          <w:p>
            <w:pPr>
              <w:spacing w:after="0"/>
              <w:rPr>
                <w:sz w:val="21"/>
                <w:szCs w:val="21"/>
                <w:color w:val="auto"/>
              </w:rPr>
            </w:pPr>
          </w:p>
        </w:tc>
        <w:tc>
          <w:tcPr>
            <w:tcW w:w="1920" w:type="dxa"/>
            <w:vAlign w:val="bottom"/>
            <w:shd w:val="clear" w:color="auto" w:fill="F2DCDB"/>
          </w:tcPr>
          <w:p>
            <w:pPr>
              <w:spacing w:after="0"/>
              <w:rPr>
                <w:sz w:val="21"/>
                <w:szCs w:val="21"/>
                <w:color w:val="auto"/>
              </w:rPr>
            </w:pPr>
          </w:p>
        </w:tc>
        <w:tc>
          <w:tcPr>
            <w:tcW w:w="1000" w:type="dxa"/>
            <w:vAlign w:val="bottom"/>
            <w:shd w:val="clear" w:color="auto" w:fill="F2DCDB"/>
          </w:tcPr>
          <w:p>
            <w:pPr>
              <w:spacing w:after="0"/>
              <w:rPr>
                <w:sz w:val="21"/>
                <w:szCs w:val="21"/>
                <w:color w:val="auto"/>
              </w:rPr>
            </w:pPr>
          </w:p>
        </w:tc>
        <w:tc>
          <w:tcPr>
            <w:tcW w:w="80" w:type="dxa"/>
            <w:vAlign w:val="bottom"/>
            <w:shd w:val="clear" w:color="auto" w:fill="F2DCDB"/>
          </w:tcPr>
          <w:p>
            <w:pPr>
              <w:spacing w:after="0"/>
              <w:rPr>
                <w:sz w:val="21"/>
                <w:szCs w:val="21"/>
                <w:color w:val="auto"/>
              </w:rPr>
            </w:pPr>
          </w:p>
        </w:tc>
        <w:tc>
          <w:tcPr>
            <w:tcW w:w="200" w:type="dxa"/>
            <w:vAlign w:val="bottom"/>
            <w:shd w:val="clear" w:color="auto" w:fill="F2DCDB"/>
          </w:tcPr>
          <w:p>
            <w:pPr>
              <w:spacing w:after="0"/>
              <w:rPr>
                <w:sz w:val="21"/>
                <w:szCs w:val="21"/>
                <w:color w:val="auto"/>
              </w:rPr>
            </w:pPr>
          </w:p>
        </w:tc>
        <w:tc>
          <w:tcPr>
            <w:tcW w:w="920" w:type="dxa"/>
            <w:vAlign w:val="bottom"/>
            <w:shd w:val="clear" w:color="auto" w:fill="F2DCDB"/>
          </w:tcPr>
          <w:p>
            <w:pPr>
              <w:spacing w:after="0"/>
              <w:rPr>
                <w:sz w:val="21"/>
                <w:szCs w:val="21"/>
                <w:color w:val="auto"/>
              </w:rPr>
            </w:pPr>
          </w:p>
        </w:tc>
        <w:tc>
          <w:tcPr>
            <w:tcW w:w="300" w:type="dxa"/>
            <w:vAlign w:val="bottom"/>
            <w:shd w:val="clear" w:color="auto" w:fill="F2DCDB"/>
          </w:tcPr>
          <w:p>
            <w:pPr>
              <w:spacing w:after="0"/>
              <w:rPr>
                <w:sz w:val="21"/>
                <w:szCs w:val="21"/>
                <w:color w:val="auto"/>
              </w:rPr>
            </w:pPr>
          </w:p>
        </w:tc>
        <w:tc>
          <w:tcPr>
            <w:tcW w:w="1480" w:type="dxa"/>
            <w:vAlign w:val="bottom"/>
            <w:shd w:val="clear" w:color="auto" w:fill="F2DCDB"/>
          </w:tcPr>
          <w:p>
            <w:pPr>
              <w:spacing w:after="0"/>
              <w:rPr>
                <w:sz w:val="21"/>
                <w:szCs w:val="21"/>
                <w:color w:val="auto"/>
              </w:rPr>
            </w:pPr>
          </w:p>
        </w:tc>
        <w:tc>
          <w:tcPr>
            <w:tcW w:w="860" w:type="dxa"/>
            <w:vAlign w:val="bottom"/>
            <w:shd w:val="clear" w:color="auto" w:fill="F2DCDB"/>
          </w:tcPr>
          <w:p>
            <w:pPr>
              <w:spacing w:after="0"/>
              <w:rPr>
                <w:sz w:val="21"/>
                <w:szCs w:val="21"/>
                <w:color w:val="auto"/>
              </w:rPr>
            </w:pPr>
          </w:p>
        </w:tc>
      </w:tr>
      <w:tr>
        <w:trPr>
          <w:trHeight w:val="262"/>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Revenue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(33,262)</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724,632</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(104.6)</w:t>
            </w:r>
          </w:p>
        </w:tc>
        <w:tc>
          <w:tcPr>
            <w:tcW w:w="80" w:type="dxa"/>
            <w:vAlign w:val="bottom"/>
          </w:tcPr>
          <w:p>
            <w:pPr>
              <w:spacing w:after="0"/>
              <w:rPr>
                <w:sz w:val="22"/>
                <w:szCs w:val="22"/>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394,441</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1,498,600</w:t>
            </w:r>
          </w:p>
        </w:tc>
        <w:tc>
          <w:tcPr>
            <w:tcW w:w="860" w:type="dxa"/>
            <w:vAlign w:val="bottom"/>
          </w:tcPr>
          <w:p>
            <w:pPr>
              <w:jc w:val="center"/>
              <w:spacing w:after="0"/>
              <w:rPr>
                <w:sz w:val="20"/>
                <w:szCs w:val="20"/>
                <w:color w:val="auto"/>
              </w:rPr>
            </w:pPr>
            <w:r>
              <w:rPr>
                <w:rFonts w:ascii="Arial" w:cs="Arial" w:eastAsia="Arial" w:hAnsi="Arial"/>
                <w:sz w:val="15"/>
                <w:szCs w:val="15"/>
                <w:color w:val="auto"/>
              </w:rPr>
              <w:t>(73.7)</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Transaction Revenue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(59,650)</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681,394</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(108.8)</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328,097</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1,412,159</w:t>
            </w:r>
          </w:p>
        </w:tc>
        <w:tc>
          <w:tcPr>
            <w:tcW w:w="860" w:type="dxa"/>
            <w:vAlign w:val="bottom"/>
          </w:tcPr>
          <w:p>
            <w:pPr>
              <w:jc w:val="center"/>
              <w:spacing w:after="0"/>
              <w:rPr>
                <w:sz w:val="20"/>
                <w:szCs w:val="20"/>
                <w:color w:val="auto"/>
              </w:rPr>
            </w:pPr>
            <w:r>
              <w:rPr>
                <w:rFonts w:ascii="Arial" w:cs="Arial" w:eastAsia="Arial" w:hAnsi="Arial"/>
                <w:sz w:val="15"/>
                <w:szCs w:val="15"/>
                <w:color w:val="auto"/>
              </w:rPr>
              <w:t>(76.8)</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Subscriber / Other Revenue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26,388</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43,238</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(39.0)</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66,344</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86,441</w:t>
            </w:r>
          </w:p>
        </w:tc>
        <w:tc>
          <w:tcPr>
            <w:tcW w:w="860" w:type="dxa"/>
            <w:vAlign w:val="bottom"/>
          </w:tcPr>
          <w:p>
            <w:pPr>
              <w:jc w:val="center"/>
              <w:spacing w:after="0"/>
              <w:rPr>
                <w:sz w:val="20"/>
                <w:szCs w:val="20"/>
                <w:color w:val="auto"/>
              </w:rPr>
            </w:pPr>
            <w:r>
              <w:rPr>
                <w:rFonts w:ascii="Arial" w:cs="Arial" w:eastAsia="Arial" w:hAnsi="Arial"/>
                <w:sz w:val="15"/>
                <w:szCs w:val="15"/>
                <w:color w:val="auto"/>
              </w:rPr>
              <w:t>(23.2)</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Operating (Loss)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(182,832)</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159,384</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(214.7)</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(160,174)</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352,023</w:t>
            </w:r>
          </w:p>
        </w:tc>
        <w:tc>
          <w:tcPr>
            <w:tcW w:w="860" w:type="dxa"/>
            <w:vAlign w:val="bottom"/>
          </w:tcPr>
          <w:p>
            <w:pPr>
              <w:jc w:val="center"/>
              <w:spacing w:after="0"/>
              <w:rPr>
                <w:sz w:val="20"/>
                <w:szCs w:val="20"/>
                <w:color w:val="auto"/>
              </w:rPr>
            </w:pPr>
            <w:r>
              <w:rPr>
                <w:rFonts w:ascii="Arial" w:cs="Arial" w:eastAsia="Arial" w:hAnsi="Arial"/>
                <w:sz w:val="15"/>
                <w:szCs w:val="15"/>
                <w:color w:val="auto"/>
              </w:rPr>
              <w:t>(145.5)</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Operating (Loss)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(183,331)</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159,797</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(214.7)</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(161,359)</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352,969</w:t>
            </w:r>
          </w:p>
        </w:tc>
        <w:tc>
          <w:tcPr>
            <w:tcW w:w="860" w:type="dxa"/>
            <w:vAlign w:val="bottom"/>
          </w:tcPr>
          <w:p>
            <w:pPr>
              <w:jc w:val="center"/>
              <w:spacing w:after="0"/>
              <w:rPr>
                <w:sz w:val="20"/>
                <w:szCs w:val="20"/>
                <w:color w:val="auto"/>
              </w:rPr>
            </w:pPr>
            <w:r>
              <w:rPr>
                <w:rFonts w:ascii="Arial" w:cs="Arial" w:eastAsia="Arial" w:hAnsi="Arial"/>
                <w:sz w:val="15"/>
                <w:szCs w:val="15"/>
                <w:color w:val="auto"/>
              </w:rPr>
              <w:t>(145.7)</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Total Bookings</w:t>
            </w:r>
          </w:p>
        </w:tc>
        <w:tc>
          <w:tcPr>
            <w:tcW w:w="18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(7,302)</w:t>
            </w:r>
          </w:p>
        </w:tc>
        <w:tc>
          <w:tcPr>
            <w:tcW w:w="420" w:type="dxa"/>
            <w:vAlign w:val="bottom"/>
          </w:tcPr>
          <w:p>
            <w:pPr>
              <w:spacing w:after="0"/>
              <w:rPr>
                <w:sz w:val="18"/>
                <w:szCs w:val="18"/>
                <w:color w:val="auto"/>
              </w:rPr>
            </w:pP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142,125</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(105.1)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78,451</w:t>
            </w:r>
          </w:p>
        </w:tc>
        <w:tc>
          <w:tcPr>
            <w:tcW w:w="300" w:type="dxa"/>
            <w:vAlign w:val="bottom"/>
          </w:tcPr>
          <w:p>
            <w:pPr>
              <w:spacing w:after="0"/>
              <w:rPr>
                <w:sz w:val="18"/>
                <w:szCs w:val="18"/>
                <w:color w:val="auto"/>
              </w:rPr>
            </w:pP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297,062</w:t>
            </w:r>
          </w:p>
        </w:tc>
        <w:tc>
          <w:tcPr>
            <w:tcW w:w="860" w:type="dxa"/>
            <w:vAlign w:val="bottom"/>
          </w:tcPr>
          <w:p>
            <w:pPr>
              <w:jc w:val="center"/>
              <w:spacing w:after="0"/>
              <w:rPr>
                <w:sz w:val="20"/>
                <w:szCs w:val="20"/>
                <w:color w:val="auto"/>
              </w:rPr>
            </w:pPr>
            <w:r>
              <w:rPr>
                <w:rFonts w:ascii="Arial" w:cs="Arial" w:eastAsia="Arial" w:hAnsi="Arial"/>
                <w:sz w:val="15"/>
                <w:szCs w:val="15"/>
                <w:color w:val="auto"/>
              </w:rPr>
              <w:t>(73.6)</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Air Bookings</w:t>
            </w:r>
          </w:p>
        </w:tc>
        <w:tc>
          <w:tcPr>
            <w:tcW w:w="18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(8,923)</w:t>
            </w:r>
          </w:p>
        </w:tc>
        <w:tc>
          <w:tcPr>
            <w:tcW w:w="420" w:type="dxa"/>
            <w:vAlign w:val="bottom"/>
          </w:tcPr>
          <w:p>
            <w:pPr>
              <w:spacing w:after="0"/>
              <w:rPr>
                <w:sz w:val="18"/>
                <w:szCs w:val="18"/>
                <w:color w:val="auto"/>
              </w:rPr>
            </w:pP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124,605</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(107.2)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63,900</w:t>
            </w:r>
          </w:p>
        </w:tc>
        <w:tc>
          <w:tcPr>
            <w:tcW w:w="300" w:type="dxa"/>
            <w:vAlign w:val="bottom"/>
          </w:tcPr>
          <w:p>
            <w:pPr>
              <w:spacing w:after="0"/>
              <w:rPr>
                <w:sz w:val="18"/>
                <w:szCs w:val="18"/>
                <w:color w:val="auto"/>
              </w:rPr>
            </w:pP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263,166</w:t>
            </w:r>
          </w:p>
        </w:tc>
        <w:tc>
          <w:tcPr>
            <w:tcW w:w="860" w:type="dxa"/>
            <w:vAlign w:val="bottom"/>
          </w:tcPr>
          <w:p>
            <w:pPr>
              <w:jc w:val="center"/>
              <w:spacing w:after="0"/>
              <w:rPr>
                <w:sz w:val="20"/>
                <w:szCs w:val="20"/>
                <w:color w:val="auto"/>
              </w:rPr>
            </w:pPr>
            <w:r>
              <w:rPr>
                <w:rFonts w:ascii="Arial" w:cs="Arial" w:eastAsia="Arial" w:hAnsi="Arial"/>
                <w:sz w:val="15"/>
                <w:szCs w:val="15"/>
                <w:color w:val="auto"/>
              </w:rPr>
              <w:t>(75.7)</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Lodging, Ground and Sea Bookings</w:t>
            </w:r>
          </w:p>
        </w:tc>
        <w:tc>
          <w:tcPr>
            <w:tcW w:w="18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1,621</w:t>
            </w:r>
          </w:p>
        </w:tc>
        <w:tc>
          <w:tcPr>
            <w:tcW w:w="420" w:type="dxa"/>
            <w:vAlign w:val="bottom"/>
          </w:tcPr>
          <w:p>
            <w:pPr>
              <w:spacing w:after="0"/>
              <w:rPr>
                <w:sz w:val="18"/>
                <w:szCs w:val="18"/>
                <w:color w:val="auto"/>
              </w:rPr>
            </w:pP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17,520</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(90.7)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14,551</w:t>
            </w:r>
          </w:p>
        </w:tc>
        <w:tc>
          <w:tcPr>
            <w:tcW w:w="300" w:type="dxa"/>
            <w:vAlign w:val="bottom"/>
          </w:tcPr>
          <w:p>
            <w:pPr>
              <w:spacing w:after="0"/>
              <w:rPr>
                <w:sz w:val="18"/>
                <w:szCs w:val="18"/>
                <w:color w:val="auto"/>
              </w:rPr>
            </w:pP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33,896</w:t>
            </w:r>
          </w:p>
        </w:tc>
        <w:tc>
          <w:tcPr>
            <w:tcW w:w="860" w:type="dxa"/>
            <w:vAlign w:val="bottom"/>
          </w:tcPr>
          <w:p>
            <w:pPr>
              <w:jc w:val="center"/>
              <w:spacing w:after="0"/>
              <w:rPr>
                <w:sz w:val="20"/>
                <w:szCs w:val="20"/>
                <w:color w:val="auto"/>
              </w:rPr>
            </w:pPr>
            <w:r>
              <w:rPr>
                <w:rFonts w:ascii="Arial" w:cs="Arial" w:eastAsia="Arial" w:hAnsi="Arial"/>
                <w:sz w:val="15"/>
                <w:szCs w:val="15"/>
                <w:color w:val="auto"/>
              </w:rPr>
              <w:t>(57.1)</w:t>
            </w:r>
          </w:p>
        </w:tc>
      </w:tr>
      <w:tr>
        <w:trPr>
          <w:trHeight w:val="62"/>
        </w:trPr>
        <w:tc>
          <w:tcPr>
            <w:tcW w:w="2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43"/>
        </w:trPr>
        <w:tc>
          <w:tcPr>
            <w:tcW w:w="2960" w:type="dxa"/>
            <w:vAlign w:val="bottom"/>
            <w:shd w:val="clear" w:color="auto" w:fill="F2DCDB"/>
          </w:tcPr>
          <w:p>
            <w:pPr>
              <w:ind w:left="20"/>
              <w:spacing w:after="0"/>
              <w:rPr>
                <w:sz w:val="20"/>
                <w:szCs w:val="20"/>
                <w:color w:val="auto"/>
              </w:rPr>
            </w:pPr>
            <w:r>
              <w:rPr>
                <w:rFonts w:ascii="Arial" w:cs="Arial" w:eastAsia="Arial" w:hAnsi="Arial"/>
                <w:sz w:val="16"/>
                <w:szCs w:val="16"/>
                <w:color w:val="auto"/>
              </w:rPr>
              <w:t>Airline Solutions:</w:t>
            </w:r>
          </w:p>
        </w:tc>
        <w:tc>
          <w:tcPr>
            <w:tcW w:w="180" w:type="dxa"/>
            <w:vAlign w:val="bottom"/>
            <w:shd w:val="clear" w:color="auto" w:fill="F2DCDB"/>
          </w:tcPr>
          <w:p>
            <w:pPr>
              <w:spacing w:after="0"/>
              <w:rPr>
                <w:sz w:val="21"/>
                <w:szCs w:val="21"/>
                <w:color w:val="auto"/>
              </w:rPr>
            </w:pPr>
          </w:p>
        </w:tc>
        <w:tc>
          <w:tcPr>
            <w:tcW w:w="920" w:type="dxa"/>
            <w:vAlign w:val="bottom"/>
            <w:shd w:val="clear" w:color="auto" w:fill="F2DCDB"/>
          </w:tcPr>
          <w:p>
            <w:pPr>
              <w:spacing w:after="0"/>
              <w:rPr>
                <w:sz w:val="21"/>
                <w:szCs w:val="21"/>
                <w:color w:val="auto"/>
              </w:rPr>
            </w:pPr>
          </w:p>
        </w:tc>
        <w:tc>
          <w:tcPr>
            <w:tcW w:w="420" w:type="dxa"/>
            <w:vAlign w:val="bottom"/>
            <w:shd w:val="clear" w:color="auto" w:fill="F2DCDB"/>
          </w:tcPr>
          <w:p>
            <w:pPr>
              <w:spacing w:after="0"/>
              <w:rPr>
                <w:sz w:val="21"/>
                <w:szCs w:val="21"/>
                <w:color w:val="auto"/>
              </w:rPr>
            </w:pPr>
          </w:p>
        </w:tc>
        <w:tc>
          <w:tcPr>
            <w:tcW w:w="1920" w:type="dxa"/>
            <w:vAlign w:val="bottom"/>
            <w:shd w:val="clear" w:color="auto" w:fill="F2DCDB"/>
          </w:tcPr>
          <w:p>
            <w:pPr>
              <w:spacing w:after="0"/>
              <w:rPr>
                <w:sz w:val="21"/>
                <w:szCs w:val="21"/>
                <w:color w:val="auto"/>
              </w:rPr>
            </w:pPr>
          </w:p>
        </w:tc>
        <w:tc>
          <w:tcPr>
            <w:tcW w:w="1000" w:type="dxa"/>
            <w:vAlign w:val="bottom"/>
            <w:shd w:val="clear" w:color="auto" w:fill="F2DCDB"/>
          </w:tcPr>
          <w:p>
            <w:pPr>
              <w:spacing w:after="0"/>
              <w:rPr>
                <w:sz w:val="21"/>
                <w:szCs w:val="21"/>
                <w:color w:val="auto"/>
              </w:rPr>
            </w:pPr>
          </w:p>
        </w:tc>
        <w:tc>
          <w:tcPr>
            <w:tcW w:w="80" w:type="dxa"/>
            <w:vAlign w:val="bottom"/>
            <w:shd w:val="clear" w:color="auto" w:fill="F2DCDB"/>
          </w:tcPr>
          <w:p>
            <w:pPr>
              <w:spacing w:after="0"/>
              <w:rPr>
                <w:sz w:val="21"/>
                <w:szCs w:val="21"/>
                <w:color w:val="auto"/>
              </w:rPr>
            </w:pPr>
          </w:p>
        </w:tc>
        <w:tc>
          <w:tcPr>
            <w:tcW w:w="200" w:type="dxa"/>
            <w:vAlign w:val="bottom"/>
            <w:shd w:val="clear" w:color="auto" w:fill="F2DCDB"/>
          </w:tcPr>
          <w:p>
            <w:pPr>
              <w:spacing w:after="0"/>
              <w:rPr>
                <w:sz w:val="21"/>
                <w:szCs w:val="21"/>
                <w:color w:val="auto"/>
              </w:rPr>
            </w:pPr>
          </w:p>
        </w:tc>
        <w:tc>
          <w:tcPr>
            <w:tcW w:w="920" w:type="dxa"/>
            <w:vAlign w:val="bottom"/>
            <w:shd w:val="clear" w:color="auto" w:fill="F2DCDB"/>
          </w:tcPr>
          <w:p>
            <w:pPr>
              <w:spacing w:after="0"/>
              <w:rPr>
                <w:sz w:val="21"/>
                <w:szCs w:val="21"/>
                <w:color w:val="auto"/>
              </w:rPr>
            </w:pPr>
          </w:p>
        </w:tc>
        <w:tc>
          <w:tcPr>
            <w:tcW w:w="300" w:type="dxa"/>
            <w:vAlign w:val="bottom"/>
            <w:shd w:val="clear" w:color="auto" w:fill="F2DCDB"/>
          </w:tcPr>
          <w:p>
            <w:pPr>
              <w:spacing w:after="0"/>
              <w:rPr>
                <w:sz w:val="21"/>
                <w:szCs w:val="21"/>
                <w:color w:val="auto"/>
              </w:rPr>
            </w:pPr>
          </w:p>
        </w:tc>
        <w:tc>
          <w:tcPr>
            <w:tcW w:w="1480" w:type="dxa"/>
            <w:vAlign w:val="bottom"/>
            <w:shd w:val="clear" w:color="auto" w:fill="F2DCDB"/>
          </w:tcPr>
          <w:p>
            <w:pPr>
              <w:spacing w:after="0"/>
              <w:rPr>
                <w:sz w:val="21"/>
                <w:szCs w:val="21"/>
                <w:color w:val="auto"/>
              </w:rPr>
            </w:pPr>
          </w:p>
        </w:tc>
        <w:tc>
          <w:tcPr>
            <w:tcW w:w="860" w:type="dxa"/>
            <w:vAlign w:val="bottom"/>
            <w:shd w:val="clear" w:color="auto" w:fill="F2DCDB"/>
          </w:tcPr>
          <w:p>
            <w:pPr>
              <w:spacing w:after="0"/>
              <w:rPr>
                <w:sz w:val="21"/>
                <w:szCs w:val="21"/>
                <w:color w:val="auto"/>
              </w:rPr>
            </w:pPr>
          </w:p>
        </w:tc>
      </w:tr>
      <w:tr>
        <w:trPr>
          <w:trHeight w:val="262"/>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Revenue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89,524</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211,833</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(57.7)</w:t>
            </w:r>
          </w:p>
        </w:tc>
        <w:tc>
          <w:tcPr>
            <w:tcW w:w="80" w:type="dxa"/>
            <w:vAlign w:val="bottom"/>
          </w:tcPr>
          <w:p>
            <w:pPr>
              <w:spacing w:after="0"/>
              <w:rPr>
                <w:sz w:val="22"/>
                <w:szCs w:val="22"/>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269,409</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424,760</w:t>
            </w:r>
          </w:p>
        </w:tc>
        <w:tc>
          <w:tcPr>
            <w:tcW w:w="860" w:type="dxa"/>
            <w:vAlign w:val="bottom"/>
          </w:tcPr>
          <w:p>
            <w:pPr>
              <w:jc w:val="center"/>
              <w:spacing w:after="0"/>
              <w:rPr>
                <w:sz w:val="20"/>
                <w:szCs w:val="20"/>
                <w:color w:val="auto"/>
              </w:rPr>
            </w:pPr>
            <w:r>
              <w:rPr>
                <w:rFonts w:ascii="Arial" w:cs="Arial" w:eastAsia="Arial" w:hAnsi="Arial"/>
                <w:sz w:val="15"/>
                <w:szCs w:val="15"/>
                <w:color w:val="auto"/>
              </w:rPr>
              <w:t>(36.6)</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Operating (Loss)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(68,309)</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22,660</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(401.5)</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(100,888)</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38,084</w:t>
            </w:r>
          </w:p>
        </w:tc>
        <w:tc>
          <w:tcPr>
            <w:tcW w:w="860" w:type="dxa"/>
            <w:vAlign w:val="bottom"/>
          </w:tcPr>
          <w:p>
            <w:pPr>
              <w:jc w:val="center"/>
              <w:spacing w:after="0"/>
              <w:rPr>
                <w:sz w:val="20"/>
                <w:szCs w:val="20"/>
                <w:color w:val="auto"/>
              </w:rPr>
            </w:pPr>
            <w:r>
              <w:rPr>
                <w:rFonts w:ascii="Arial" w:cs="Arial" w:eastAsia="Arial" w:hAnsi="Arial"/>
                <w:sz w:val="15"/>
                <w:szCs w:val="15"/>
                <w:color w:val="auto"/>
              </w:rPr>
              <w:t>(364.9)</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Operating (Loss)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(68,309)</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22,660</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(401.5)</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(100,888)</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38,084</w:t>
            </w:r>
          </w:p>
        </w:tc>
        <w:tc>
          <w:tcPr>
            <w:tcW w:w="860" w:type="dxa"/>
            <w:vAlign w:val="bottom"/>
          </w:tcPr>
          <w:p>
            <w:pPr>
              <w:jc w:val="center"/>
              <w:spacing w:after="0"/>
              <w:rPr>
                <w:sz w:val="20"/>
                <w:szCs w:val="20"/>
                <w:color w:val="auto"/>
              </w:rPr>
            </w:pPr>
            <w:r>
              <w:rPr>
                <w:rFonts w:ascii="Arial" w:cs="Arial" w:eastAsia="Arial" w:hAnsi="Arial"/>
                <w:sz w:val="15"/>
                <w:szCs w:val="15"/>
                <w:color w:val="auto"/>
              </w:rPr>
              <w:t>(364.9)</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Passengers Boarded</w:t>
            </w:r>
          </w:p>
        </w:tc>
        <w:tc>
          <w:tcPr>
            <w:tcW w:w="18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19,799</w:t>
            </w:r>
          </w:p>
        </w:tc>
        <w:tc>
          <w:tcPr>
            <w:tcW w:w="420" w:type="dxa"/>
            <w:vAlign w:val="bottom"/>
          </w:tcPr>
          <w:p>
            <w:pPr>
              <w:spacing w:after="0"/>
              <w:rPr>
                <w:sz w:val="18"/>
                <w:szCs w:val="18"/>
                <w:color w:val="auto"/>
              </w:rPr>
            </w:pP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180,386</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(89.0)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187,174</w:t>
            </w:r>
          </w:p>
        </w:tc>
        <w:tc>
          <w:tcPr>
            <w:tcW w:w="300" w:type="dxa"/>
            <w:vAlign w:val="bottom"/>
          </w:tcPr>
          <w:p>
            <w:pPr>
              <w:spacing w:after="0"/>
              <w:rPr>
                <w:sz w:val="18"/>
                <w:szCs w:val="18"/>
                <w:color w:val="auto"/>
              </w:rPr>
            </w:pP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366,563</w:t>
            </w:r>
          </w:p>
        </w:tc>
        <w:tc>
          <w:tcPr>
            <w:tcW w:w="860" w:type="dxa"/>
            <w:vAlign w:val="bottom"/>
          </w:tcPr>
          <w:p>
            <w:pPr>
              <w:jc w:val="center"/>
              <w:spacing w:after="0"/>
              <w:rPr>
                <w:sz w:val="20"/>
                <w:szCs w:val="20"/>
                <w:color w:val="auto"/>
              </w:rPr>
            </w:pPr>
            <w:r>
              <w:rPr>
                <w:rFonts w:ascii="Arial" w:cs="Arial" w:eastAsia="Arial" w:hAnsi="Arial"/>
                <w:sz w:val="15"/>
                <w:szCs w:val="15"/>
                <w:color w:val="auto"/>
              </w:rPr>
              <w:t>(48.9)</w:t>
            </w:r>
          </w:p>
        </w:tc>
      </w:tr>
      <w:tr>
        <w:trPr>
          <w:trHeight w:val="62"/>
        </w:trPr>
        <w:tc>
          <w:tcPr>
            <w:tcW w:w="2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43"/>
        </w:trPr>
        <w:tc>
          <w:tcPr>
            <w:tcW w:w="2960" w:type="dxa"/>
            <w:vAlign w:val="bottom"/>
            <w:shd w:val="clear" w:color="auto" w:fill="F2DCDB"/>
          </w:tcPr>
          <w:p>
            <w:pPr>
              <w:ind w:left="20"/>
              <w:spacing w:after="0"/>
              <w:rPr>
                <w:sz w:val="20"/>
                <w:szCs w:val="20"/>
                <w:color w:val="auto"/>
              </w:rPr>
            </w:pPr>
            <w:r>
              <w:rPr>
                <w:rFonts w:ascii="Arial" w:cs="Arial" w:eastAsia="Arial" w:hAnsi="Arial"/>
                <w:sz w:val="16"/>
                <w:szCs w:val="16"/>
                <w:color w:val="auto"/>
              </w:rPr>
              <w:t>Hospitality Solutions:</w:t>
            </w:r>
          </w:p>
        </w:tc>
        <w:tc>
          <w:tcPr>
            <w:tcW w:w="180" w:type="dxa"/>
            <w:vAlign w:val="bottom"/>
            <w:shd w:val="clear" w:color="auto" w:fill="F2DCDB"/>
          </w:tcPr>
          <w:p>
            <w:pPr>
              <w:spacing w:after="0"/>
              <w:rPr>
                <w:sz w:val="21"/>
                <w:szCs w:val="21"/>
                <w:color w:val="auto"/>
              </w:rPr>
            </w:pPr>
          </w:p>
        </w:tc>
        <w:tc>
          <w:tcPr>
            <w:tcW w:w="920" w:type="dxa"/>
            <w:vAlign w:val="bottom"/>
            <w:shd w:val="clear" w:color="auto" w:fill="F2DCDB"/>
          </w:tcPr>
          <w:p>
            <w:pPr>
              <w:spacing w:after="0"/>
              <w:rPr>
                <w:sz w:val="21"/>
                <w:szCs w:val="21"/>
                <w:color w:val="auto"/>
              </w:rPr>
            </w:pPr>
          </w:p>
        </w:tc>
        <w:tc>
          <w:tcPr>
            <w:tcW w:w="420" w:type="dxa"/>
            <w:vAlign w:val="bottom"/>
            <w:shd w:val="clear" w:color="auto" w:fill="F2DCDB"/>
          </w:tcPr>
          <w:p>
            <w:pPr>
              <w:spacing w:after="0"/>
              <w:rPr>
                <w:sz w:val="21"/>
                <w:szCs w:val="21"/>
                <w:color w:val="auto"/>
              </w:rPr>
            </w:pPr>
          </w:p>
        </w:tc>
        <w:tc>
          <w:tcPr>
            <w:tcW w:w="1920" w:type="dxa"/>
            <w:vAlign w:val="bottom"/>
            <w:shd w:val="clear" w:color="auto" w:fill="F2DCDB"/>
          </w:tcPr>
          <w:p>
            <w:pPr>
              <w:spacing w:after="0"/>
              <w:rPr>
                <w:sz w:val="21"/>
                <w:szCs w:val="21"/>
                <w:color w:val="auto"/>
              </w:rPr>
            </w:pPr>
          </w:p>
        </w:tc>
        <w:tc>
          <w:tcPr>
            <w:tcW w:w="1000" w:type="dxa"/>
            <w:vAlign w:val="bottom"/>
            <w:shd w:val="clear" w:color="auto" w:fill="F2DCDB"/>
          </w:tcPr>
          <w:p>
            <w:pPr>
              <w:spacing w:after="0"/>
              <w:rPr>
                <w:sz w:val="21"/>
                <w:szCs w:val="21"/>
                <w:color w:val="auto"/>
              </w:rPr>
            </w:pPr>
          </w:p>
        </w:tc>
        <w:tc>
          <w:tcPr>
            <w:tcW w:w="80" w:type="dxa"/>
            <w:vAlign w:val="bottom"/>
            <w:shd w:val="clear" w:color="auto" w:fill="F2DCDB"/>
          </w:tcPr>
          <w:p>
            <w:pPr>
              <w:spacing w:after="0"/>
              <w:rPr>
                <w:sz w:val="21"/>
                <w:szCs w:val="21"/>
                <w:color w:val="auto"/>
              </w:rPr>
            </w:pPr>
          </w:p>
        </w:tc>
        <w:tc>
          <w:tcPr>
            <w:tcW w:w="200" w:type="dxa"/>
            <w:vAlign w:val="bottom"/>
            <w:shd w:val="clear" w:color="auto" w:fill="F2DCDB"/>
          </w:tcPr>
          <w:p>
            <w:pPr>
              <w:spacing w:after="0"/>
              <w:rPr>
                <w:sz w:val="21"/>
                <w:szCs w:val="21"/>
                <w:color w:val="auto"/>
              </w:rPr>
            </w:pPr>
          </w:p>
        </w:tc>
        <w:tc>
          <w:tcPr>
            <w:tcW w:w="920" w:type="dxa"/>
            <w:vAlign w:val="bottom"/>
            <w:shd w:val="clear" w:color="auto" w:fill="F2DCDB"/>
          </w:tcPr>
          <w:p>
            <w:pPr>
              <w:spacing w:after="0"/>
              <w:rPr>
                <w:sz w:val="21"/>
                <w:szCs w:val="21"/>
                <w:color w:val="auto"/>
              </w:rPr>
            </w:pPr>
          </w:p>
        </w:tc>
        <w:tc>
          <w:tcPr>
            <w:tcW w:w="300" w:type="dxa"/>
            <w:vAlign w:val="bottom"/>
            <w:shd w:val="clear" w:color="auto" w:fill="F2DCDB"/>
          </w:tcPr>
          <w:p>
            <w:pPr>
              <w:spacing w:after="0"/>
              <w:rPr>
                <w:sz w:val="21"/>
                <w:szCs w:val="21"/>
                <w:color w:val="auto"/>
              </w:rPr>
            </w:pPr>
          </w:p>
        </w:tc>
        <w:tc>
          <w:tcPr>
            <w:tcW w:w="1480" w:type="dxa"/>
            <w:vAlign w:val="bottom"/>
            <w:shd w:val="clear" w:color="auto" w:fill="F2DCDB"/>
          </w:tcPr>
          <w:p>
            <w:pPr>
              <w:spacing w:after="0"/>
              <w:rPr>
                <w:sz w:val="21"/>
                <w:szCs w:val="21"/>
                <w:color w:val="auto"/>
              </w:rPr>
            </w:pPr>
          </w:p>
        </w:tc>
        <w:tc>
          <w:tcPr>
            <w:tcW w:w="860" w:type="dxa"/>
            <w:vAlign w:val="bottom"/>
            <w:shd w:val="clear" w:color="auto" w:fill="F2DCDB"/>
          </w:tcPr>
          <w:p>
            <w:pPr>
              <w:spacing w:after="0"/>
              <w:rPr>
                <w:sz w:val="21"/>
                <w:szCs w:val="21"/>
                <w:color w:val="auto"/>
              </w:rPr>
            </w:pPr>
          </w:p>
        </w:tc>
      </w:tr>
      <w:tr>
        <w:trPr>
          <w:trHeight w:val="289"/>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29,002</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73,876</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(60.7)</w:t>
            </w:r>
          </w:p>
        </w:tc>
        <w:tc>
          <w:tcPr>
            <w:tcW w:w="80" w:type="dxa"/>
            <w:vAlign w:val="bottom"/>
          </w:tcPr>
          <w:p>
            <w:pPr>
              <w:spacing w:after="0"/>
              <w:rPr>
                <w:sz w:val="24"/>
                <w:szCs w:val="24"/>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88,239</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146,707</w:t>
            </w:r>
          </w:p>
        </w:tc>
        <w:tc>
          <w:tcPr>
            <w:tcW w:w="860" w:type="dxa"/>
            <w:vAlign w:val="bottom"/>
          </w:tcPr>
          <w:p>
            <w:pPr>
              <w:jc w:val="center"/>
              <w:spacing w:after="0"/>
              <w:rPr>
                <w:sz w:val="20"/>
                <w:szCs w:val="20"/>
                <w:color w:val="auto"/>
              </w:rPr>
            </w:pPr>
            <w:r>
              <w:rPr>
                <w:rFonts w:ascii="Arial" w:cs="Arial" w:eastAsia="Arial" w:hAnsi="Arial"/>
                <w:sz w:val="15"/>
                <w:szCs w:val="15"/>
                <w:color w:val="auto"/>
              </w:rPr>
              <w:t>(39.9)</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Operating Loss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(19,409)</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24"/>
              <w:spacing w:after="0"/>
              <w:rPr>
                <w:sz w:val="20"/>
                <w:szCs w:val="20"/>
                <w:color w:val="auto"/>
              </w:rPr>
            </w:pPr>
            <w:r>
              <w:rPr>
                <w:rFonts w:ascii="Arial" w:cs="Arial" w:eastAsia="Arial" w:hAnsi="Arial"/>
                <w:sz w:val="15"/>
                <w:szCs w:val="15"/>
                <w:color w:val="auto"/>
              </w:rPr>
              <w:t>(5,746)</w:t>
            </w:r>
          </w:p>
        </w:tc>
        <w:tc>
          <w:tcPr>
            <w:tcW w:w="1000" w:type="dxa"/>
            <w:vAlign w:val="bottom"/>
          </w:tcPr>
          <w:p>
            <w:pPr>
              <w:jc w:val="center"/>
              <w:ind w:left="64"/>
              <w:spacing w:after="0"/>
              <w:rPr>
                <w:sz w:val="20"/>
                <w:szCs w:val="20"/>
                <w:color w:val="auto"/>
              </w:rPr>
            </w:pPr>
            <w:r>
              <w:rPr>
                <w:rFonts w:ascii="Arial" w:cs="Arial" w:eastAsia="Arial" w:hAnsi="Arial"/>
                <w:sz w:val="15"/>
                <w:szCs w:val="15"/>
                <w:color w:val="auto"/>
              </w:rPr>
              <w:t>237.8</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(35,866)</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584"/>
              <w:spacing w:after="0"/>
              <w:rPr>
                <w:sz w:val="20"/>
                <w:szCs w:val="20"/>
                <w:color w:val="auto"/>
              </w:rPr>
            </w:pPr>
            <w:r>
              <w:rPr>
                <w:rFonts w:ascii="Arial" w:cs="Arial" w:eastAsia="Arial" w:hAnsi="Arial"/>
                <w:sz w:val="15"/>
                <w:szCs w:val="15"/>
                <w:color w:val="auto"/>
              </w:rPr>
              <w:t>(11,463)</w:t>
            </w:r>
          </w:p>
        </w:tc>
        <w:tc>
          <w:tcPr>
            <w:tcW w:w="860" w:type="dxa"/>
            <w:vAlign w:val="bottom"/>
          </w:tcPr>
          <w:p>
            <w:pPr>
              <w:jc w:val="center"/>
              <w:spacing w:after="0"/>
              <w:rPr>
                <w:sz w:val="20"/>
                <w:szCs w:val="20"/>
                <w:color w:val="auto"/>
              </w:rPr>
            </w:pPr>
            <w:r>
              <w:rPr>
                <w:rFonts w:ascii="Arial" w:cs="Arial" w:eastAsia="Arial" w:hAnsi="Arial"/>
                <w:sz w:val="15"/>
                <w:szCs w:val="15"/>
                <w:color w:val="auto"/>
              </w:rPr>
              <w:t>212.9</w:t>
            </w: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Adjusted Operating Loss*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(19,409)</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024"/>
              <w:spacing w:after="0"/>
              <w:rPr>
                <w:sz w:val="20"/>
                <w:szCs w:val="20"/>
                <w:color w:val="auto"/>
              </w:rPr>
            </w:pPr>
            <w:r>
              <w:rPr>
                <w:rFonts w:ascii="Arial" w:cs="Arial" w:eastAsia="Arial" w:hAnsi="Arial"/>
                <w:sz w:val="15"/>
                <w:szCs w:val="15"/>
                <w:color w:val="auto"/>
              </w:rPr>
              <w:t>(5,746)</w:t>
            </w:r>
          </w:p>
        </w:tc>
        <w:tc>
          <w:tcPr>
            <w:tcW w:w="1000" w:type="dxa"/>
            <w:vAlign w:val="bottom"/>
          </w:tcPr>
          <w:p>
            <w:pPr>
              <w:jc w:val="center"/>
              <w:ind w:left="64"/>
              <w:spacing w:after="0"/>
              <w:rPr>
                <w:sz w:val="20"/>
                <w:szCs w:val="20"/>
                <w:color w:val="auto"/>
              </w:rPr>
            </w:pPr>
            <w:r>
              <w:rPr>
                <w:rFonts w:ascii="Arial" w:cs="Arial" w:eastAsia="Arial" w:hAnsi="Arial"/>
                <w:sz w:val="15"/>
                <w:szCs w:val="15"/>
                <w:color w:val="auto"/>
              </w:rPr>
              <w:t>237.8</w:t>
            </w:r>
          </w:p>
        </w:tc>
        <w:tc>
          <w:tcPr>
            <w:tcW w:w="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(35,866)</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584"/>
              <w:spacing w:after="0"/>
              <w:rPr>
                <w:sz w:val="20"/>
                <w:szCs w:val="20"/>
                <w:color w:val="auto"/>
              </w:rPr>
            </w:pPr>
            <w:r>
              <w:rPr>
                <w:rFonts w:ascii="Arial" w:cs="Arial" w:eastAsia="Arial" w:hAnsi="Arial"/>
                <w:sz w:val="15"/>
                <w:szCs w:val="15"/>
                <w:color w:val="auto"/>
              </w:rPr>
              <w:t>(11,463)</w:t>
            </w:r>
          </w:p>
        </w:tc>
        <w:tc>
          <w:tcPr>
            <w:tcW w:w="860" w:type="dxa"/>
            <w:vAlign w:val="bottom"/>
          </w:tcPr>
          <w:p>
            <w:pPr>
              <w:jc w:val="center"/>
              <w:spacing w:after="0"/>
              <w:rPr>
                <w:sz w:val="20"/>
                <w:szCs w:val="20"/>
                <w:color w:val="auto"/>
              </w:rPr>
            </w:pPr>
            <w:r>
              <w:rPr>
                <w:rFonts w:ascii="Arial" w:cs="Arial" w:eastAsia="Arial" w:hAnsi="Arial"/>
                <w:sz w:val="15"/>
                <w:szCs w:val="15"/>
                <w:color w:val="auto"/>
              </w:rPr>
              <w:t>212.9</w:t>
            </w:r>
          </w:p>
        </w:tc>
      </w:tr>
      <w:tr>
        <w:trPr>
          <w:trHeight w:val="17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Central Reservation System</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Transactions</w:t>
            </w:r>
          </w:p>
        </w:tc>
        <w:tc>
          <w:tcPr>
            <w:tcW w:w="18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11,094</w:t>
            </w:r>
          </w:p>
        </w:tc>
        <w:tc>
          <w:tcPr>
            <w:tcW w:w="420" w:type="dxa"/>
            <w:vAlign w:val="bottom"/>
          </w:tcPr>
          <w:p>
            <w:pPr>
              <w:spacing w:after="0"/>
              <w:rPr>
                <w:sz w:val="17"/>
                <w:szCs w:val="17"/>
                <w:color w:val="auto"/>
              </w:rPr>
            </w:pPr>
          </w:p>
        </w:tc>
        <w:tc>
          <w:tcPr>
            <w:tcW w:w="1920" w:type="dxa"/>
            <w:vAlign w:val="bottom"/>
          </w:tcPr>
          <w:p>
            <w:pPr>
              <w:jc w:val="right"/>
              <w:ind w:right="1064"/>
              <w:spacing w:after="0"/>
              <w:rPr>
                <w:sz w:val="20"/>
                <w:szCs w:val="20"/>
                <w:color w:val="auto"/>
              </w:rPr>
            </w:pPr>
            <w:r>
              <w:rPr>
                <w:rFonts w:ascii="Arial" w:cs="Arial" w:eastAsia="Arial" w:hAnsi="Arial"/>
                <w:sz w:val="15"/>
                <w:szCs w:val="15"/>
                <w:color w:val="auto"/>
              </w:rPr>
              <w:t>28,890</w:t>
            </w:r>
          </w:p>
        </w:tc>
        <w:tc>
          <w:tcPr>
            <w:tcW w:w="1000" w:type="dxa"/>
            <w:vAlign w:val="bottom"/>
          </w:tcPr>
          <w:p>
            <w:pPr>
              <w:jc w:val="center"/>
              <w:ind w:left="84"/>
              <w:spacing w:after="0"/>
              <w:rPr>
                <w:sz w:val="20"/>
                <w:szCs w:val="20"/>
                <w:color w:val="auto"/>
              </w:rPr>
            </w:pPr>
            <w:r>
              <w:rPr>
                <w:rFonts w:ascii="Arial" w:cs="Arial" w:eastAsia="Arial" w:hAnsi="Arial"/>
                <w:sz w:val="15"/>
                <w:szCs w:val="15"/>
                <w:color w:val="auto"/>
              </w:rPr>
              <w:t>(61.6)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32,113</w:t>
            </w:r>
          </w:p>
        </w:tc>
        <w:tc>
          <w:tcPr>
            <w:tcW w:w="300" w:type="dxa"/>
            <w:vAlign w:val="bottom"/>
          </w:tcPr>
          <w:p>
            <w:pPr>
              <w:spacing w:after="0"/>
              <w:rPr>
                <w:sz w:val="17"/>
                <w:szCs w:val="17"/>
                <w:color w:val="auto"/>
              </w:rPr>
            </w:pPr>
          </w:p>
        </w:tc>
        <w:tc>
          <w:tcPr>
            <w:tcW w:w="1480" w:type="dxa"/>
            <w:vAlign w:val="bottom"/>
          </w:tcPr>
          <w:p>
            <w:pPr>
              <w:jc w:val="right"/>
              <w:ind w:right="624"/>
              <w:spacing w:after="0"/>
              <w:rPr>
                <w:sz w:val="20"/>
                <w:szCs w:val="20"/>
                <w:color w:val="auto"/>
              </w:rPr>
            </w:pPr>
            <w:r>
              <w:rPr>
                <w:rFonts w:ascii="Arial" w:cs="Arial" w:eastAsia="Arial" w:hAnsi="Arial"/>
                <w:sz w:val="15"/>
                <w:szCs w:val="15"/>
                <w:color w:val="auto"/>
              </w:rPr>
              <w:t>51,914</w:t>
            </w:r>
          </w:p>
        </w:tc>
        <w:tc>
          <w:tcPr>
            <w:tcW w:w="860" w:type="dxa"/>
            <w:vAlign w:val="bottom"/>
          </w:tcPr>
          <w:p>
            <w:pPr>
              <w:jc w:val="center"/>
              <w:spacing w:after="0"/>
              <w:rPr>
                <w:sz w:val="20"/>
                <w:szCs w:val="20"/>
                <w:color w:val="auto"/>
              </w:rPr>
            </w:pPr>
            <w:r>
              <w:rPr>
                <w:rFonts w:ascii="Arial" w:cs="Arial" w:eastAsia="Arial" w:hAnsi="Arial"/>
                <w:sz w:val="15"/>
                <w:szCs w:val="15"/>
                <w:color w:val="auto"/>
              </w:rPr>
              <w:t>(38.1)</w:t>
            </w: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*Indicates non-GAAP financial measure; see descriptions and reconciliations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Travel Network</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2020 results (versus prior year):</w:t>
      </w:r>
    </w:p>
    <w:p>
      <w:pPr>
        <w:spacing w:after="0" w:line="67" w:lineRule="exact"/>
        <w:rPr>
          <w:sz w:val="20"/>
          <w:szCs w:val="20"/>
          <w:color w:val="auto"/>
        </w:rPr>
      </w:pPr>
    </w:p>
    <w:p>
      <w:pPr>
        <w:ind w:left="660" w:hanging="328"/>
        <w:spacing w:after="0" w:line="30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Travel Network revenue decreased 105% to ($33 million) due to net negative bookings in the quarter, as cancellations exceeded new bookings.</w:t>
      </w:r>
    </w:p>
    <w:p>
      <w:pPr>
        <w:spacing w:after="0" w:line="1" w:lineRule="exact"/>
        <w:rPr>
          <w:rFonts w:ascii="Arial" w:cs="Arial" w:eastAsia="Arial" w:hAnsi="Arial"/>
          <w:sz w:val="20"/>
          <w:szCs w:val="20"/>
          <w:color w:val="auto"/>
        </w:rPr>
      </w:pPr>
    </w:p>
    <w:p>
      <w:pPr>
        <w:ind w:left="660" w:hanging="328"/>
        <w:spacing w:after="0" w:line="30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unprecedented disruption in travel driven by the COVID-19 pandemic continued to represent a massive challenge to the GDS industry. Global bookings, net of cancellations, declined 105% in the quarter.</w:t>
      </w:r>
    </w:p>
    <w:p>
      <w:pPr>
        <w:spacing w:after="0" w:line="1" w:lineRule="exact"/>
        <w:rPr>
          <w:rFonts w:ascii="Arial" w:cs="Arial" w:eastAsia="Arial" w:hAnsi="Arial"/>
          <w:sz w:val="20"/>
          <w:szCs w:val="20"/>
          <w:color w:val="auto"/>
        </w:rPr>
      </w:pPr>
    </w:p>
    <w:p>
      <w:pPr>
        <w:jc w:val="both"/>
        <w:ind w:left="660" w:hanging="328"/>
        <w:spacing w:after="0" w:line="30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end of the second quarter demonstrated modest indications of recovery. Gross air bookings declined 95% year-over-year in April and 91% in May, while net bookings were negative due to cancellations. In June, gross air bookings declined 86% year-over-year, and net bookings were positive for the first time since early March 2020.</w:t>
      </w:r>
    </w:p>
    <w:p>
      <w:pPr>
        <w:spacing w:after="0" w:line="2"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the quarter:</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North America bookings declined 102%</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EMEA bookings declined 107%</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Latin America bookings declined 108%</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Asia Pacific bookings declined 111%</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Operating loss totaled $183 million, versus operating income of $159 million in the second quarter of 2019.</w:t>
      </w:r>
    </w:p>
    <w:p>
      <w:pPr>
        <w:spacing w:after="0" w:line="67" w:lineRule="exact"/>
        <w:rPr>
          <w:rFonts w:ascii="Arial" w:cs="Arial" w:eastAsia="Arial" w:hAnsi="Arial"/>
          <w:sz w:val="20"/>
          <w:szCs w:val="20"/>
          <w:color w:val="auto"/>
        </w:rPr>
      </w:pPr>
    </w:p>
    <w:p>
      <w:pPr>
        <w:jc w:val="both"/>
        <w:ind w:left="660" w:hanging="328"/>
        <w:spacing w:after="0" w:line="313"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decline in operating income was driven by the significant reduction in revenue due to COVID-19, partially offset by a decrease in incentive expense, reduced headcount-related expenses resulting from implementation of cost saving actions and a decline in technology costs due to lower transaction volumes.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Airline Solutions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2020 results (versus prior year):</w:t>
      </w:r>
    </w:p>
    <w:p>
      <w:pPr>
        <w:spacing w:after="0" w:line="67" w:lineRule="exact"/>
        <w:rPr>
          <w:sz w:val="20"/>
          <w:szCs w:val="20"/>
          <w:color w:val="auto"/>
        </w:rPr>
      </w:pPr>
    </w:p>
    <w:p>
      <w:pPr>
        <w:jc w:val="both"/>
        <w:ind w:left="660" w:hanging="328"/>
        <w:spacing w:after="0" w:line="30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Airline Solutions revenue decreased 58% to $90 million. Reservations revenue decreased 75%, and commercial and operations revenue decreased 32%. The decline in revenue was primary driven by the impact of COVID-19 on the existing customer base, as well as the demigration of Philippine Airlines and Bangkok Airlines in 2019, partially offset by the acquisition of Radixx.</w:t>
      </w:r>
    </w:p>
    <w:p>
      <w:pPr>
        <w:spacing w:after="0" w:line="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Airline passengers boarded declined 89% in the quarter. Excluding Radixx, passengers boarded declined 90%.</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Operating loss totaled $68 million, versus operating income of $23 million in the second quarter of 2019.</w:t>
      </w:r>
    </w:p>
    <w:p>
      <w:pPr>
        <w:spacing w:after="0" w:line="67" w:lineRule="exact"/>
        <w:rPr>
          <w:rFonts w:ascii="Arial" w:cs="Arial" w:eastAsia="Arial" w:hAnsi="Arial"/>
          <w:sz w:val="20"/>
          <w:szCs w:val="20"/>
          <w:color w:val="auto"/>
        </w:rPr>
      </w:pPr>
    </w:p>
    <w:p>
      <w:pPr>
        <w:ind w:left="660" w:hanging="328"/>
        <w:spacing w:after="0" w:line="31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decline in operating income was driven by the reduction in revenue due to COVID-19, partially offset by reduced headcount-related expenses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implementation of cost saving actions and a decline in technology costs due to lower transaction volumes.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Hospitality Solutions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2020 results (versus prior year):</w:t>
      </w:r>
    </w:p>
    <w:p>
      <w:pPr>
        <w:spacing w:after="0" w:line="6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Hospitality Solutions revenue decreased 61% to $29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Central reservation system transactions declined 62% to 11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Operating loss was $19 million, versus operating loss of $6 million in the second quarter of 2019.</w:t>
      </w:r>
    </w:p>
    <w:p>
      <w:pPr>
        <w:spacing w:after="0" w:line="67" w:lineRule="exact"/>
        <w:rPr>
          <w:rFonts w:ascii="Arial" w:cs="Arial" w:eastAsia="Arial" w:hAnsi="Arial"/>
          <w:sz w:val="20"/>
          <w:szCs w:val="20"/>
          <w:color w:val="auto"/>
        </w:rPr>
      </w:pPr>
    </w:p>
    <w:p>
      <w:pPr>
        <w:jc w:val="both"/>
        <w:ind w:left="660" w:hanging="328"/>
        <w:spacing w:after="0" w:line="31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increase in operating loss was primarily due to the reduction in CRS transactions driven by COVID-19, partially offset by a decline in transaction-based costs and reduced headcount-related expenses resulting from implementation of cost saving actions.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w:t>
      </w:r>
    </w:p>
    <w:p>
      <w:pPr>
        <w:spacing w:after="0" w:line="334"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"Our thoughts continue to be with those around the world impacted by the COVID-19 pandemic," said Doug Barnett, CFO. "We continue to take the cost actions necessary in this difficult environment, including a recently signed contract extension with DXC that provides significant savings over its multi-year term. We remain committed to our expectation for approximately $275 million in 2020 cost savings and are working aggressively to position ourselves for growth post-COVID-19."</w:t>
      </w:r>
    </w:p>
    <w:p>
      <w:pPr>
        <w:spacing w:after="0" w:line="23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Given the magnitude and the uncertainty related to the COVID-19 pandemic and its economic effects, on March 20, 2020, Sabre withdrew its February 26, 2020 guidance and has not given further guidance at this time.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334" w:lineRule="exact"/>
        <w:rPr>
          <w:sz w:val="20"/>
          <w:szCs w:val="20"/>
          <w:color w:val="auto"/>
        </w:rPr>
      </w:pPr>
    </w:p>
    <w:p>
      <w:pPr>
        <w:jc w:val="both"/>
        <w:ind w:right="20"/>
        <w:spacing w:after="0" w:line="313" w:lineRule="auto"/>
        <w:rPr>
          <w:sz w:val="20"/>
          <w:szCs w:val="20"/>
          <w:color w:val="auto"/>
        </w:rPr>
      </w:pPr>
      <w:r>
        <w:rPr>
          <w:rFonts w:ascii="Arial" w:cs="Arial" w:eastAsia="Arial" w:hAnsi="Arial"/>
          <w:sz w:val="20"/>
          <w:szCs w:val="20"/>
          <w:color w:val="auto"/>
        </w:rPr>
        <w:t>Sabre will conduct its second quarter 2020 investor conference call today at 9:00 a.m. ET. The live webcast and accompanying slide presentation can be accessed via the Investor Relations section of our website, investors.sabre.com. A replay of the event will be available on the website for at least 90 days following the event.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Sabre</w:t>
      </w:r>
    </w:p>
    <w:p>
      <w:pPr>
        <w:spacing w:after="0" w:line="334" w:lineRule="exact"/>
        <w:rPr>
          <w:sz w:val="20"/>
          <w:szCs w:val="20"/>
          <w:color w:val="auto"/>
        </w:rPr>
      </w:pPr>
    </w:p>
    <w:p>
      <w:pPr>
        <w:ind w:right="140"/>
        <w:spacing w:after="0" w:line="317" w:lineRule="auto"/>
        <w:rPr>
          <w:sz w:val="20"/>
          <w:szCs w:val="20"/>
          <w:color w:val="auto"/>
        </w:rPr>
      </w:pPr>
      <w:r>
        <w:rPr>
          <w:rFonts w:ascii="Arial" w:cs="Arial" w:eastAsia="Arial" w:hAnsi="Arial"/>
          <w:sz w:val="20"/>
          <w:szCs w:val="20"/>
          <w:color w:val="auto"/>
        </w:rPr>
        <w:t>Sabre Corporation is the leading software and technology company that powers the global travel industry, serving a wide range of travel companies including airlines, hoteliers, travel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33"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and other suppliers. The company provides retailing, distribution and fulfillment solutions that help its customers operate more efficiently, drive revenue and offer personalized traveler experiences. Through its leading travel marketplace, Sabre connects travel suppliers with buyers from around the globe. Sabre’s technology platform manages more than $260B worth of global travel spend annually. Headquartered in Southlake, Texas, USA, Sabre serves customers in more than 160 countries around the world. For more information visit www.sabre.com.</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 Information</w:t>
      </w:r>
    </w:p>
    <w:p>
      <w:pPr>
        <w:spacing w:after="0" w:line="334"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We routinely post important information for investors on the Investor Relations section of our website, investors.sabre.com</w:t>
      </w:r>
      <w:r>
        <w:rPr>
          <w:rFonts w:ascii="Arial" w:cs="Arial" w:eastAsia="Arial" w:hAnsi="Arial"/>
          <w:sz w:val="19"/>
          <w:szCs w:val="19"/>
          <w:u w:val="single" w:color="auto"/>
          <w:color w:val="1D12FF"/>
        </w:rPr>
        <w:t>.</w:t>
      </w:r>
      <w:r>
        <w:rPr>
          <w:rFonts w:ascii="Arial" w:cs="Arial" w:eastAsia="Arial" w:hAnsi="Arial"/>
          <w:sz w:val="19"/>
          <w:szCs w:val="19"/>
          <w:color w:val="auto"/>
        </w:rPr>
        <w:t xml:space="preserve"> We intend to use this website as a means of disclosing material, non-public information and for complying with our disclosure obligations under Regulation FD. Accordingly, investors should monitor the Investor Relations section of our website, in addition to following our press releases, SEC filings, public conference calls, presentations and webcasts. The information contained on, or that may be accessed through, our website is not incorporated by reference into, and is not a part of, this document.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Financial Information</w:t>
      </w:r>
    </w:p>
    <w:p>
      <w:pPr>
        <w:spacing w:after="0" w:line="33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In conjunction with today’s earnings report, a file of supplemental financial information will be available on the Investor Relations section of our website, investors.sabre.com.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Data</w:t>
      </w:r>
    </w:p>
    <w:p>
      <w:pPr>
        <w:spacing w:after="0" w:line="334"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This release contains industry data, forecasts and other information that we obtained from industry publications and surveys, public filings and internal company sources, and there can be no assurance as to the accuracy or completeness of the included information. Statements as to our ranking, market position, bookings share and market estimates are based on independent industry publications, government publications, third-party forecasts and management’s estimates and assumptions about our markets and our internal research. We have not independently verified this third-party information nor have we ascertained the underlying economic assumptions relied upon in those sources, and we cannot assure you of the accuracy or completeness of this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Non-GAAP Financial Measures</w:t>
      </w:r>
    </w:p>
    <w:p>
      <w:pPr>
        <w:spacing w:after="0" w:line="33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This press release includes unaudited non-GAAP financial measures, including Adjusted Gross Profit, Adjusted Operating (Loss) Income, Adjusted Net (Loss) Income from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33"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operations ("Adjusted Net (Loss) Income"), Adjusted EBITDA, Adjusted Net (Loss) Income from continuing operations per share ("Adjusted EPS"), Free Cash Flow, and the ratios based on these financial measures.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We present non-GAAP measures when our management believes that the additional information provides useful information about our operating performance. Non-GAAP financial measures do not have any standardized meaning and are therefore unlikely to be comparable to similar measures presented by other companies. The presentation of non-GAAP financial measures is not intended to be a substitute for, and should not be considered in isolation from, the financial measures reported in accordance with GAAP. See “Non-GAAP Financial Measures” below for an explanation of the non-GAAP measures and “Tabular Reconciliations for Non-GAAP Measures” below for a reconciliation of the non-GAAP financial measures to the comparable GAAP measures.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4"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Certain statements herein are forward-looking statements about trends, future events, uncertainties and our plans and expectations of what may happen in the future. Any statements that are not historical or current facts are forward-looking statements. In many cases, you can identify forward-looking statements by terms such as "expect," "believe," "confident," "position," "guidance," "outlook," estimate," "project," "anticipate," "will," "continue," "commit," "may,” “should,” “would,” “intend," “potential,” "long-term," "growth," "results" or the negative of these terms or other comparable terminology. Forward-looking statements involve known and unknown risks, uncertainties and other factors that may cause Sabre’s actual results, performance or achievements to be materially different from any future results, performances or achievements expressed or implied by the forward-looking statements. The potential risks and uncertainties include, among others, the severity, extent and duration of the global COVID-19 pandemic and its impact on our business and results of operations, financial condition and credit ratings, as well as on the travel industry and consumer spending more broadly, the actions taken to contain the disease or treat its impact, the effect of remote working arrangements on our operations and the speed and extent of the recovery across the broader travel ecosystem, dependency on transaction volumes in the global travel industry, particularly air travel transaction volumes, including from airlines' insolvency, suspension of service or aircraft groundings, the effect of cost savings initiatives, the timing, implementation and effects of the technology investment and other strategic initiatives, the completion and effects of travel platforms, travel suppliers' usage of alternative distribution models, exposure to pricing pressure in the Travel Network business, changes affecting travel supplier customers, maintenance of the integrity of our systems and infrastructure and the effect of any security breaches,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3"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adapt to technological advancements, competition in the travel distribution market and solutions markets, implementation of software solutions, reliance on third parties to provide information technology services and the effects of these services, the finalization of an agreement to implement a full-service property management system, the execution, implementation and effects of new, amended or renewed agreements, including anticipated savings, dependence on establishing, maintaining and renewing contracts with customers and other counterparties and collecting amounts due to us under these agreements, dependence on relationships with travel buyers, our collection, processing, storage, use and transmission of personal data and risks associated with PCI compliance, our ability to recruit, train and retain employees, including our key executive officers and technical employees, the financial and business results and effects of acquisitions, the effects of any litigation and regulatory reviews and investigations, including with respect to these acquisitions, adverse global and regional economic and political conditions, including, but not limited to, economic conditions in countries or regions with traditionally high levels of exports to China or that have commodities-based economies and the effect of "Brexit" and uncertainty due to related negotiations, risks arising from global operations, reliance on the value of our brands, failure to comply with regulations, use of third-party distributor partners, the effects of the implementation of new accounting standards, and tax-related matters, including the effect of the Tax Cuts and Jobs Act. More information about potential risks and uncertainties that could affect our business and results of operations is included in the "Risk Factors" and “Forward-Looking Statements” sections in our Quarterly Report on Form 10-Q filed with the SEC on May 8, 2020, in our Annual Report on Form 10-K filed with the SEC on February 26, 2020 and in our other filings with the SEC.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Sabre undertakes no obligation to publicly update or revise any forward-looking statements to reflect circumstances or events after the date they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Media</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Kristin Hays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kristin.hays@sabre.com</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sabrenews@sabre.com</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Investors</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Kevin Crissey</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Kevin.Crissey@sabre.com</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sabre.investorrelations@sabre.com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7"/>
                <w:szCs w:val="17"/>
                <w:color w:val="auto"/>
              </w:rPr>
            </w:pPr>
          </w:p>
        </w:tc>
        <w:tc>
          <w:tcPr>
            <w:tcW w:w="234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83,044</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1,000,006</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742,021</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2,049,367</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350,551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763,388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962,066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1,550,951</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116,563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154,705</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315,436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306,096</w:t>
            </w:r>
          </w:p>
        </w:tc>
        <w:tc>
          <w:tcPr>
            <w:tcW w:w="0" w:type="dxa"/>
            <w:vAlign w:val="bottom"/>
          </w:tcPr>
          <w:p>
            <w:pPr>
              <w:spacing w:after="0"/>
              <w:rPr>
                <w:sz w:val="1"/>
                <w:szCs w:val="1"/>
                <w:color w:val="auto"/>
              </w:rPr>
            </w:pPr>
          </w:p>
        </w:tc>
      </w:tr>
      <w:tr>
        <w:trPr>
          <w:trHeight w:val="224"/>
        </w:trPr>
        <w:tc>
          <w:tcPr>
            <w:tcW w:w="5980" w:type="dxa"/>
            <w:vAlign w:val="bottom"/>
          </w:tcPr>
          <w:p>
            <w:pPr>
              <w:ind w:left="440"/>
              <w:spacing w:after="0"/>
              <w:rPr>
                <w:sz w:val="20"/>
                <w:szCs w:val="20"/>
                <w:color w:val="auto"/>
              </w:rPr>
            </w:pPr>
            <w:r>
              <w:rPr>
                <w:rFonts w:ascii="Arial" w:cs="Arial" w:eastAsia="Arial" w:hAnsi="Arial"/>
                <w:sz w:val="16"/>
                <w:szCs w:val="16"/>
                <w:color w:val="auto"/>
              </w:rPr>
              <w:t>Operating (loss) income</w:t>
            </w: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(384,070)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81,913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(535,481)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192,320</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(58,581)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(39,608)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(96,023)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(77,621)</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6"/>
                <w:szCs w:val="16"/>
                <w:color w:val="auto"/>
              </w:rPr>
              <w:t>Equity method (loss) income</w:t>
            </w: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56"/>
        </w:trPr>
        <w:tc>
          <w:tcPr>
            <w:tcW w:w="59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(6,098)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(2,479)</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(53,584)</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(4,349)</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6"/>
                <w:szCs w:val="16"/>
                <w:color w:val="auto"/>
              </w:rPr>
              <w:t>Total other expense, net</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(65,178)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(41,674)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(150,792)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(81,024)</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(Loss) Income from continuing operations before income taxes</w:t>
            </w: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(449,248)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40,239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(686,273)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111,296</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12,145</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(32,972)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23,988</w:t>
            </w:r>
          </w:p>
        </w:tc>
        <w:tc>
          <w:tcPr>
            <w:tcW w:w="0" w:type="dxa"/>
            <w:vAlign w:val="bottom"/>
          </w:tcPr>
          <w:p>
            <w:pPr>
              <w:spacing w:after="0"/>
              <w:rPr>
                <w:sz w:val="1"/>
                <w:szCs w:val="1"/>
                <w:color w:val="auto"/>
              </w:rPr>
            </w:pPr>
          </w:p>
        </w:tc>
      </w:tr>
      <w:tr>
        <w:trPr>
          <w:trHeight w:val="224"/>
        </w:trPr>
        <w:tc>
          <w:tcPr>
            <w:tcW w:w="5980" w:type="dxa"/>
            <w:vAlign w:val="bottom"/>
          </w:tcPr>
          <w:p>
            <w:pPr>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(443,530)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28,094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(653,301)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87,308</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(2,798)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Net (loss) income</w:t>
            </w: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(444,202)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29,444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(656,099)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87,206</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16"/>
                <w:szCs w:val="16"/>
                <w:color w:val="auto"/>
              </w:rPr>
              <w:t>Net (loss) income attributable to noncontrolling interests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1,606</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(444,131)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27,838</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(656,811)</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84,688</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6"/>
                <w:szCs w:val="16"/>
                <w:color w:val="auto"/>
              </w:rPr>
              <w:t>Basic net (loss) income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56"/>
        </w:trPr>
        <w:tc>
          <w:tcPr>
            <w:tcW w:w="5980" w:type="dxa"/>
            <w:vAlign w:val="bottom"/>
          </w:tcPr>
          <w:p>
            <w:pPr>
              <w:ind w:left="200"/>
              <w:spacing w:after="0"/>
              <w:rPr>
                <w:sz w:val="20"/>
                <w:szCs w:val="20"/>
                <w:color w:val="auto"/>
              </w:rPr>
            </w:pPr>
            <w:r>
              <w:rPr>
                <w:rFonts w:ascii="Arial" w:cs="Arial" w:eastAsia="Arial" w:hAnsi="Arial"/>
                <w:sz w:val="16"/>
                <w:szCs w:val="16"/>
                <w:color w:val="auto"/>
              </w:rPr>
              <w:t>(Loss) income from discontinued operations</w:t>
            </w:r>
          </w:p>
        </w:tc>
        <w:tc>
          <w:tcPr>
            <w:tcW w:w="20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6"/>
                <w:szCs w:val="16"/>
                <w:color w:val="auto"/>
              </w:rPr>
              <w:t>Net (loss) income per common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Diluted net (loss) income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56"/>
        </w:trPr>
        <w:tc>
          <w:tcPr>
            <w:tcW w:w="5980" w:type="dxa"/>
            <w:vAlign w:val="bottom"/>
          </w:tcPr>
          <w:p>
            <w:pPr>
              <w:ind w:left="200"/>
              <w:spacing w:after="0"/>
              <w:rPr>
                <w:sz w:val="20"/>
                <w:szCs w:val="20"/>
                <w:color w:val="auto"/>
              </w:rPr>
            </w:pPr>
            <w:r>
              <w:rPr>
                <w:rFonts w:ascii="Arial" w:cs="Arial" w:eastAsia="Arial" w:hAnsi="Arial"/>
                <w:sz w:val="16"/>
                <w:szCs w:val="16"/>
                <w:color w:val="auto"/>
              </w:rPr>
              <w:t>(Loss) income from discontinued operations</w:t>
            </w:r>
          </w:p>
        </w:tc>
        <w:tc>
          <w:tcPr>
            <w:tcW w:w="20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6"/>
                <w:szCs w:val="16"/>
                <w:color w:val="auto"/>
              </w:rPr>
              <w:t>Net (loss) income per common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275,693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274,245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274,865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274,911</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275,693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275,483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274,865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276,596</w:t>
            </w:r>
          </w:p>
        </w:tc>
        <w:tc>
          <w:tcPr>
            <w:tcW w:w="0" w:type="dxa"/>
            <w:vAlign w:val="bottom"/>
          </w:tcPr>
          <w:p>
            <w:pPr>
              <w:spacing w:after="0"/>
              <w:rPr>
                <w:sz w:val="1"/>
                <w:szCs w:val="1"/>
                <w:color w:val="auto"/>
              </w:rPr>
            </w:pPr>
          </w:p>
        </w:tc>
      </w:tr>
      <w:tr>
        <w:trPr>
          <w:trHeight w:val="459"/>
        </w:trPr>
        <w:tc>
          <w:tcPr>
            <w:tcW w:w="598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0.14</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886"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60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1,306,288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436,176</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Accounts receivable, net of allowance for credit losses of $101,036 and $56,367</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291,480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546,533</w:t>
            </w:r>
          </w:p>
        </w:tc>
        <w:tc>
          <w:tcPr>
            <w:tcW w:w="0" w:type="dxa"/>
            <w:vAlign w:val="bottom"/>
          </w:tcPr>
          <w:p>
            <w:pPr>
              <w:spacing w:after="0"/>
              <w:rPr>
                <w:sz w:val="1"/>
                <w:szCs w:val="1"/>
                <w:color w:val="auto"/>
              </w:rPr>
            </w:pPr>
          </w:p>
        </w:tc>
      </w:tr>
      <w:tr>
        <w:trPr>
          <w:trHeight w:val="256"/>
        </w:trPr>
        <w:tc>
          <w:tcPr>
            <w:tcW w:w="75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138,691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139,211</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1,736,459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1,121,920</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$1,938,427 and $1,815,844</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540,220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641,722</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23,860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27,494</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2,631,900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2,633,251</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Acquired customer relationships, net of accumulated amortization of $748,319 and $735,367</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299,985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311,015</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 of $694,427 and $674,073</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241,486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262,638</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27,248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21,812</w:t>
            </w:r>
          </w:p>
        </w:tc>
        <w:tc>
          <w:tcPr>
            <w:tcW w:w="0" w:type="dxa"/>
            <w:vAlign w:val="bottom"/>
          </w:tcPr>
          <w:p>
            <w:pPr>
              <w:spacing w:after="0"/>
              <w:rPr>
                <w:sz w:val="1"/>
                <w:szCs w:val="1"/>
                <w:color w:val="auto"/>
              </w:rPr>
            </w:pPr>
          </w:p>
        </w:tc>
      </w:tr>
      <w:tr>
        <w:trPr>
          <w:trHeight w:val="256"/>
        </w:trPr>
        <w:tc>
          <w:tcPr>
            <w:tcW w:w="7540" w:type="dxa"/>
            <w:vAlign w:val="bottom"/>
          </w:tcPr>
          <w:p>
            <w:pPr>
              <w:spacing w:after="0"/>
              <w:rPr>
                <w:sz w:val="20"/>
                <w:szCs w:val="20"/>
                <w:color w:val="auto"/>
              </w:rPr>
            </w:pPr>
            <w:r>
              <w:rPr>
                <w:rFonts w:ascii="Arial" w:cs="Arial" w:eastAsia="Arial" w:hAnsi="Arial"/>
                <w:sz w:val="16"/>
                <w:szCs w:val="16"/>
                <w:color w:val="auto"/>
              </w:rPr>
              <w:t>Other assets, net</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628,048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670,105</w:t>
            </w:r>
          </w:p>
        </w:tc>
        <w:tc>
          <w:tcPr>
            <w:tcW w:w="0" w:type="dxa"/>
            <w:vAlign w:val="bottom"/>
          </w:tcPr>
          <w:p>
            <w:pPr>
              <w:spacing w:after="0"/>
              <w:rPr>
                <w:sz w:val="1"/>
                <w:szCs w:val="1"/>
                <w:color w:val="auto"/>
              </w:rPr>
            </w:pPr>
          </w:p>
        </w:tc>
      </w:tr>
      <w:tr>
        <w:trPr>
          <w:trHeight w:val="243"/>
        </w:trPr>
        <w:tc>
          <w:tcPr>
            <w:tcW w:w="754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6,129,206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5,689,957</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7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134,129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187,187</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110,272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94,368</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Accrued subscriber incentives</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87,243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316,254</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105,282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84,661</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Other accrued liabilities</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249,609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189,548</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Current portion of debt</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77,876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81,614</w:t>
            </w:r>
          </w:p>
        </w:tc>
        <w:tc>
          <w:tcPr>
            <w:tcW w:w="0" w:type="dxa"/>
            <w:vAlign w:val="bottom"/>
          </w:tcPr>
          <w:p>
            <w:pPr>
              <w:spacing w:after="0"/>
              <w:rPr>
                <w:sz w:val="1"/>
                <w:szCs w:val="1"/>
                <w:color w:val="auto"/>
              </w:rPr>
            </w:pPr>
          </w:p>
        </w:tc>
      </w:tr>
      <w:tr>
        <w:trPr>
          <w:trHeight w:val="256"/>
        </w:trPr>
        <w:tc>
          <w:tcPr>
            <w:tcW w:w="7540" w:type="dxa"/>
            <w:vAlign w:val="bottom"/>
          </w:tcPr>
          <w:p>
            <w:pPr>
              <w:ind w:left="200"/>
              <w:spacing w:after="0"/>
              <w:rPr>
                <w:sz w:val="20"/>
                <w:szCs w:val="20"/>
                <w:color w:val="auto"/>
              </w:rPr>
            </w:pPr>
            <w:r>
              <w:rPr>
                <w:rFonts w:ascii="Arial" w:cs="Arial" w:eastAsia="Arial" w:hAnsi="Arial"/>
                <w:sz w:val="16"/>
                <w:szCs w:val="16"/>
                <w:color w:val="auto"/>
              </w:rPr>
              <w:t>Tax Receivable Agreement</w:t>
            </w:r>
          </w:p>
        </w:tc>
        <w:tc>
          <w:tcPr>
            <w:tcW w:w="280" w:type="dxa"/>
            <w:vAlign w:val="bottom"/>
          </w:tcPr>
          <w:p>
            <w:pPr>
              <w:spacing w:after="0"/>
              <w:rPr>
                <w:sz w:val="22"/>
                <w:szCs w:val="22"/>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71,911</w:t>
            </w:r>
          </w:p>
        </w:tc>
        <w:tc>
          <w:tcPr>
            <w:tcW w:w="0" w:type="dxa"/>
            <w:vAlign w:val="bottom"/>
          </w:tcPr>
          <w:p>
            <w:pPr>
              <w:spacing w:after="0"/>
              <w:rPr>
                <w:sz w:val="1"/>
                <w:szCs w:val="1"/>
                <w:color w:val="auto"/>
              </w:rPr>
            </w:pPr>
          </w:p>
        </w:tc>
      </w:tr>
      <w:tr>
        <w:trPr>
          <w:trHeight w:val="224"/>
        </w:trPr>
        <w:tc>
          <w:tcPr>
            <w:tcW w:w="754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764,411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1,025,543</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78,033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107,402</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352,262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347,522</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4,608,478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3,261,821</w:t>
            </w:r>
          </w:p>
        </w:tc>
        <w:tc>
          <w:tcPr>
            <w:tcW w:w="0" w:type="dxa"/>
            <w:vAlign w:val="bottom"/>
          </w:tcPr>
          <w:p>
            <w:pPr>
              <w:spacing w:after="0"/>
              <w:rPr>
                <w:sz w:val="1"/>
                <w:szCs w:val="1"/>
                <w:color w:val="auto"/>
              </w:rPr>
            </w:pPr>
          </w:p>
        </w:tc>
      </w:tr>
      <w:tr>
        <w:trPr>
          <w:trHeight w:val="459"/>
        </w:trPr>
        <w:tc>
          <w:tcPr>
            <w:tcW w:w="7540" w:type="dxa"/>
            <w:vAlign w:val="bottom"/>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160"/>
              <w:spacing w:after="0"/>
              <w:rPr>
                <w:sz w:val="20"/>
                <w:szCs w:val="20"/>
                <w:color w:val="auto"/>
              </w:rPr>
            </w:pPr>
            <w:r>
              <w:rPr>
                <w:rFonts w:ascii="Arial" w:cs="Arial" w:eastAsia="Arial" w:hAnsi="Arial"/>
                <w:sz w:val="16"/>
                <w:szCs w:val="16"/>
                <w:color w:val="auto"/>
              </w:rPr>
              <w:t>Common Stock: $0.01 par value; 1,000,000 authorized shares; 297,131 and 294,319 shares issued,</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160"/>
              <w:spacing w:after="0"/>
              <w:rPr>
                <w:sz w:val="20"/>
                <w:szCs w:val="20"/>
                <w:color w:val="auto"/>
              </w:rPr>
            </w:pPr>
            <w:r>
              <w:rPr>
                <w:rFonts w:ascii="Arial" w:cs="Arial" w:eastAsia="Arial" w:hAnsi="Arial"/>
                <w:sz w:val="16"/>
                <w:szCs w:val="16"/>
                <w:color w:val="auto"/>
              </w:rPr>
              <w:t>275,872 and 273,733 shares outstanding at June 30, 2020 and December 31, 2019, respectively</w:t>
            </w:r>
          </w:p>
        </w:tc>
        <w:tc>
          <w:tcPr>
            <w:tcW w:w="28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2,971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1"/>
                <w:szCs w:val="21"/>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2,411,716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2,317,544</w:t>
            </w:r>
          </w:p>
        </w:tc>
        <w:tc>
          <w:tcPr>
            <w:tcW w:w="0" w:type="dxa"/>
            <w:vAlign w:val="bottom"/>
          </w:tcPr>
          <w:p>
            <w:pPr>
              <w:spacing w:after="0"/>
              <w:rPr>
                <w:sz w:val="1"/>
                <w:szCs w:val="1"/>
                <w:color w:val="auto"/>
              </w:rPr>
            </w:pPr>
          </w:p>
        </w:tc>
      </w:tr>
      <w:tr>
        <w:trPr>
          <w:trHeight w:val="237"/>
        </w:trPr>
        <w:tc>
          <w:tcPr>
            <w:tcW w:w="7540" w:type="dxa"/>
            <w:vAlign w:val="bottom"/>
          </w:tcPr>
          <w:p>
            <w:pPr>
              <w:ind w:left="160"/>
              <w:spacing w:after="0"/>
              <w:rPr>
                <w:sz w:val="20"/>
                <w:szCs w:val="20"/>
                <w:color w:val="auto"/>
              </w:rPr>
            </w:pPr>
            <w:r>
              <w:rPr>
                <w:rFonts w:ascii="Arial" w:cs="Arial" w:eastAsia="Arial" w:hAnsi="Arial"/>
                <w:sz w:val="16"/>
                <w:szCs w:val="16"/>
                <w:color w:val="auto"/>
              </w:rPr>
              <w:t>Treasury Stock, at cost, 21,259 and 20,587 shares at June 30, 2020 and December 31, 2019,</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(474,105)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(468,618)</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Retained deficit</w:t>
            </w:r>
          </w:p>
        </w:tc>
        <w:tc>
          <w:tcPr>
            <w:tcW w:w="28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(1,466,428)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(763,482)</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(157,432)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(149,306)</w:t>
            </w:r>
          </w:p>
        </w:tc>
        <w:tc>
          <w:tcPr>
            <w:tcW w:w="0" w:type="dxa"/>
            <w:vAlign w:val="bottom"/>
          </w:tcPr>
          <w:p>
            <w:pPr>
              <w:spacing w:after="0"/>
              <w:rPr>
                <w:sz w:val="1"/>
                <w:szCs w:val="1"/>
                <w:color w:val="auto"/>
              </w:rPr>
            </w:pPr>
          </w:p>
        </w:tc>
      </w:tr>
      <w:tr>
        <w:trPr>
          <w:trHeight w:val="256"/>
        </w:trPr>
        <w:tc>
          <w:tcPr>
            <w:tcW w:w="754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9,300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8,588</w:t>
            </w:r>
          </w:p>
        </w:tc>
        <w:tc>
          <w:tcPr>
            <w:tcW w:w="0" w:type="dxa"/>
            <w:vAlign w:val="bottom"/>
          </w:tcPr>
          <w:p>
            <w:pPr>
              <w:spacing w:after="0"/>
              <w:rPr>
                <w:sz w:val="1"/>
                <w:szCs w:val="1"/>
                <w:color w:val="auto"/>
              </w:rPr>
            </w:pPr>
          </w:p>
        </w:tc>
      </w:tr>
      <w:tr>
        <w:trPr>
          <w:trHeight w:val="236"/>
        </w:trPr>
        <w:tc>
          <w:tcPr>
            <w:tcW w:w="7540" w:type="dxa"/>
            <w:vAlign w:val="bottom"/>
          </w:tcPr>
          <w:p>
            <w:pPr>
              <w:ind w:left="4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326,022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947,669</w:t>
            </w:r>
          </w:p>
        </w:tc>
        <w:tc>
          <w:tcPr>
            <w:tcW w:w="0" w:type="dxa"/>
            <w:vAlign w:val="bottom"/>
          </w:tcPr>
          <w:p>
            <w:pPr>
              <w:spacing w:after="0"/>
              <w:rPr>
                <w:sz w:val="1"/>
                <w:szCs w:val="1"/>
                <w:color w:val="auto"/>
              </w:rPr>
            </w:pPr>
          </w:p>
        </w:tc>
      </w:tr>
      <w:tr>
        <w:trPr>
          <w:trHeight w:val="243"/>
        </w:trPr>
        <w:tc>
          <w:tcPr>
            <w:tcW w:w="754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6,129,206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5,689,957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40" w:top="886"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338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Borders>
              <w:bottom w:val="single" w:sz="8" w:color="auto"/>
            </w:tcBorders>
          </w:tcPr>
          <w:p>
            <w:pPr>
              <w:spacing w:after="0"/>
              <w:rPr>
                <w:sz w:val="17"/>
                <w:szCs w:val="17"/>
                <w:color w:val="auto"/>
              </w:rPr>
            </w:pPr>
          </w:p>
        </w:tc>
      </w:tr>
      <w:tr>
        <w:trPr>
          <w:trHeight w:val="209"/>
        </w:trPr>
        <w:tc>
          <w:tcPr>
            <w:tcW w:w="70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8"/>
                <w:szCs w:val="18"/>
                <w:color w:val="auto"/>
              </w:rPr>
            </w:pPr>
          </w:p>
        </w:tc>
      </w:tr>
      <w:tr>
        <w:trPr>
          <w:trHeight w:val="204"/>
        </w:trPr>
        <w:tc>
          <w:tcPr>
            <w:tcW w:w="704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Net (loss) income</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(656,099)</w:t>
            </w:r>
          </w:p>
        </w:tc>
        <w:tc>
          <w:tcPr>
            <w:tcW w:w="100" w:type="dxa"/>
            <w:vAlign w:val="bottom"/>
          </w:tcPr>
          <w:p>
            <w:pPr>
              <w:spacing w:after="0"/>
              <w:rPr>
                <w:sz w:val="18"/>
                <w:szCs w:val="18"/>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87,206</w:t>
            </w: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Adjustments to reconcile net (loss) income to cash (used in) provided by operating activities: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189,815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208,290</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Allowance for credit losses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47,727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13,613</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Deferred income taxes</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(45,793)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(14,140)</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Amortization of upfront incentive consideration</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37,289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38,974</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Stock-based compensation expense</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26,339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33,989</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Acquisition termination fee</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24,811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Amortization of debt discount and debt issuance costs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6,445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1,986</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Loss from discontinued operations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2,798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102</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Dividends received from equity method investments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1,164</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Equity method loss (income)</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(946)</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Other</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(803)</w:t>
            </w: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Accounts and other receivables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178,063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(103,861)</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2,727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(4,000)</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Capitalized implementation costs</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(5,698)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(15,202)</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Upfront incentive consideration</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(25,198)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(35,236)</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20,096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(2,162)</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Accrued compensation and related benefits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16,784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(23,675)</w:t>
            </w:r>
          </w:p>
        </w:tc>
      </w:tr>
      <w:tr>
        <w:trPr>
          <w:trHeight w:val="216"/>
        </w:trPr>
        <w:tc>
          <w:tcPr>
            <w:tcW w:w="7040" w:type="dxa"/>
            <w:vAlign w:val="bottom"/>
          </w:tcPr>
          <w:p>
            <w:pPr>
              <w:ind w:left="440"/>
              <w:spacing w:after="0"/>
              <w:rPr>
                <w:sz w:val="20"/>
                <w:szCs w:val="20"/>
                <w:color w:val="auto"/>
              </w:rPr>
            </w:pPr>
            <w:r>
              <w:rPr>
                <w:rFonts w:ascii="Arial" w:cs="Arial" w:eastAsia="Arial" w:hAnsi="Arial"/>
                <w:sz w:val="14"/>
                <w:szCs w:val="14"/>
                <w:color w:val="auto"/>
              </w:rPr>
              <w:t>Accounts payable and other accrued liabilities</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(240,231)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57,428</w:t>
            </w:r>
          </w:p>
        </w:tc>
      </w:tr>
      <w:tr>
        <w:trPr>
          <w:trHeight w:val="222"/>
        </w:trPr>
        <w:tc>
          <w:tcPr>
            <w:tcW w:w="7040" w:type="dxa"/>
            <w:vAlign w:val="bottom"/>
          </w:tcPr>
          <w:p>
            <w:pPr>
              <w:ind w:left="440"/>
              <w:spacing w:after="0"/>
              <w:rPr>
                <w:sz w:val="20"/>
                <w:szCs w:val="20"/>
                <w:color w:val="auto"/>
              </w:rPr>
            </w:pPr>
            <w:r>
              <w:rPr>
                <w:rFonts w:ascii="Arial" w:cs="Arial" w:eastAsia="Arial" w:hAnsi="Arial"/>
                <w:sz w:val="14"/>
                <w:szCs w:val="14"/>
                <w:color w:val="auto"/>
              </w:rPr>
              <w:t>Deferred revenue including upfront solution fees</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21,029</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14,934</w:t>
            </w:r>
          </w:p>
        </w:tc>
      </w:tr>
      <w:tr>
        <w:trPr>
          <w:trHeight w:val="203"/>
        </w:trPr>
        <w:tc>
          <w:tcPr>
            <w:tcW w:w="7040" w:type="dxa"/>
            <w:vAlign w:val="bottom"/>
          </w:tcPr>
          <w:p>
            <w:pPr>
              <w:ind w:left="640"/>
              <w:spacing w:after="0"/>
              <w:rPr>
                <w:sz w:val="20"/>
                <w:szCs w:val="20"/>
                <w:color w:val="auto"/>
              </w:rPr>
            </w:pPr>
            <w:r>
              <w:rPr>
                <w:rFonts w:ascii="Arial" w:cs="Arial" w:eastAsia="Arial" w:hAnsi="Arial"/>
                <w:sz w:val="14"/>
                <w:szCs w:val="14"/>
                <w:color w:val="auto"/>
              </w:rPr>
              <w:t>Cash (used in) provided by operating activities</w:t>
            </w:r>
          </w:p>
        </w:tc>
        <w:tc>
          <w:tcPr>
            <w:tcW w:w="12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(395,036)</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257,661</w:t>
            </w:r>
          </w:p>
        </w:tc>
      </w:tr>
      <w:tr>
        <w:trPr>
          <w:trHeight w:val="216"/>
        </w:trPr>
        <w:tc>
          <w:tcPr>
            <w:tcW w:w="70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Additions to property and equipment</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(39,333)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(67,196)</w:t>
            </w:r>
          </w:p>
        </w:tc>
      </w:tr>
      <w:tr>
        <w:trPr>
          <w:trHeight w:val="222"/>
        </w:trPr>
        <w:tc>
          <w:tcPr>
            <w:tcW w:w="7040" w:type="dxa"/>
            <w:vAlign w:val="bottom"/>
          </w:tcPr>
          <w:p>
            <w:pPr>
              <w:ind w:left="200"/>
              <w:spacing w:after="0"/>
              <w:rPr>
                <w:sz w:val="20"/>
                <w:szCs w:val="20"/>
                <w:color w:val="auto"/>
              </w:rPr>
            </w:pPr>
            <w:r>
              <w:rPr>
                <w:rFonts w:ascii="Arial" w:cs="Arial" w:eastAsia="Arial" w:hAnsi="Arial"/>
                <w:sz w:val="14"/>
                <w:szCs w:val="14"/>
                <w:color w:val="auto"/>
              </w:rPr>
              <w:t>Other investing activities</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(4,413)</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(8,967)</w:t>
            </w:r>
          </w:p>
        </w:tc>
      </w:tr>
      <w:tr>
        <w:trPr>
          <w:trHeight w:val="203"/>
        </w:trPr>
        <w:tc>
          <w:tcPr>
            <w:tcW w:w="7040" w:type="dxa"/>
            <w:vAlign w:val="bottom"/>
          </w:tcPr>
          <w:p>
            <w:pPr>
              <w:ind w:left="520"/>
              <w:spacing w:after="0"/>
              <w:rPr>
                <w:sz w:val="20"/>
                <w:szCs w:val="20"/>
                <w:color w:val="auto"/>
              </w:rPr>
            </w:pPr>
            <w:r>
              <w:rPr>
                <w:rFonts w:ascii="Arial" w:cs="Arial" w:eastAsia="Arial" w:hAnsi="Arial"/>
                <w:sz w:val="14"/>
                <w:szCs w:val="14"/>
                <w:color w:val="auto"/>
              </w:rPr>
              <w:t>Cash used in investing activities</w:t>
            </w:r>
          </w:p>
        </w:tc>
        <w:tc>
          <w:tcPr>
            <w:tcW w:w="12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(43,746)</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(76,163)</w:t>
            </w:r>
          </w:p>
        </w:tc>
      </w:tr>
      <w:tr>
        <w:trPr>
          <w:trHeight w:val="216"/>
        </w:trPr>
        <w:tc>
          <w:tcPr>
            <w:tcW w:w="70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Proceeds of borrowings from lenders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1,495,000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Payments on Tax Receivable Agreement</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(71,958)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(101,482)</w:t>
            </w: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Cash dividends paid to common stockholders</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(38,544)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(76,875)</w:t>
            </w: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Payments on borrowings from lenders</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(37,905)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(23,655)</w:t>
            </w:r>
          </w:p>
        </w:tc>
      </w:tr>
      <w:tr>
        <w:trPr>
          <w:trHeight w:val="256"/>
        </w:trPr>
        <w:tc>
          <w:tcPr>
            <w:tcW w:w="7040" w:type="dxa"/>
            <w:vAlign w:val="bottom"/>
          </w:tcPr>
          <w:p>
            <w:pPr>
              <w:ind w:left="200"/>
              <w:spacing w:after="0"/>
              <w:rPr>
                <w:sz w:val="20"/>
                <w:szCs w:val="20"/>
                <w:color w:val="auto"/>
              </w:rPr>
            </w:pPr>
            <w:r>
              <w:rPr>
                <w:rFonts w:ascii="Arial" w:cs="Arial" w:eastAsia="Arial" w:hAnsi="Arial"/>
                <w:sz w:val="14"/>
                <w:szCs w:val="14"/>
                <w:color w:val="auto"/>
              </w:rPr>
              <w:t>Payments of debt issuance costs</w:t>
            </w:r>
          </w:p>
        </w:tc>
        <w:tc>
          <w:tcPr>
            <w:tcW w:w="12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(29,473)</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6"/>
                <w:szCs w:val="16"/>
                <w:color w:val="auto"/>
              </w:rPr>
              <w:t>—</w:t>
            </w: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Net payments on the settlement of equity-based awards</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(5,241)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(7,002)</w:t>
            </w:r>
          </w:p>
        </w:tc>
      </w:tr>
      <w:tr>
        <w:trPr>
          <w:trHeight w:val="216"/>
        </w:trPr>
        <w:tc>
          <w:tcPr>
            <w:tcW w:w="7040" w:type="dxa"/>
            <w:vAlign w:val="bottom"/>
          </w:tcPr>
          <w:p>
            <w:pPr>
              <w:ind w:left="200"/>
              <w:spacing w:after="0"/>
              <w:rPr>
                <w:sz w:val="20"/>
                <w:szCs w:val="20"/>
                <w:color w:val="auto"/>
              </w:rPr>
            </w:pPr>
            <w:r>
              <w:rPr>
                <w:rFonts w:ascii="Arial" w:cs="Arial" w:eastAsia="Arial" w:hAnsi="Arial"/>
                <w:sz w:val="14"/>
                <w:szCs w:val="14"/>
                <w:color w:val="auto"/>
              </w:rPr>
              <w:t>Other financing activities</w:t>
            </w:r>
          </w:p>
        </w:tc>
        <w:tc>
          <w:tcPr>
            <w:tcW w:w="1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(3,686)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(6,325)</w:t>
            </w:r>
          </w:p>
        </w:tc>
      </w:tr>
      <w:tr>
        <w:trPr>
          <w:trHeight w:val="222"/>
        </w:trPr>
        <w:tc>
          <w:tcPr>
            <w:tcW w:w="704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12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(77,636)</w:t>
            </w:r>
          </w:p>
        </w:tc>
      </w:tr>
      <w:tr>
        <w:trPr>
          <w:trHeight w:val="204"/>
        </w:trPr>
        <w:tc>
          <w:tcPr>
            <w:tcW w:w="7040" w:type="dxa"/>
            <w:vAlign w:val="bottom"/>
          </w:tcPr>
          <w:p>
            <w:pPr>
              <w:ind w:left="640"/>
              <w:spacing w:after="0"/>
              <w:rPr>
                <w:sz w:val="20"/>
                <w:szCs w:val="20"/>
                <w:color w:val="auto"/>
              </w:rPr>
            </w:pPr>
            <w:r>
              <w:rPr>
                <w:rFonts w:ascii="Arial" w:cs="Arial" w:eastAsia="Arial" w:hAnsi="Arial"/>
                <w:sz w:val="14"/>
                <w:szCs w:val="14"/>
                <w:color w:val="auto"/>
              </w:rPr>
              <w:t>Cash provided by (used in) financing activities</w:t>
            </w:r>
          </w:p>
        </w:tc>
        <w:tc>
          <w:tcPr>
            <w:tcW w:w="1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1,308,193</w:t>
            </w: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(292,975)</w:t>
            </w:r>
          </w:p>
        </w:tc>
      </w:tr>
      <w:tr>
        <w:trPr>
          <w:trHeight w:val="216"/>
        </w:trPr>
        <w:tc>
          <w:tcPr>
            <w:tcW w:w="7040" w:type="dxa"/>
            <w:vAlign w:val="bottom"/>
          </w:tcPr>
          <w:p>
            <w:pPr>
              <w:spacing w:after="0"/>
              <w:rPr>
                <w:sz w:val="20"/>
                <w:szCs w:val="20"/>
                <w:color w:val="auto"/>
              </w:rPr>
            </w:pPr>
            <w:r>
              <w:rPr>
                <w:rFonts w:ascii="Arial" w:cs="Arial" w:eastAsia="Arial" w:hAnsi="Arial"/>
                <w:sz w:val="14"/>
                <w:szCs w:val="14"/>
                <w:b w:val="1"/>
                <w:bCs w:val="1"/>
                <w:color w:val="auto"/>
              </w:rPr>
              <w:t>Cash Flows from Discontinued Operations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7040" w:type="dxa"/>
            <w:vAlign w:val="bottom"/>
          </w:tcPr>
          <w:p>
            <w:pPr>
              <w:ind w:left="200"/>
              <w:spacing w:after="0"/>
              <w:rPr>
                <w:sz w:val="20"/>
                <w:szCs w:val="20"/>
                <w:color w:val="auto"/>
              </w:rPr>
            </w:pPr>
            <w:r>
              <w:rPr>
                <w:rFonts w:ascii="Arial" w:cs="Arial" w:eastAsia="Arial" w:hAnsi="Arial"/>
                <w:sz w:val="14"/>
                <w:szCs w:val="14"/>
                <w:color w:val="auto"/>
              </w:rPr>
              <w:t>Cash used in operating activities</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(1,196)</w:t>
            </w:r>
          </w:p>
        </w:tc>
      </w:tr>
      <w:tr>
        <w:trPr>
          <w:trHeight w:val="203"/>
        </w:trPr>
        <w:tc>
          <w:tcPr>
            <w:tcW w:w="7040" w:type="dxa"/>
            <w:vAlign w:val="bottom"/>
          </w:tcPr>
          <w:p>
            <w:pPr>
              <w:ind w:left="640"/>
              <w:spacing w:after="0"/>
              <w:rPr>
                <w:sz w:val="20"/>
                <w:szCs w:val="20"/>
                <w:color w:val="auto"/>
              </w:rPr>
            </w:pPr>
            <w:r>
              <w:rPr>
                <w:rFonts w:ascii="Arial" w:cs="Arial" w:eastAsia="Arial" w:hAnsi="Arial"/>
                <w:sz w:val="14"/>
                <w:szCs w:val="14"/>
                <w:color w:val="auto"/>
              </w:rPr>
              <w:t>Cash used in discontinued operations</w:t>
            </w:r>
          </w:p>
        </w:tc>
        <w:tc>
          <w:tcPr>
            <w:tcW w:w="12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(1,196)</w:t>
            </w:r>
          </w:p>
        </w:tc>
      </w:tr>
      <w:tr>
        <w:trPr>
          <w:trHeight w:val="216"/>
        </w:trPr>
        <w:tc>
          <w:tcPr>
            <w:tcW w:w="70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256</w:t>
            </w:r>
          </w:p>
        </w:tc>
      </w:tr>
      <w:tr>
        <w:trPr>
          <w:trHeight w:val="216"/>
        </w:trPr>
        <w:tc>
          <w:tcPr>
            <w:tcW w:w="704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20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870,112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(112,417)</w:t>
            </w:r>
          </w:p>
        </w:tc>
      </w:tr>
      <w:tr>
        <w:trPr>
          <w:trHeight w:val="222"/>
        </w:trPr>
        <w:tc>
          <w:tcPr>
            <w:tcW w:w="70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436,176</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509,265</w:t>
            </w:r>
          </w:p>
        </w:tc>
      </w:tr>
      <w:tr>
        <w:trPr>
          <w:trHeight w:val="215"/>
        </w:trPr>
        <w:tc>
          <w:tcPr>
            <w:tcW w:w="70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1,306,288</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396,848</w:t>
            </w:r>
          </w:p>
        </w:tc>
      </w:tr>
      <w:tr>
        <w:trPr>
          <w:trHeight w:val="20"/>
        </w:trPr>
        <w:tc>
          <w:tcPr>
            <w:tcW w:w="7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40" w:top="886"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Tabular Reconciliations for Non-GAAP Measures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 thousands, except per share amounts; unaudited)</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Reconciliation of Net (Loss) Income attributable to common stockholders to Adjusted Net (Loss) Income, Adjusted EBITDA and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Operating (Loss) Income:</w:t>
      </w:r>
    </w:p>
    <w:p>
      <w:pPr>
        <w:spacing w:after="0" w:line="374"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4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23"/>
        </w:trPr>
        <w:tc>
          <w:tcPr>
            <w:tcW w:w="5400" w:type="dxa"/>
            <w:vAlign w:val="bottom"/>
          </w:tcPr>
          <w:p>
            <w:pPr>
              <w:spacing w:after="0"/>
              <w:rPr>
                <w:sz w:val="20"/>
                <w:szCs w:val="20"/>
                <w:color w:val="auto"/>
              </w:rPr>
            </w:pPr>
            <w:r>
              <w:rPr>
                <w:rFonts w:ascii="Arial" w:cs="Arial" w:eastAsia="Arial" w:hAnsi="Arial"/>
                <w:sz w:val="16"/>
                <w:szCs w:val="16"/>
                <w:color w:val="auto"/>
              </w:rPr>
              <w:t>Net (loss) income attributable to common stockholders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(444,131)</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27,838</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(656,811)</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84,688</w:t>
            </w:r>
          </w:p>
        </w:tc>
      </w:tr>
      <w:tr>
        <w:trPr>
          <w:trHeight w:val="243"/>
        </w:trPr>
        <w:tc>
          <w:tcPr>
            <w:tcW w:w="5400" w:type="dxa"/>
            <w:vAlign w:val="bottom"/>
          </w:tcPr>
          <w:p>
            <w:pPr>
              <w:ind w:left="180"/>
              <w:spacing w:after="0"/>
              <w:rPr>
                <w:sz w:val="20"/>
                <w:szCs w:val="20"/>
                <w:color w:val="auto"/>
              </w:rPr>
            </w:pPr>
            <w:r>
              <w:rPr>
                <w:rFonts w:ascii="Arial" w:cs="Arial" w:eastAsia="Arial" w:hAnsi="Arial"/>
                <w:sz w:val="16"/>
                <w:szCs w:val="16"/>
                <w:color w:val="auto"/>
              </w:rPr>
              <w:t>Loss (income) from discontinued operations, net of tax</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102</w:t>
            </w:r>
          </w:p>
        </w:tc>
      </w:tr>
      <w:tr>
        <w:trPr>
          <w:trHeight w:val="262"/>
        </w:trPr>
        <w:tc>
          <w:tcPr>
            <w:tcW w:w="5400" w:type="dxa"/>
            <w:vAlign w:val="bottom"/>
          </w:tcPr>
          <w:p>
            <w:pPr>
              <w:ind w:left="200"/>
              <w:spacing w:after="0"/>
              <w:rPr>
                <w:sz w:val="20"/>
                <w:szCs w:val="20"/>
                <w:color w:val="auto"/>
              </w:rPr>
            </w:pPr>
            <w:r>
              <w:rPr>
                <w:rFonts w:ascii="Arial" w:cs="Arial" w:eastAsia="Arial" w:hAnsi="Arial"/>
                <w:sz w:val="16"/>
                <w:szCs w:val="16"/>
                <w:color w:val="auto"/>
              </w:rPr>
              <w:t>Net (loss) income attributable to non-controlling interests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2,518</w:t>
            </w:r>
          </w:p>
        </w:tc>
      </w:tr>
      <w:tr>
        <w:trPr>
          <w:trHeight w:val="217"/>
        </w:trPr>
        <w:tc>
          <w:tcPr>
            <w:tcW w:w="5400" w:type="dxa"/>
            <w:vAlign w:val="bottom"/>
          </w:tcPr>
          <w:p>
            <w:pPr>
              <w:spacing w:after="0"/>
              <w:rPr>
                <w:sz w:val="20"/>
                <w:szCs w:val="20"/>
                <w:color w:val="auto"/>
              </w:rPr>
            </w:pPr>
            <w:r>
              <w:rPr>
                <w:rFonts w:ascii="Arial" w:cs="Arial" w:eastAsia="Arial" w:hAnsi="Arial"/>
                <w:sz w:val="16"/>
                <w:szCs w:val="16"/>
                <w:color w:val="auto"/>
              </w:rPr>
              <w:t>(Loss) income from continuing operations</w:t>
            </w:r>
          </w:p>
        </w:tc>
        <w:tc>
          <w:tcPr>
            <w:tcW w:w="22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(443,530)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28,094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(653,301)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87,308</w:t>
            </w:r>
          </w:p>
        </w:tc>
      </w:tr>
      <w:tr>
        <w:trPr>
          <w:trHeight w:val="243"/>
        </w:trPr>
        <w:tc>
          <w:tcPr>
            <w:tcW w:w="5400" w:type="dxa"/>
            <w:vAlign w:val="bottom"/>
          </w:tcPr>
          <w:p>
            <w:pPr>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91"/>
        </w:trPr>
        <w:tc>
          <w:tcPr>
            <w:tcW w:w="5400" w:type="dxa"/>
            <w:vAlign w:val="bottom"/>
          </w:tcPr>
          <w:p>
            <w:pPr>
              <w:ind w:left="20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22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16,509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16,011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33,310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31,995</w:t>
            </w:r>
          </w:p>
        </w:tc>
      </w:tr>
      <w:tr>
        <w:trPr>
          <w:trHeight w:val="240"/>
        </w:trPr>
        <w:tc>
          <w:tcPr>
            <w:tcW w:w="5400" w:type="dxa"/>
            <w:vAlign w:val="bottom"/>
          </w:tcPr>
          <w:p>
            <w:pPr>
              <w:ind w:left="200"/>
              <w:spacing w:after="0" w:line="240"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22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48,001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73,282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400" w:type="dxa"/>
            <w:vAlign w:val="bottom"/>
          </w:tcPr>
          <w:p>
            <w:pPr>
              <w:ind w:left="20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6,098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2,479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53,584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4,349</w:t>
            </w:r>
          </w:p>
        </w:tc>
      </w:tr>
      <w:tr>
        <w:trPr>
          <w:trHeight w:val="243"/>
        </w:trPr>
        <w:tc>
          <w:tcPr>
            <w:tcW w:w="5400" w:type="dxa"/>
            <w:vAlign w:val="bottom"/>
          </w:tcPr>
          <w:p>
            <w:pPr>
              <w:ind w:left="20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4,373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8,935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22,200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20,641</w:t>
            </w:r>
          </w:p>
        </w:tc>
      </w:tr>
      <w:tr>
        <w:trPr>
          <w:trHeight w:val="246"/>
        </w:trPr>
        <w:tc>
          <w:tcPr>
            <w:tcW w:w="5400" w:type="dxa"/>
            <w:vAlign w:val="bottom"/>
          </w:tcPr>
          <w:p>
            <w:pPr>
              <w:ind w:left="20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1,386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2,824</w:t>
            </w:r>
          </w:p>
        </w:tc>
      </w:tr>
      <w:tr>
        <w:trPr>
          <w:trHeight w:val="195"/>
        </w:trPr>
        <w:tc>
          <w:tcPr>
            <w:tcW w:w="54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6"/>
                <w:szCs w:val="16"/>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8,762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18,295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26,339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33,989</w:t>
            </w:r>
          </w:p>
        </w:tc>
      </w:tr>
      <w:tr>
        <w:trPr>
          <w:trHeight w:val="263"/>
        </w:trPr>
        <w:tc>
          <w:tcPr>
            <w:tcW w:w="5400" w:type="dxa"/>
            <w:vAlign w:val="bottom"/>
          </w:tcPr>
          <w:p>
            <w:pPr>
              <w:ind w:left="20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(7,746)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4,751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(19,453)</w:t>
            </w:r>
          </w:p>
        </w:tc>
      </w:tr>
      <w:tr>
        <w:trPr>
          <w:trHeight w:val="237"/>
        </w:trPr>
        <w:tc>
          <w:tcPr>
            <w:tcW w:w="5400" w:type="dxa"/>
            <w:vAlign w:val="bottom"/>
          </w:tcPr>
          <w:p>
            <w:pPr>
              <w:spacing w:after="0"/>
              <w:rPr>
                <w:sz w:val="20"/>
                <w:szCs w:val="20"/>
                <w:color w:val="auto"/>
              </w:rPr>
            </w:pPr>
            <w:r>
              <w:rPr>
                <w:rFonts w:ascii="Arial" w:cs="Arial" w:eastAsia="Arial" w:hAnsi="Arial"/>
                <w:sz w:val="16"/>
                <w:szCs w:val="16"/>
                <w:color w:val="auto"/>
              </w:rPr>
              <w:t>Adjusted Net (Loss) Income from continuing operations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(358,003)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67,454</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(437,979)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161,653</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6"/>
                <w:szCs w:val="16"/>
                <w:color w:val="auto"/>
              </w:rPr>
              <w:t>Adjusted Net (Loss) Income from continuing operations per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0.58</w:t>
            </w:r>
          </w:p>
        </w:tc>
      </w:tr>
      <w:tr>
        <w:trPr>
          <w:trHeight w:val="243"/>
        </w:trPr>
        <w:tc>
          <w:tcPr>
            <w:tcW w:w="5400" w:type="dxa"/>
            <w:vAlign w:val="bottom"/>
          </w:tcPr>
          <w:p>
            <w:pPr>
              <w:spacing w:after="0"/>
              <w:rPr>
                <w:sz w:val="20"/>
                <w:szCs w:val="20"/>
                <w:color w:val="auto"/>
              </w:rPr>
            </w:pPr>
            <w:r>
              <w:rPr>
                <w:rFonts w:ascii="Arial" w:cs="Arial" w:eastAsia="Arial" w:hAnsi="Arial"/>
                <w:sz w:val="16"/>
                <w:szCs w:val="16"/>
                <w:color w:val="auto"/>
              </w:rPr>
              <w:t>Diluted weighted-average common shares outstanding</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275,693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275,483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274,865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276,596</w:t>
            </w:r>
          </w:p>
        </w:tc>
      </w:tr>
      <w:tr>
        <w:trPr>
          <w:trHeight w:val="459"/>
        </w:trPr>
        <w:tc>
          <w:tcPr>
            <w:tcW w:w="5400" w:type="dxa"/>
            <w:vAlign w:val="bottom"/>
          </w:tcPr>
          <w:p>
            <w:pPr>
              <w:spacing w:after="0"/>
              <w:rPr>
                <w:sz w:val="20"/>
                <w:szCs w:val="20"/>
                <w:color w:val="auto"/>
              </w:rPr>
            </w:pPr>
            <w:r>
              <w:rPr>
                <w:rFonts w:ascii="Arial" w:cs="Arial" w:eastAsia="Arial" w:hAnsi="Arial"/>
                <w:sz w:val="16"/>
                <w:szCs w:val="16"/>
                <w:color w:val="auto"/>
              </w:rPr>
              <w:t>Adjusted Net (Loss) Income from continuing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(358,003)</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67,454</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(437,979)</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161,653</w:t>
            </w:r>
          </w:p>
        </w:tc>
      </w:tr>
      <w:tr>
        <w:trPr>
          <w:trHeight w:val="243"/>
        </w:trPr>
        <w:tc>
          <w:tcPr>
            <w:tcW w:w="5400" w:type="dxa"/>
            <w:vAlign w:val="bottom"/>
          </w:tcPr>
          <w:p>
            <w:pPr>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89"/>
        </w:trPr>
        <w:tc>
          <w:tcPr>
            <w:tcW w:w="5400" w:type="dxa"/>
            <w:vAlign w:val="bottom"/>
          </w:tcPr>
          <w:p>
            <w:pPr>
              <w:ind w:left="20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(2b)</w:t>
            </w:r>
          </w:p>
        </w:tc>
        <w:tc>
          <w:tcPr>
            <w:tcW w:w="22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68,028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79,209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137,541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154,557</w:t>
            </w:r>
          </w:p>
        </w:tc>
      </w:tr>
      <w:tr>
        <w:trPr>
          <w:trHeight w:val="243"/>
        </w:trPr>
        <w:tc>
          <w:tcPr>
            <w:tcW w:w="5400" w:type="dxa"/>
            <w:vAlign w:val="bottom"/>
          </w:tcPr>
          <w:p>
            <w:pPr>
              <w:ind w:left="20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(2c)</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9,417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9,627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18,964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21,738</w:t>
            </w:r>
          </w:p>
        </w:tc>
      </w:tr>
      <w:tr>
        <w:trPr>
          <w:trHeight w:val="246"/>
        </w:trPr>
        <w:tc>
          <w:tcPr>
            <w:tcW w:w="5400" w:type="dxa"/>
            <w:vAlign w:val="bottom"/>
          </w:tcPr>
          <w:p>
            <w:pPr>
              <w:ind w:left="20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19,076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19,846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37,289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38,974</w:t>
            </w:r>
          </w:p>
        </w:tc>
      </w:tr>
      <w:tr>
        <w:trPr>
          <w:trHeight w:val="195"/>
        </w:trPr>
        <w:tc>
          <w:tcPr>
            <w:tcW w:w="540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6"/>
                <w:szCs w:val="16"/>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58,581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39,608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96,023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77,621</w:t>
            </w:r>
          </w:p>
        </w:tc>
      </w:tr>
      <w:tr>
        <w:trPr>
          <w:trHeight w:val="256"/>
        </w:trPr>
        <w:tc>
          <w:tcPr>
            <w:tcW w:w="5400" w:type="dxa"/>
            <w:vAlign w:val="bottom"/>
          </w:tcPr>
          <w:p>
            <w:pPr>
              <w:ind w:left="180"/>
              <w:spacing w:after="0"/>
              <w:rPr>
                <w:sz w:val="20"/>
                <w:szCs w:val="20"/>
                <w:color w:val="auto"/>
              </w:rPr>
            </w:pPr>
            <w:r>
              <w:rPr>
                <w:rFonts w:ascii="Arial" w:cs="Arial" w:eastAsia="Arial" w:hAnsi="Arial"/>
                <w:sz w:val="16"/>
                <w:szCs w:val="16"/>
                <w:color w:val="auto"/>
              </w:rPr>
              <w:t>Remaining provision for income taxes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(7,387)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19,891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(37,723)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43,441</w:t>
            </w:r>
          </w:p>
        </w:tc>
      </w:tr>
      <w:tr>
        <w:trPr>
          <w:trHeight w:val="237"/>
        </w:trPr>
        <w:tc>
          <w:tcPr>
            <w:tcW w:w="540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(210,288)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235,635</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(185,885)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497,984</w:t>
            </w:r>
          </w:p>
        </w:tc>
      </w:tr>
      <w:tr>
        <w:trPr>
          <w:trHeight w:val="210"/>
        </w:trPr>
        <w:tc>
          <w:tcPr>
            <w:tcW w:w="5400" w:type="dxa"/>
            <w:vAlign w:val="bottom"/>
          </w:tcPr>
          <w:p>
            <w:pPr>
              <w:spacing w:after="0"/>
              <w:rPr>
                <w:sz w:val="20"/>
                <w:szCs w:val="20"/>
                <w:color w:val="auto"/>
              </w:rPr>
            </w:pPr>
            <w:r>
              <w:rPr>
                <w:rFonts w:ascii="Arial" w:cs="Arial" w:eastAsia="Arial" w:hAnsi="Arial"/>
                <w:sz w:val="16"/>
                <w:szCs w:val="16"/>
                <w:color w:val="auto"/>
              </w:rPr>
              <w:t>Less: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91"/>
        </w:trPr>
        <w:tc>
          <w:tcPr>
            <w:tcW w:w="5400" w:type="dxa"/>
            <w:vAlign w:val="bottom"/>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2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93,954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104,847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189,815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208,290</w:t>
            </w:r>
          </w:p>
        </w:tc>
      </w:tr>
      <w:tr>
        <w:trPr>
          <w:trHeight w:val="243"/>
        </w:trPr>
        <w:tc>
          <w:tcPr>
            <w:tcW w:w="5400" w:type="dxa"/>
            <w:vAlign w:val="bottom"/>
          </w:tcPr>
          <w:p>
            <w:pPr>
              <w:ind w:left="20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19,076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19,846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37,289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38,974</w:t>
            </w:r>
          </w:p>
        </w:tc>
      </w:tr>
      <w:tr>
        <w:trPr>
          <w:trHeight w:val="214"/>
        </w:trPr>
        <w:tc>
          <w:tcPr>
            <w:tcW w:w="5400" w:type="dxa"/>
            <w:vAlign w:val="bottom"/>
          </w:tcPr>
          <w:p>
            <w:pPr>
              <w:ind w:left="20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(16,509)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(16,011)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(33,310)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(31,995)</w:t>
            </w:r>
          </w:p>
        </w:tc>
      </w:tr>
      <w:tr>
        <w:trPr>
          <w:trHeight w:val="236"/>
        </w:trPr>
        <w:tc>
          <w:tcPr>
            <w:tcW w:w="5400" w:type="dxa"/>
            <w:vAlign w:val="bottom"/>
          </w:tcPr>
          <w:p>
            <w:pPr>
              <w:spacing w:after="0"/>
              <w:rPr>
                <w:sz w:val="20"/>
                <w:szCs w:val="20"/>
                <w:color w:val="auto"/>
              </w:rPr>
            </w:pPr>
            <w:r>
              <w:rPr>
                <w:rFonts w:ascii="Arial" w:cs="Arial" w:eastAsia="Arial" w:hAnsi="Arial"/>
                <w:sz w:val="16"/>
                <w:szCs w:val="16"/>
                <w:color w:val="auto"/>
              </w:rPr>
              <w:t>Adjusted Operating (Loss)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(306,809)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126,953</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(379,679)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282,715</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787"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i w:val="1"/>
          <w:iCs w:val="1"/>
          <w:color w:val="auto"/>
        </w:rPr>
        <w:t>Reconciliation of Free Cash Flow:</w:t>
      </w:r>
    </w:p>
    <w:p>
      <w:pPr>
        <w:spacing w:after="0" w:line="374"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8"/>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6"/>
          </w:tcPr>
          <w:p>
            <w:pPr>
              <w:jc w:val="right"/>
              <w:ind w:right="461"/>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17"/>
                <w:szCs w:val="17"/>
                <w:color w:val="auto"/>
              </w:rPr>
            </w:pPr>
          </w:p>
        </w:tc>
      </w:tr>
      <w:tr>
        <w:trPr>
          <w:trHeight w:val="209"/>
        </w:trPr>
        <w:tc>
          <w:tcPr>
            <w:tcW w:w="47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r>
      <w:tr>
        <w:trPr>
          <w:trHeight w:val="223"/>
        </w:trPr>
        <w:tc>
          <w:tcPr>
            <w:tcW w:w="4760" w:type="dxa"/>
            <w:vAlign w:val="bottom"/>
          </w:tcPr>
          <w:p>
            <w:pPr>
              <w:ind w:left="40"/>
              <w:spacing w:after="0"/>
              <w:rPr>
                <w:sz w:val="20"/>
                <w:szCs w:val="20"/>
                <w:color w:val="auto"/>
              </w:rPr>
            </w:pPr>
            <w:r>
              <w:rPr>
                <w:rFonts w:ascii="Arial" w:cs="Arial" w:eastAsia="Arial" w:hAnsi="Arial"/>
                <w:sz w:val="16"/>
                <w:szCs w:val="16"/>
                <w:color w:val="auto"/>
              </w:rPr>
              <w:t>Cash (used in) provided by operating activities</w:t>
            </w: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(435,467)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105,661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(395,036)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257,661</w:t>
            </w:r>
          </w:p>
        </w:tc>
        <w:tc>
          <w:tcPr>
            <w:tcW w:w="60" w:type="dxa"/>
            <w:vAlign w:val="bottom"/>
          </w:tcPr>
          <w:p>
            <w:pPr>
              <w:spacing w:after="0"/>
              <w:rPr>
                <w:sz w:val="19"/>
                <w:szCs w:val="19"/>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(10,896)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(38,299)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(43,746)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(76,163)</w:t>
            </w:r>
          </w:p>
        </w:tc>
        <w:tc>
          <w:tcPr>
            <w:tcW w:w="60" w:type="dxa"/>
            <w:vAlign w:val="bottom"/>
          </w:tcPr>
          <w:p>
            <w:pPr>
              <w:spacing w:after="0"/>
              <w:rPr>
                <w:sz w:val="21"/>
                <w:szCs w:val="2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color w:val="auto"/>
              </w:rPr>
              <w:t>1,070,047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(128,661)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1,308,193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(292,975)</w:t>
            </w:r>
          </w:p>
        </w:tc>
        <w:tc>
          <w:tcPr>
            <w:tcW w:w="60" w:type="dxa"/>
            <w:vAlign w:val="bottom"/>
          </w:tcPr>
          <w:p>
            <w:pPr>
              <w:spacing w:after="0"/>
              <w:rPr>
                <w:sz w:val="21"/>
                <w:szCs w:val="21"/>
                <w:color w:val="auto"/>
              </w:rPr>
            </w:pPr>
          </w:p>
        </w:tc>
      </w:tr>
      <w:tr>
        <w:trPr>
          <w:trHeight w:val="877"/>
        </w:trPr>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8"/>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24"/>
                <w:szCs w:val="24"/>
                <w:color w:val="auto"/>
              </w:rPr>
            </w:pPr>
          </w:p>
        </w:tc>
      </w:tr>
      <w:tr>
        <w:trPr>
          <w:trHeight w:val="204"/>
        </w:trPr>
        <w:tc>
          <w:tcPr>
            <w:tcW w:w="4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7"/>
                <w:szCs w:val="17"/>
                <w:color w:val="auto"/>
              </w:rPr>
            </w:pPr>
          </w:p>
        </w:tc>
      </w:tr>
      <w:tr>
        <w:trPr>
          <w:trHeight w:val="26"/>
        </w:trPr>
        <w:tc>
          <w:tcPr>
            <w:tcW w:w="4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7"/>
        </w:trPr>
        <w:tc>
          <w:tcPr>
            <w:tcW w:w="4760" w:type="dxa"/>
            <w:vAlign w:val="bottom"/>
          </w:tcPr>
          <w:p>
            <w:pPr>
              <w:spacing w:after="0"/>
              <w:rPr>
                <w:sz w:val="20"/>
                <w:szCs w:val="20"/>
                <w:color w:val="auto"/>
              </w:rPr>
            </w:pPr>
            <w:r>
              <w:rPr>
                <w:rFonts w:ascii="Arial" w:cs="Arial" w:eastAsia="Arial" w:hAnsi="Arial"/>
                <w:sz w:val="16"/>
                <w:szCs w:val="16"/>
                <w:color w:val="auto"/>
              </w:rPr>
              <w:t>Cash (used in) provided by operating activities</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(435,467)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105,661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(395,036)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257,661</w:t>
            </w:r>
          </w:p>
        </w:tc>
        <w:tc>
          <w:tcPr>
            <w:tcW w:w="60" w:type="dxa"/>
            <w:vAlign w:val="bottom"/>
          </w:tcPr>
          <w:p>
            <w:pPr>
              <w:spacing w:after="0"/>
              <w:rPr>
                <w:sz w:val="18"/>
                <w:szCs w:val="18"/>
                <w:color w:val="auto"/>
              </w:rPr>
            </w:pPr>
          </w:p>
        </w:tc>
      </w:tr>
      <w:tr>
        <w:trPr>
          <w:trHeight w:val="256"/>
        </w:trPr>
        <w:tc>
          <w:tcPr>
            <w:tcW w:w="4760" w:type="dxa"/>
            <w:vAlign w:val="bottom"/>
          </w:tcPr>
          <w:p>
            <w:pPr>
              <w:ind w:left="180"/>
              <w:spacing w:after="0"/>
              <w:rPr>
                <w:sz w:val="20"/>
                <w:szCs w:val="20"/>
                <w:color w:val="auto"/>
              </w:rPr>
            </w:pPr>
            <w:r>
              <w:rPr>
                <w:rFonts w:ascii="Arial" w:cs="Arial" w:eastAsia="Arial" w:hAnsi="Arial"/>
                <w:sz w:val="16"/>
                <w:szCs w:val="16"/>
                <w:color w:val="auto"/>
              </w:rPr>
              <w:t>Additions to property and equipment</w:t>
            </w: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(10,896)</w:t>
            </w: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(29,332)</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(39,333)</w:t>
            </w:r>
          </w:p>
        </w:tc>
        <w:tc>
          <w:tcPr>
            <w:tcW w:w="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(67,196)</w:t>
            </w:r>
          </w:p>
        </w:tc>
        <w:tc>
          <w:tcPr>
            <w:tcW w:w="60" w:type="dxa"/>
            <w:vAlign w:val="bottom"/>
            <w:tcBorders>
              <w:bottom w:val="single" w:sz="8" w:color="auto"/>
            </w:tcBorders>
          </w:tcPr>
          <w:p>
            <w:pPr>
              <w:spacing w:after="0"/>
              <w:rPr>
                <w:sz w:val="22"/>
                <w:szCs w:val="22"/>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6"/>
                <w:szCs w:val="16"/>
                <w:color w:val="auto"/>
              </w:rPr>
              <w:t>Free Cash Flow</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(446,363)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76,329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(434,369)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190,465</w:t>
            </w:r>
          </w:p>
        </w:tc>
        <w:tc>
          <w:tcPr>
            <w:tcW w:w="60" w:type="dxa"/>
            <w:vAlign w:val="bottom"/>
          </w:tcPr>
          <w:p>
            <w:pPr>
              <w:spacing w:after="0"/>
              <w:rPr>
                <w:sz w:val="21"/>
                <w:szCs w:val="21"/>
                <w:color w:val="auto"/>
              </w:rPr>
            </w:pPr>
          </w:p>
        </w:tc>
      </w:tr>
      <w:tr>
        <w:trPr>
          <w:trHeight w:val="20"/>
        </w:trPr>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791"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i w:val="1"/>
          <w:iCs w:val="1"/>
          <w:color w:val="auto"/>
        </w:rPr>
        <w:t>Reconciliation of Net (Loss) Income to LTM Adjusted EBITDA (for Net Debt Ratio):</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 2019</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 2019</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 2020</w:t>
            </w:r>
          </w:p>
        </w:tc>
        <w:tc>
          <w:tcPr>
            <w:tcW w:w="16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 30, 2020</w:t>
            </w:r>
          </w:p>
        </w:tc>
        <w:tc>
          <w:tcPr>
            <w:tcW w:w="12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4"/>
                <w:szCs w:val="14"/>
                <w:b w:val="1"/>
                <w:bCs w:val="1"/>
                <w:color w:val="auto"/>
              </w:rPr>
              <w:t>LTM</w:t>
            </w:r>
          </w:p>
        </w:tc>
      </w:tr>
      <w:tr>
        <w:trPr>
          <w:trHeight w:val="223"/>
        </w:trPr>
        <w:tc>
          <w:tcPr>
            <w:tcW w:w="4700" w:type="dxa"/>
            <w:vAlign w:val="bottom"/>
          </w:tcPr>
          <w:p>
            <w:pPr>
              <w:spacing w:after="0"/>
              <w:rPr>
                <w:sz w:val="20"/>
                <w:szCs w:val="20"/>
                <w:color w:val="auto"/>
              </w:rPr>
            </w:pPr>
            <w:r>
              <w:rPr>
                <w:rFonts w:ascii="Arial" w:cs="Arial" w:eastAsia="Arial" w:hAnsi="Arial"/>
                <w:sz w:val="16"/>
                <w:szCs w:val="16"/>
                <w:color w:val="auto"/>
              </w:rPr>
              <w:t>Net income (loss) attributable to common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63,813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10,091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(212,680)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(444,131)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(582,907)</w:t>
            </w:r>
          </w:p>
        </w:tc>
      </w:tr>
      <w:tr>
        <w:trPr>
          <w:trHeight w:val="243"/>
        </w:trPr>
        <w:tc>
          <w:tcPr>
            <w:tcW w:w="4700" w:type="dxa"/>
            <w:vAlign w:val="bottom"/>
          </w:tcPr>
          <w:p>
            <w:pPr>
              <w:ind w:left="100"/>
              <w:spacing w:after="0"/>
              <w:rPr>
                <w:sz w:val="20"/>
                <w:szCs w:val="20"/>
                <w:color w:val="auto"/>
              </w:rPr>
            </w:pPr>
            <w:r>
              <w:rPr>
                <w:rFonts w:ascii="Arial" w:cs="Arial" w:eastAsia="Arial" w:hAnsi="Arial"/>
                <w:sz w:val="16"/>
                <w:szCs w:val="16"/>
                <w:color w:val="auto"/>
              </w:rPr>
              <w:t>Loss from discontinued operations, net of tax</w:t>
            </w:r>
          </w:p>
        </w:tc>
        <w:tc>
          <w:tcPr>
            <w:tcW w:w="16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4,462</w:t>
            </w:r>
          </w:p>
        </w:tc>
      </w:tr>
      <w:tr>
        <w:trPr>
          <w:trHeight w:val="263"/>
        </w:trPr>
        <w:tc>
          <w:tcPr>
            <w:tcW w:w="4700" w:type="dxa"/>
            <w:vAlign w:val="bottom"/>
          </w:tcPr>
          <w:p>
            <w:pPr>
              <w:ind w:left="120"/>
              <w:spacing w:after="0"/>
              <w:rPr>
                <w:sz w:val="20"/>
                <w:szCs w:val="20"/>
                <w:color w:val="auto"/>
              </w:rPr>
            </w:pPr>
            <w:r>
              <w:rPr>
                <w:rFonts w:ascii="Arial" w:cs="Arial" w:eastAsia="Arial" w:hAnsi="Arial"/>
                <w:sz w:val="16"/>
                <w:szCs w:val="16"/>
                <w:color w:val="auto"/>
              </w:rPr>
              <w:t>Net income (loss) attributable to non-controlling interests</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2,148</w:t>
            </w:r>
          </w:p>
        </w:tc>
      </w:tr>
      <w:tr>
        <w:trPr>
          <w:trHeight w:val="217"/>
        </w:trPr>
        <w:tc>
          <w:tcPr>
            <w:tcW w:w="470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65,180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11,824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(209,771)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(443,530)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(576,297)</w:t>
            </w: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91"/>
        </w:trPr>
        <w:tc>
          <w:tcPr>
            <w:tcW w:w="4700" w:type="dxa"/>
            <w:vAlign w:val="bottom"/>
          </w:tcPr>
          <w:p>
            <w:pPr>
              <w:ind w:left="20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6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15,976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16,633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16,801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16,509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65,919</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25,281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48,001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73,282</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16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3,314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47,486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6,098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58,667</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6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9,696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10,700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17,827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4,373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42,596</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(24,179)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(25,547)</w:t>
            </w:r>
          </w:p>
        </w:tc>
      </w:tr>
      <w:tr>
        <w:trPr>
          <w:trHeight w:val="195"/>
        </w:trPr>
        <w:tc>
          <w:tcPr>
            <w:tcW w:w="47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17,094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15,802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17,577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8,762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59,235</w:t>
            </w:r>
          </w:p>
        </w:tc>
      </w:tr>
      <w:tr>
        <w:trPr>
          <w:trHeight w:val="291"/>
        </w:trPr>
        <w:tc>
          <w:tcPr>
            <w:tcW w:w="4700" w:type="dxa"/>
            <w:vAlign w:val="bottom"/>
          </w:tcPr>
          <w:p>
            <w:pPr>
              <w:ind w:left="20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(2b)</w:t>
            </w:r>
          </w:p>
        </w:tc>
        <w:tc>
          <w:tcPr>
            <w:tcW w:w="16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78,060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77,956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69,513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68,028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293,557</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(2c)</w:t>
            </w:r>
          </w:p>
        </w:tc>
        <w:tc>
          <w:tcPr>
            <w:tcW w:w="16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9,579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8,127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9,547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9,417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36,670</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20,851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23,110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18,213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19,076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81,250</w:t>
            </w:r>
          </w:p>
        </w:tc>
      </w:tr>
      <w:tr>
        <w:trPr>
          <w:trHeight w:val="195"/>
        </w:trPr>
        <w:tc>
          <w:tcPr>
            <w:tcW w:w="470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39,743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39,027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37,442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58,581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174,793</w:t>
            </w:r>
          </w:p>
        </w:tc>
      </w:tr>
      <w:tr>
        <w:trPr>
          <w:trHeight w:val="256"/>
        </w:trPr>
        <w:tc>
          <w:tcPr>
            <w:tcW w:w="470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7,795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(27,254)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(21,634)</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241,564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206,812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24,403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(210,288)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262,491</w:t>
            </w:r>
          </w:p>
        </w:tc>
      </w:tr>
      <w:tr>
        <w:trPr>
          <w:trHeight w:val="21"/>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8"/>
        </w:trPr>
        <w:tc>
          <w:tcPr>
            <w:tcW w:w="4700" w:type="dxa"/>
            <w:vAlign w:val="bottom"/>
          </w:tcPr>
          <w:p>
            <w:pPr>
              <w:spacing w:after="0"/>
              <w:rPr>
                <w:sz w:val="20"/>
                <w:szCs w:val="20"/>
                <w:color w:val="auto"/>
              </w:rPr>
            </w:pPr>
            <w:r>
              <w:rPr>
                <w:rFonts w:ascii="Arial" w:cs="Arial" w:eastAsia="Arial" w:hAnsi="Arial"/>
                <w:sz w:val="16"/>
                <w:szCs w:val="16"/>
                <w:color w:val="auto"/>
              </w:rPr>
              <w:t>Net Debt (total debt, less cash)</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3,510,798</w:t>
            </w: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Net Debt / LTM Adjusted EBITDA</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7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 30, 2018</w:t>
            </w: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 2018</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 31, 2019</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 30, 2019</w:t>
            </w:r>
          </w:p>
        </w:tc>
        <w:tc>
          <w:tcPr>
            <w:tcW w:w="22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4"/>
                <w:szCs w:val="14"/>
                <w:b w:val="1"/>
                <w:bCs w:val="1"/>
                <w:color w:val="auto"/>
              </w:rPr>
              <w:t>LTM</w:t>
            </w: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Net income attributable to common stockholders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73,005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84,400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56,850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27,838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242,093</w:t>
            </w:r>
          </w:p>
        </w:tc>
      </w:tr>
      <w:tr>
        <w:trPr>
          <w:trHeight w:val="243"/>
        </w:trPr>
        <w:tc>
          <w:tcPr>
            <w:tcW w:w="4660" w:type="dxa"/>
            <w:vAlign w:val="bottom"/>
          </w:tcPr>
          <w:p>
            <w:pPr>
              <w:ind w:left="100"/>
              <w:spacing w:after="0"/>
              <w:rPr>
                <w:sz w:val="20"/>
                <w:szCs w:val="20"/>
                <w:color w:val="auto"/>
              </w:rPr>
            </w:pPr>
            <w:r>
              <w:rPr>
                <w:rFonts w:ascii="Arial" w:cs="Arial" w:eastAsia="Arial" w:hAnsi="Arial"/>
                <w:sz w:val="16"/>
                <w:szCs w:val="16"/>
                <w:color w:val="auto"/>
              </w:rPr>
              <w:t>(Income) loss from discontinued operations, net of tax</w:t>
            </w:r>
          </w:p>
        </w:tc>
        <w:tc>
          <w:tcPr>
            <w:tcW w:w="1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(2,084)</w:t>
            </w:r>
          </w:p>
        </w:tc>
      </w:tr>
      <w:tr>
        <w:trPr>
          <w:trHeight w:val="263"/>
        </w:trPr>
        <w:tc>
          <w:tcPr>
            <w:tcW w:w="4660" w:type="dxa"/>
            <w:vAlign w:val="bottom"/>
          </w:tcPr>
          <w:p>
            <w:pPr>
              <w:ind w:left="200"/>
              <w:spacing w:after="0"/>
              <w:rPr>
                <w:sz w:val="20"/>
                <w:szCs w:val="20"/>
                <w:color w:val="auto"/>
              </w:rPr>
            </w:pPr>
            <w:r>
              <w:rPr>
                <w:rFonts w:ascii="Arial" w:cs="Arial" w:eastAsia="Arial" w:hAnsi="Arial"/>
                <w:sz w:val="16"/>
                <w:szCs w:val="16"/>
                <w:color w:val="auto"/>
              </w:rPr>
              <w:t>Net income attributable to non-controlling interests</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5,206</w:t>
            </w:r>
          </w:p>
        </w:tc>
      </w:tr>
      <w:tr>
        <w:trPr>
          <w:trHeight w:val="217"/>
        </w:trPr>
        <w:tc>
          <w:tcPr>
            <w:tcW w:w="466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1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70,879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87,028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59,214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28,094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245,215</w:t>
            </w:r>
          </w:p>
        </w:tc>
      </w:tr>
      <w:tr>
        <w:trPr>
          <w:trHeight w:val="243"/>
        </w:trPr>
        <w:tc>
          <w:tcPr>
            <w:tcW w:w="4660" w:type="dxa"/>
            <w:vAlign w:val="bottom"/>
          </w:tcPr>
          <w:p>
            <w:pPr>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91"/>
        </w:trPr>
        <w:tc>
          <w:tcPr>
            <w:tcW w:w="4660" w:type="dxa"/>
            <w:vAlign w:val="bottom"/>
          </w:tcPr>
          <w:p>
            <w:pPr>
              <w:ind w:left="20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16,407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16,423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15,984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16,011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64,825</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12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4,017</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23,907</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2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5,225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9,299</w:t>
            </w:r>
          </w:p>
        </w:tc>
      </w:tr>
      <w:tr>
        <w:trPr>
          <w:trHeight w:val="195"/>
        </w:trPr>
        <w:tc>
          <w:tcPr>
            <w:tcW w:w="46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15,245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15,818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15,694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18,295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65,052</w:t>
            </w:r>
          </w:p>
        </w:tc>
      </w:tr>
      <w:tr>
        <w:trPr>
          <w:trHeight w:val="291"/>
        </w:trPr>
        <w:tc>
          <w:tcPr>
            <w:tcW w:w="4660" w:type="dxa"/>
            <w:vAlign w:val="bottom"/>
          </w:tcPr>
          <w:p>
            <w:pPr>
              <w:ind w:left="20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(2b)</w:t>
            </w:r>
          </w:p>
        </w:tc>
        <w:tc>
          <w:tcPr>
            <w:tcW w:w="1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76,226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77,963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75,348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79,209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308,746</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(2c)</w:t>
            </w:r>
          </w:p>
        </w:tc>
        <w:tc>
          <w:tcPr>
            <w:tcW w:w="12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10,099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11,407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43,244</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2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18,207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20,298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19,128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19,846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77,479</w:t>
            </w:r>
          </w:p>
        </w:tc>
      </w:tr>
      <w:tr>
        <w:trPr>
          <w:trHeight w:val="195"/>
        </w:trPr>
        <w:tc>
          <w:tcPr>
            <w:tcW w:w="466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39,291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40,208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38,013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39,608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157,120</w:t>
            </w:r>
          </w:p>
        </w:tc>
      </w:tr>
      <w:tr>
        <w:trPr>
          <w:trHeight w:val="256"/>
        </w:trPr>
        <w:tc>
          <w:tcPr>
            <w:tcW w:w="466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25,021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11,843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12,145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45,130</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278,505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267,545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262,349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235,635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1,044,034</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9"/>
        </w:trPr>
        <w:tc>
          <w:tcPr>
            <w:tcW w:w="4660" w:type="dxa"/>
            <w:vAlign w:val="bottom"/>
          </w:tcPr>
          <w:p>
            <w:pPr>
              <w:spacing w:after="0"/>
              <w:rPr>
                <w:sz w:val="20"/>
                <w:szCs w:val="20"/>
                <w:color w:val="auto"/>
              </w:rPr>
            </w:pPr>
            <w:r>
              <w:rPr>
                <w:rFonts w:ascii="Arial" w:cs="Arial" w:eastAsia="Arial" w:hAnsi="Arial"/>
                <w:sz w:val="16"/>
                <w:szCs w:val="16"/>
                <w:color w:val="auto"/>
              </w:rPr>
              <w:t>Net Debt (total debt, less cash)</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3,007,906</w:t>
            </w:r>
          </w:p>
        </w:tc>
      </w:tr>
      <w:tr>
        <w:trPr>
          <w:trHeight w:val="243"/>
        </w:trPr>
        <w:tc>
          <w:tcPr>
            <w:tcW w:w="4660" w:type="dxa"/>
            <w:vAlign w:val="bottom"/>
          </w:tcPr>
          <w:p>
            <w:pPr>
              <w:spacing w:after="0"/>
              <w:rPr>
                <w:sz w:val="20"/>
                <w:szCs w:val="20"/>
                <w:color w:val="auto"/>
              </w:rPr>
            </w:pPr>
            <w:r>
              <w:rPr>
                <w:rFonts w:ascii="Arial" w:cs="Arial" w:eastAsia="Arial" w:hAnsi="Arial"/>
                <w:sz w:val="16"/>
                <w:szCs w:val="16"/>
                <w:color w:val="auto"/>
              </w:rPr>
              <w:t>Net Debt / LTM Adjusted EBITDA</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20"/>
          </w:cols>
          <w:pgMar w:left="340" w:top="1071" w:right="339" w:bottom="1440" w:gutter="0" w:footer="0" w:header="0"/>
        </w:sectPr>
      </w:pPr>
    </w:p>
    <w:bookmarkStart w:id="20" w:name="page21"/>
    <w:bookmarkEnd w:id="20"/>
    <w:p>
      <w:pPr>
        <w:spacing w:after="0" w:line="324" w:lineRule="auto"/>
        <w:rPr>
          <w:sz w:val="20"/>
          <w:szCs w:val="20"/>
          <w:color w:val="auto"/>
        </w:rPr>
      </w:pPr>
      <w:r>
        <w:rPr>
          <w:rFonts w:ascii="Arial" w:cs="Arial" w:eastAsia="Arial" w:hAnsi="Arial"/>
          <w:sz w:val="20"/>
          <w:szCs w:val="20"/>
          <w:i w:val="1"/>
          <w:iCs w:val="1"/>
          <w:color w:val="auto"/>
        </w:rPr>
        <w:t>Reconciliation of Operating (Loss) Income to Adjusted Gross Profit, Adjusted EBITDA and Adjusted Operating (Loss) Income by business segment:</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Three Months Ended June 30, 2020</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37"/>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Travel</w:t>
            </w: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Airline</w:t>
            </w:r>
          </w:p>
        </w:tc>
        <w:tc>
          <w:tcPr>
            <w:tcW w:w="14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Hospitality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Network</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223"/>
        </w:trPr>
        <w:tc>
          <w:tcPr>
            <w:tcW w:w="5220" w:type="dxa"/>
            <w:vAlign w:val="bottom"/>
          </w:tcPr>
          <w:p>
            <w:pPr>
              <w:spacing w:after="0"/>
              <w:rPr>
                <w:sz w:val="20"/>
                <w:szCs w:val="20"/>
                <w:color w:val="auto"/>
              </w:rPr>
            </w:pPr>
            <w:r>
              <w:rPr>
                <w:rFonts w:ascii="Arial" w:cs="Arial" w:eastAsia="Arial" w:hAnsi="Arial"/>
                <w:sz w:val="16"/>
                <w:szCs w:val="16"/>
                <w:color w:val="auto"/>
              </w:rPr>
              <w:t>Operating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(182,832)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(68,309)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(19,409)</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(113,520)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(384,070)</w:t>
            </w:r>
          </w:p>
        </w:tc>
      </w:tr>
      <w:tr>
        <w:trPr>
          <w:trHeight w:val="243"/>
        </w:trPr>
        <w:tc>
          <w:tcPr>
            <w:tcW w:w="5220" w:type="dxa"/>
            <w:vAlign w:val="bottom"/>
          </w:tcPr>
          <w:p>
            <w:pPr>
              <w:spacing w:after="0"/>
              <w:rPr>
                <w:sz w:val="20"/>
                <w:szCs w:val="20"/>
                <w:color w:val="auto"/>
              </w:rPr>
            </w:pPr>
            <w:r>
              <w:rPr>
                <w:rFonts w:ascii="Arial" w:cs="Arial" w:eastAsia="Arial" w:hAnsi="Arial"/>
                <w:sz w:val="16"/>
                <w:szCs w:val="16"/>
                <w:color w:val="auto"/>
              </w:rPr>
              <w:t>Add back:</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1"/>
                <w:szCs w:val="21"/>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31,613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20,148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8,407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56,395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116,563</w:t>
            </w:r>
          </w:p>
        </w:tc>
      </w:tr>
      <w:tr>
        <w:trPr>
          <w:trHeight w:val="243"/>
        </w:trPr>
        <w:tc>
          <w:tcPr>
            <w:tcW w:w="5220" w:type="dxa"/>
            <w:vAlign w:val="bottom"/>
          </w:tcPr>
          <w:p>
            <w:pPr>
              <w:ind w:left="200"/>
              <w:spacing w:after="0"/>
              <w:rPr>
                <w:sz w:val="20"/>
                <w:szCs w:val="20"/>
                <w:color w:val="auto"/>
              </w:rPr>
            </w:pPr>
            <w:r>
              <w:rPr>
                <w:rFonts w:ascii="Arial" w:cs="Arial" w:eastAsia="Arial" w:hAnsi="Arial"/>
                <w:sz w:val="16"/>
                <w:szCs w:val="16"/>
                <w:color w:val="auto"/>
              </w:rPr>
              <w:t>Cost of revenue adjustments: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9"/>
        </w:trPr>
        <w:tc>
          <w:tcPr>
            <w:tcW w:w="5220" w:type="dxa"/>
            <w:vAlign w:val="bottom"/>
          </w:tcPr>
          <w:p>
            <w:pPr>
              <w:ind w:left="4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21,269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37,144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10,234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6,346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74,993</w:t>
            </w:r>
          </w:p>
        </w:tc>
      </w:tr>
      <w:tr>
        <w:trPr>
          <w:trHeight w:val="259"/>
        </w:trPr>
        <w:tc>
          <w:tcPr>
            <w:tcW w:w="5220" w:type="dxa"/>
            <w:vAlign w:val="bottom"/>
          </w:tcPr>
          <w:p>
            <w:pPr>
              <w:ind w:left="4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20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40,752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40,752</w:t>
            </w:r>
          </w:p>
        </w:tc>
      </w:tr>
      <w:tr>
        <w:trPr>
          <w:trHeight w:val="243"/>
        </w:trPr>
        <w:tc>
          <w:tcPr>
            <w:tcW w:w="5220" w:type="dxa"/>
            <w:vAlign w:val="bottom"/>
          </w:tcPr>
          <w:p>
            <w:pPr>
              <w:ind w:left="4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19,076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19,076</w:t>
            </w:r>
          </w:p>
        </w:tc>
      </w:tr>
      <w:tr>
        <w:trPr>
          <w:trHeight w:val="208"/>
        </w:trPr>
        <w:tc>
          <w:tcPr>
            <w:tcW w:w="522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3,686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3,686</w:t>
            </w:r>
          </w:p>
        </w:tc>
      </w:tr>
      <w:tr>
        <w:trPr>
          <w:trHeight w:val="223"/>
        </w:trPr>
        <w:tc>
          <w:tcPr>
            <w:tcW w:w="5220" w:type="dxa"/>
            <w:vAlign w:val="bottom"/>
          </w:tcPr>
          <w:p>
            <w:pPr>
              <w:spacing w:after="0"/>
              <w:rPr>
                <w:sz w:val="20"/>
                <w:szCs w:val="20"/>
                <w:color w:val="auto"/>
              </w:rPr>
            </w:pPr>
            <w:r>
              <w:rPr>
                <w:rFonts w:ascii="Arial" w:cs="Arial" w:eastAsia="Arial" w:hAnsi="Arial"/>
                <w:sz w:val="16"/>
                <w:szCs w:val="16"/>
                <w:color w:val="auto"/>
              </w:rPr>
              <w:t>Adjusted Gross Profit</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(110,874)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(11,017)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(6,341)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(129,000)</w:t>
            </w:r>
          </w:p>
        </w:tc>
      </w:tr>
      <w:tr>
        <w:trPr>
          <w:trHeight w:val="243"/>
        </w:trPr>
        <w:tc>
          <w:tcPr>
            <w:tcW w:w="522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1"/>
                <w:szCs w:val="21"/>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(31,613)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(20,148)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(8,407)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(56,395)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(116,563)</w:t>
            </w:r>
          </w:p>
        </w:tc>
      </w:tr>
      <w:tr>
        <w:trPr>
          <w:trHeight w:val="243"/>
        </w:trPr>
        <w:tc>
          <w:tcPr>
            <w:tcW w:w="5220" w:type="dxa"/>
            <w:vAlign w:val="bottom"/>
          </w:tcPr>
          <w:p>
            <w:pPr>
              <w:spacing w:after="0"/>
              <w:rPr>
                <w:sz w:val="20"/>
                <w:szCs w:val="20"/>
                <w:color w:val="auto"/>
              </w:rPr>
            </w:pPr>
            <w:r>
              <w:rPr>
                <w:rFonts w:ascii="Arial" w:cs="Arial" w:eastAsia="Arial" w:hAnsi="Arial"/>
                <w:sz w:val="16"/>
                <w:szCs w:val="16"/>
                <w:color w:val="auto"/>
              </w:rPr>
              <w:t>Equity method loss</w:t>
            </w:r>
          </w:p>
        </w:tc>
        <w:tc>
          <w:tcPr>
            <w:tcW w:w="200" w:type="dxa"/>
            <w:vAlign w:val="bottom"/>
          </w:tcPr>
          <w:p>
            <w:pPr>
              <w:spacing w:after="0"/>
              <w:rPr>
                <w:sz w:val="21"/>
                <w:szCs w:val="21"/>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(499)</w:t>
            </w:r>
          </w:p>
        </w:tc>
      </w:tr>
      <w:tr>
        <w:trPr>
          <w:trHeight w:val="243"/>
        </w:trPr>
        <w:tc>
          <w:tcPr>
            <w:tcW w:w="522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9"/>
        </w:trPr>
        <w:tc>
          <w:tcPr>
            <w:tcW w:w="522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3,365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2,748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11,724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18,961</w:t>
            </w:r>
          </w:p>
        </w:tc>
      </w:tr>
      <w:tr>
        <w:trPr>
          <w:trHeight w:val="259"/>
        </w:trPr>
        <w:tc>
          <w:tcPr>
            <w:tcW w:w="5220" w:type="dxa"/>
            <w:vAlign w:val="bottom"/>
          </w:tcPr>
          <w:p>
            <w:pPr>
              <w:ind w:left="4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20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7,249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7,249</w:t>
            </w:r>
          </w:p>
        </w:tc>
      </w:tr>
      <w:tr>
        <w:trPr>
          <w:trHeight w:val="243"/>
        </w:trPr>
        <w:tc>
          <w:tcPr>
            <w:tcW w:w="5220" w:type="dxa"/>
            <w:vAlign w:val="bottom"/>
          </w:tcPr>
          <w:p>
            <w:pPr>
              <w:ind w:left="4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2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4,373</w:t>
            </w:r>
          </w:p>
        </w:tc>
      </w:tr>
      <w:tr>
        <w:trPr>
          <w:trHeight w:val="243"/>
        </w:trPr>
        <w:tc>
          <w:tcPr>
            <w:tcW w:w="5220" w:type="dxa"/>
            <w:vAlign w:val="bottom"/>
          </w:tcPr>
          <w:p>
            <w:pPr>
              <w:ind w:left="4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2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115</w:t>
            </w:r>
          </w:p>
        </w:tc>
      </w:tr>
      <w:tr>
        <w:trPr>
          <w:trHeight w:val="208"/>
        </w:trPr>
        <w:tc>
          <w:tcPr>
            <w:tcW w:w="522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5,076</w:t>
            </w:r>
          </w:p>
        </w:tc>
      </w:tr>
      <w:tr>
        <w:trPr>
          <w:trHeight w:val="237"/>
        </w:trPr>
        <w:tc>
          <w:tcPr>
            <w:tcW w:w="5220" w:type="dxa"/>
            <w:vAlign w:val="bottom"/>
          </w:tcPr>
          <w:p>
            <w:pPr>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(139,621)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(28,417)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(8,051)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(34,199)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(210,288)</w:t>
            </w:r>
          </w:p>
        </w:tc>
      </w:tr>
      <w:tr>
        <w:trPr>
          <w:trHeight w:val="210"/>
        </w:trPr>
        <w:tc>
          <w:tcPr>
            <w:tcW w:w="5220" w:type="dxa"/>
            <w:vAlign w:val="bottom"/>
          </w:tcPr>
          <w:p>
            <w:pPr>
              <w:spacing w:after="0"/>
              <w:rPr>
                <w:sz w:val="20"/>
                <w:szCs w:val="20"/>
                <w:color w:val="auto"/>
              </w:rPr>
            </w:pPr>
            <w:r>
              <w:rPr>
                <w:rFonts w:ascii="Arial" w:cs="Arial" w:eastAsia="Arial" w:hAnsi="Arial"/>
                <w:sz w:val="16"/>
                <w:szCs w:val="16"/>
                <w:color w:val="auto"/>
              </w:rPr>
              <w:t>Less: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91"/>
        </w:trPr>
        <w:tc>
          <w:tcPr>
            <w:tcW w:w="5220" w:type="dxa"/>
            <w:vAlign w:val="bottom"/>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24,634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39,892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11,358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18,070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93,954</w:t>
            </w:r>
          </w:p>
        </w:tc>
      </w:tr>
      <w:tr>
        <w:trPr>
          <w:trHeight w:val="243"/>
        </w:trPr>
        <w:tc>
          <w:tcPr>
            <w:tcW w:w="5220" w:type="dxa"/>
            <w:vAlign w:val="bottom"/>
          </w:tcPr>
          <w:p>
            <w:pPr>
              <w:ind w:left="20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19,076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19,076</w:t>
            </w:r>
          </w:p>
        </w:tc>
      </w:tr>
      <w:tr>
        <w:trPr>
          <w:trHeight w:val="214"/>
        </w:trPr>
        <w:tc>
          <w:tcPr>
            <w:tcW w:w="5220" w:type="dxa"/>
            <w:vAlign w:val="bottom"/>
          </w:tcPr>
          <w:p>
            <w:pPr>
              <w:ind w:left="20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(16,509)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(16,509)</w:t>
            </w:r>
          </w:p>
        </w:tc>
      </w:tr>
      <w:tr>
        <w:trPr>
          <w:trHeight w:val="237"/>
        </w:trPr>
        <w:tc>
          <w:tcPr>
            <w:tcW w:w="522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(183,331)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(68,309)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(19,409)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(35,760)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(306,809)</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6"/>
        </w:trPr>
        <w:tc>
          <w:tcPr>
            <w:tcW w:w="522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200" w:type="dxa"/>
            <w:vAlign w:val="bottom"/>
          </w:tcPr>
          <w:p>
            <w:pPr>
              <w:spacing w:after="0"/>
              <w:rPr>
                <w:sz w:val="24"/>
                <w:szCs w:val="24"/>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4"/>
                <w:szCs w:val="24"/>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104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43"/>
        </w:trPr>
        <w:tc>
          <w:tcPr>
            <w:tcW w:w="522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20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79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Three Months Ended June 30, 2019</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337"/>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Travel</w:t>
            </w:r>
          </w:p>
        </w:tc>
        <w:tc>
          <w:tcPr>
            <w:tcW w:w="16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Airline</w:t>
            </w:r>
          </w:p>
        </w:tc>
        <w:tc>
          <w:tcPr>
            <w:tcW w:w="12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Hospitality</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Network</w:t>
            </w:r>
          </w:p>
        </w:tc>
        <w:tc>
          <w:tcPr>
            <w:tcW w:w="16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23"/>
        </w:trPr>
        <w:tc>
          <w:tcPr>
            <w:tcW w:w="5040" w:type="dxa"/>
            <w:vAlign w:val="bottom"/>
          </w:tcPr>
          <w:p>
            <w:pPr>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159,384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22,660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(5,746)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(94,385)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81,913</w:t>
            </w:r>
          </w:p>
        </w:tc>
      </w:tr>
      <w:tr>
        <w:trPr>
          <w:trHeight w:val="243"/>
        </w:trPr>
        <w:tc>
          <w:tcPr>
            <w:tcW w:w="5040" w:type="dxa"/>
            <w:vAlign w:val="bottom"/>
          </w:tcPr>
          <w:p>
            <w:pPr>
              <w:spacing w:after="0"/>
              <w:rPr>
                <w:sz w:val="20"/>
                <w:szCs w:val="20"/>
                <w:color w:val="auto"/>
              </w:rPr>
            </w:pPr>
            <w:r>
              <w:rPr>
                <w:rFonts w:ascii="Arial" w:cs="Arial" w:eastAsia="Arial" w:hAnsi="Arial"/>
                <w:sz w:val="16"/>
                <w:szCs w:val="16"/>
                <w:color w:val="auto"/>
              </w:rPr>
              <w:t>Add back:</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45,482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22,442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10,171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76,610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154,705</w:t>
            </w:r>
          </w:p>
        </w:tc>
      </w:tr>
      <w:tr>
        <w:trPr>
          <w:trHeight w:val="243"/>
        </w:trPr>
        <w:tc>
          <w:tcPr>
            <w:tcW w:w="5040" w:type="dxa"/>
            <w:vAlign w:val="bottom"/>
          </w:tcPr>
          <w:p>
            <w:pPr>
              <w:ind w:left="200"/>
              <w:spacing w:after="0"/>
              <w:rPr>
                <w:sz w:val="20"/>
                <w:szCs w:val="20"/>
                <w:color w:val="auto"/>
              </w:rPr>
            </w:pPr>
            <w:r>
              <w:rPr>
                <w:rFonts w:ascii="Arial" w:cs="Arial" w:eastAsia="Arial" w:hAnsi="Arial"/>
                <w:sz w:val="16"/>
                <w:szCs w:val="16"/>
                <w:color w:val="auto"/>
              </w:rPr>
              <w:t>Cost of revenue adjustments: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91"/>
        </w:trPr>
        <w:tc>
          <w:tcPr>
            <w:tcW w:w="504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27,581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40,699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12,342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5,971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86,593</w:t>
            </w:r>
          </w:p>
        </w:tc>
      </w:tr>
      <w:tr>
        <w:trPr>
          <w:trHeight w:val="243"/>
        </w:trPr>
        <w:tc>
          <w:tcPr>
            <w:tcW w:w="5040" w:type="dxa"/>
            <w:vAlign w:val="bottom"/>
          </w:tcPr>
          <w:p>
            <w:pPr>
              <w:ind w:left="4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19,846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19,846</w:t>
            </w:r>
          </w:p>
        </w:tc>
      </w:tr>
      <w:tr>
        <w:trPr>
          <w:trHeight w:val="208"/>
        </w:trPr>
        <w:tc>
          <w:tcPr>
            <w:tcW w:w="504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7,381</w:t>
            </w:r>
          </w:p>
        </w:tc>
      </w:tr>
      <w:tr>
        <w:trPr>
          <w:trHeight w:val="223"/>
        </w:trPr>
        <w:tc>
          <w:tcPr>
            <w:tcW w:w="5040" w:type="dxa"/>
            <w:vAlign w:val="bottom"/>
          </w:tcPr>
          <w:p>
            <w:pPr>
              <w:spacing w:after="0"/>
              <w:rPr>
                <w:sz w:val="20"/>
                <w:szCs w:val="20"/>
                <w:color w:val="auto"/>
              </w:rPr>
            </w:pPr>
            <w:r>
              <w:rPr>
                <w:rFonts w:ascii="Arial" w:cs="Arial" w:eastAsia="Arial" w:hAnsi="Arial"/>
                <w:sz w:val="16"/>
                <w:szCs w:val="16"/>
                <w:color w:val="auto"/>
              </w:rPr>
              <w:t>Adjusted Gross Profit</w:t>
            </w: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252,293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85,801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16,767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(4,423)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350,438</w:t>
            </w:r>
          </w:p>
        </w:tc>
      </w:tr>
      <w:tr>
        <w:trPr>
          <w:trHeight w:val="243"/>
        </w:trPr>
        <w:tc>
          <w:tcPr>
            <w:tcW w:w="50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(45,482)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Arial" w:cs="Arial" w:eastAsia="Arial" w:hAnsi="Arial"/>
                <w:sz w:val="16"/>
                <w:szCs w:val="16"/>
                <w:color w:val="auto"/>
              </w:rPr>
              <w:t>(22,442)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(10,171)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(76,610)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(154,705)</w:t>
            </w:r>
          </w:p>
        </w:tc>
      </w:tr>
      <w:tr>
        <w:trPr>
          <w:trHeight w:val="243"/>
        </w:trPr>
        <w:tc>
          <w:tcPr>
            <w:tcW w:w="5040" w:type="dxa"/>
            <w:vAlign w:val="bottom"/>
          </w:tcPr>
          <w:p>
            <w:pPr>
              <w:spacing w:after="0"/>
              <w:rPr>
                <w:sz w:val="20"/>
                <w:szCs w:val="20"/>
                <w:color w:val="auto"/>
              </w:rPr>
            </w:pPr>
            <w:r>
              <w:rPr>
                <w:rFonts w:ascii="Arial" w:cs="Arial" w:eastAsia="Arial" w:hAnsi="Arial"/>
                <w:sz w:val="16"/>
                <w:szCs w:val="16"/>
                <w:color w:val="auto"/>
              </w:rPr>
              <w:t>Equity method income</w:t>
            </w:r>
          </w:p>
        </w:tc>
        <w:tc>
          <w:tcPr>
            <w:tcW w:w="18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413</w:t>
            </w:r>
          </w:p>
        </w:tc>
      </w:tr>
      <w:tr>
        <w:trPr>
          <w:trHeight w:val="243"/>
        </w:trPr>
        <w:tc>
          <w:tcPr>
            <w:tcW w:w="504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91"/>
        </w:trPr>
        <w:tc>
          <w:tcPr>
            <w:tcW w:w="504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18,254</w:t>
            </w:r>
          </w:p>
        </w:tc>
      </w:tr>
      <w:tr>
        <w:trPr>
          <w:trHeight w:val="243"/>
        </w:trPr>
        <w:tc>
          <w:tcPr>
            <w:tcW w:w="5040" w:type="dxa"/>
            <w:vAlign w:val="bottom"/>
          </w:tcPr>
          <w:p>
            <w:pPr>
              <w:ind w:left="4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8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8,935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8,935</w:t>
            </w:r>
          </w:p>
        </w:tc>
      </w:tr>
      <w:tr>
        <w:trPr>
          <w:trHeight w:val="243"/>
        </w:trPr>
        <w:tc>
          <w:tcPr>
            <w:tcW w:w="5040" w:type="dxa"/>
            <w:vAlign w:val="bottom"/>
          </w:tcPr>
          <w:p>
            <w:pPr>
              <w:ind w:left="46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8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1,386</w:t>
            </w:r>
          </w:p>
        </w:tc>
      </w:tr>
      <w:tr>
        <w:trPr>
          <w:trHeight w:val="208"/>
        </w:trPr>
        <w:tc>
          <w:tcPr>
            <w:tcW w:w="504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10,914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10,914</w:t>
            </w:r>
          </w:p>
        </w:tc>
      </w:tr>
      <w:tr>
        <w:trPr>
          <w:trHeight w:val="236"/>
        </w:trPr>
        <w:tc>
          <w:tcPr>
            <w:tcW w:w="5040" w:type="dxa"/>
            <w:vAlign w:val="bottom"/>
          </w:tcPr>
          <w:p>
            <w:pPr>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210,364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65,945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(48,548)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235,635</w:t>
            </w:r>
          </w:p>
        </w:tc>
      </w:tr>
      <w:tr>
        <w:trPr>
          <w:trHeight w:val="210"/>
        </w:trPr>
        <w:tc>
          <w:tcPr>
            <w:tcW w:w="5040" w:type="dxa"/>
            <w:vAlign w:val="bottom"/>
          </w:tcPr>
          <w:p>
            <w:pPr>
              <w:spacing w:after="0"/>
              <w:rPr>
                <w:sz w:val="20"/>
                <w:szCs w:val="20"/>
                <w:color w:val="auto"/>
              </w:rPr>
            </w:pPr>
            <w:r>
              <w:rPr>
                <w:rFonts w:ascii="Arial" w:cs="Arial" w:eastAsia="Arial" w:hAnsi="Arial"/>
                <w:sz w:val="16"/>
                <w:szCs w:val="16"/>
                <w:color w:val="auto"/>
              </w:rPr>
              <w:t>Less: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1"/>
        </w:trPr>
        <w:tc>
          <w:tcPr>
            <w:tcW w:w="5040" w:type="dxa"/>
            <w:vAlign w:val="bottom"/>
          </w:tcPr>
          <w:p>
            <w:pPr>
              <w:ind w:left="2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30,721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43,285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13,620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17,221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104,847</w:t>
            </w:r>
          </w:p>
        </w:tc>
      </w:tr>
      <w:tr>
        <w:trPr>
          <w:trHeight w:val="243"/>
        </w:trPr>
        <w:tc>
          <w:tcPr>
            <w:tcW w:w="5040" w:type="dxa"/>
            <w:vAlign w:val="bottom"/>
          </w:tcPr>
          <w:p>
            <w:pPr>
              <w:ind w:left="2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19,846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19,846</w:t>
            </w:r>
          </w:p>
        </w:tc>
      </w:tr>
      <w:tr>
        <w:trPr>
          <w:trHeight w:val="214"/>
        </w:trPr>
        <w:tc>
          <w:tcPr>
            <w:tcW w:w="5040" w:type="dxa"/>
            <w:vAlign w:val="bottom"/>
          </w:tcPr>
          <w:p>
            <w:pPr>
              <w:ind w:left="24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(16,011)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(16,011)</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Adjusted 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159,797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22,660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(5,746)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(49,758)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126,953</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06"/>
        </w:trPr>
        <w:tc>
          <w:tcPr>
            <w:tcW w:w="504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243"/>
        </w:trPr>
        <w:tc>
          <w:tcPr>
            <w:tcW w:w="504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340" w:top="112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rPr>
              <w:t>Six Months Ended June 30, 2020</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75"/>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Hospitality</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Travel Network</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Airline Solutions</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Solutions</w:t>
            </w:r>
          </w:p>
        </w:tc>
        <w:tc>
          <w:tcPr>
            <w:tcW w:w="1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7"/>
                <w:szCs w:val="17"/>
                <w:color w:val="auto"/>
              </w:rPr>
            </w:pPr>
          </w:p>
        </w:tc>
        <w:tc>
          <w:tcPr>
            <w:tcW w:w="96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r>
      <w:tr>
        <w:trPr>
          <w:trHeight w:val="223"/>
        </w:trPr>
        <w:tc>
          <w:tcPr>
            <w:tcW w:w="4100" w:type="dxa"/>
            <w:vAlign w:val="bottom"/>
          </w:tcPr>
          <w:p>
            <w:pPr>
              <w:spacing w:after="0"/>
              <w:rPr>
                <w:sz w:val="20"/>
                <w:szCs w:val="20"/>
                <w:color w:val="auto"/>
              </w:rPr>
            </w:pPr>
            <w:r>
              <w:rPr>
                <w:rFonts w:ascii="Arial" w:cs="Arial" w:eastAsia="Arial" w:hAnsi="Arial"/>
                <w:sz w:val="16"/>
                <w:szCs w:val="16"/>
                <w:color w:val="auto"/>
              </w:rPr>
              <w:t>Operating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(160,174)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(100,888)</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(35,866)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(238,553)</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(535,481)</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Add back:</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10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80,582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66,667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20,092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148,095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315,436</w:t>
            </w:r>
          </w:p>
        </w:tc>
      </w:tr>
      <w:tr>
        <w:trPr>
          <w:trHeight w:val="243"/>
        </w:trPr>
        <w:tc>
          <w:tcPr>
            <w:tcW w:w="4100" w:type="dxa"/>
            <w:vAlign w:val="bottom"/>
          </w:tcPr>
          <w:p>
            <w:pPr>
              <w:ind w:left="200"/>
              <w:spacing w:after="0"/>
              <w:rPr>
                <w:sz w:val="20"/>
                <w:szCs w:val="20"/>
                <w:color w:val="auto"/>
              </w:rPr>
            </w:pPr>
            <w:r>
              <w:rPr>
                <w:rFonts w:ascii="Arial" w:cs="Arial" w:eastAsia="Arial" w:hAnsi="Arial"/>
                <w:sz w:val="16"/>
                <w:szCs w:val="16"/>
                <w:color w:val="auto"/>
              </w:rPr>
              <w:t>Cost of revenue adjustments:</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91"/>
        </w:trPr>
        <w:tc>
          <w:tcPr>
            <w:tcW w:w="4100" w:type="dxa"/>
            <w:vAlign w:val="bottom"/>
          </w:tcPr>
          <w:p>
            <w:pPr>
              <w:ind w:left="4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0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43,598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75,231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20,700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12,837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152,366</w:t>
            </w:r>
          </w:p>
        </w:tc>
      </w:tr>
      <w:tr>
        <w:trPr>
          <w:trHeight w:val="243"/>
        </w:trPr>
        <w:tc>
          <w:tcPr>
            <w:tcW w:w="4100" w:type="dxa"/>
            <w:vAlign w:val="bottom"/>
          </w:tcPr>
          <w:p>
            <w:pPr>
              <w:ind w:left="42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57,447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57,447</w:t>
            </w:r>
          </w:p>
        </w:tc>
      </w:tr>
      <w:tr>
        <w:trPr>
          <w:trHeight w:val="243"/>
        </w:trPr>
        <w:tc>
          <w:tcPr>
            <w:tcW w:w="4100" w:type="dxa"/>
            <w:vAlign w:val="bottom"/>
          </w:tcPr>
          <w:p>
            <w:pPr>
              <w:ind w:left="4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0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37,289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37,289</w:t>
            </w:r>
          </w:p>
        </w:tc>
      </w:tr>
      <w:tr>
        <w:trPr>
          <w:trHeight w:val="208"/>
        </w:trPr>
        <w:tc>
          <w:tcPr>
            <w:tcW w:w="410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11,043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11,043</w:t>
            </w:r>
          </w:p>
        </w:tc>
      </w:tr>
      <w:tr>
        <w:trPr>
          <w:trHeight w:val="224"/>
        </w:trPr>
        <w:tc>
          <w:tcPr>
            <w:tcW w:w="4100" w:type="dxa"/>
            <w:vAlign w:val="bottom"/>
          </w:tcPr>
          <w:p>
            <w:pPr>
              <w:spacing w:after="0"/>
              <w:rPr>
                <w:sz w:val="20"/>
                <w:szCs w:val="20"/>
                <w:color w:val="auto"/>
              </w:rPr>
            </w:pPr>
            <w:r>
              <w:rPr>
                <w:rFonts w:ascii="Arial" w:cs="Arial" w:eastAsia="Arial" w:hAnsi="Arial"/>
                <w:sz w:val="16"/>
                <w:szCs w:val="16"/>
                <w:color w:val="auto"/>
              </w:rPr>
              <w:t>Adjusted Gross Profit</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41,010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(9,131)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38,100</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(80,582)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(66,667)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(148,095)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(315,436)</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Equity method loss</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(1,185)</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91"/>
        </w:trPr>
        <w:tc>
          <w:tcPr>
            <w:tcW w:w="4100" w:type="dxa"/>
            <w:vAlign w:val="bottom"/>
          </w:tcPr>
          <w:p>
            <w:pPr>
              <w:ind w:left="4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0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6,303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5,609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23,277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37,449</w:t>
            </w:r>
          </w:p>
        </w:tc>
      </w:tr>
      <w:tr>
        <w:trPr>
          <w:trHeight w:val="243"/>
        </w:trPr>
        <w:tc>
          <w:tcPr>
            <w:tcW w:w="4100" w:type="dxa"/>
            <w:vAlign w:val="bottom"/>
          </w:tcPr>
          <w:p>
            <w:pPr>
              <w:ind w:left="42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15,835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15,835</w:t>
            </w:r>
          </w:p>
        </w:tc>
      </w:tr>
      <w:tr>
        <w:trPr>
          <w:trHeight w:val="243"/>
        </w:trPr>
        <w:tc>
          <w:tcPr>
            <w:tcW w:w="4100" w:type="dxa"/>
            <w:vAlign w:val="bottom"/>
          </w:tcPr>
          <w:p>
            <w:pPr>
              <w:ind w:left="4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22,200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22,200</w:t>
            </w:r>
          </w:p>
        </w:tc>
      </w:tr>
      <w:tr>
        <w:trPr>
          <w:trHeight w:val="243"/>
        </w:trPr>
        <w:tc>
          <w:tcPr>
            <w:tcW w:w="4100" w:type="dxa"/>
            <w:vAlign w:val="bottom"/>
          </w:tcPr>
          <w:p>
            <w:pPr>
              <w:ind w:left="42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1,856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1,856</w:t>
            </w:r>
          </w:p>
        </w:tc>
      </w:tr>
      <w:tr>
        <w:trPr>
          <w:trHeight w:val="208"/>
        </w:trPr>
        <w:tc>
          <w:tcPr>
            <w:tcW w:w="410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15,296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15,296</w:t>
            </w:r>
          </w:p>
        </w:tc>
      </w:tr>
      <w:tr>
        <w:trPr>
          <w:trHeight w:val="223"/>
        </w:trPr>
        <w:tc>
          <w:tcPr>
            <w:tcW w:w="4100" w:type="dxa"/>
            <w:vAlign w:val="bottom"/>
          </w:tcPr>
          <w:p>
            <w:pPr>
              <w:spacing w:after="0"/>
              <w:rPr>
                <w:sz w:val="20"/>
                <w:szCs w:val="20"/>
                <w:color w:val="auto"/>
              </w:rPr>
            </w:pPr>
            <w:r>
              <w:rPr>
                <w:rFonts w:ascii="Arial" w:cs="Arial" w:eastAsia="Arial" w:hAnsi="Arial"/>
                <w:sz w:val="16"/>
                <w:szCs w:val="16"/>
                <w:color w:val="auto"/>
              </w:rPr>
              <w:t>Adjusted EBITDA</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(74,169)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(20,048)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(12,906)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(78,762)</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(185,885)</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Less:</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91"/>
        </w:trPr>
        <w:tc>
          <w:tcPr>
            <w:tcW w:w="410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0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49,901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80,840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22,960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36,114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189,815</w:t>
            </w:r>
          </w:p>
        </w:tc>
      </w:tr>
      <w:tr>
        <w:trPr>
          <w:trHeight w:val="243"/>
        </w:trPr>
        <w:tc>
          <w:tcPr>
            <w:tcW w:w="4100" w:type="dxa"/>
            <w:vAlign w:val="bottom"/>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0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37,289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37,289</w:t>
            </w:r>
          </w:p>
        </w:tc>
      </w:tr>
      <w:tr>
        <w:trPr>
          <w:trHeight w:val="214"/>
        </w:trPr>
        <w:tc>
          <w:tcPr>
            <w:tcW w:w="4100" w:type="dxa"/>
            <w:vAlign w:val="bottom"/>
          </w:tcPr>
          <w:p>
            <w:pPr>
              <w:ind w:left="22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(33,310)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(33,310)</w:t>
            </w:r>
          </w:p>
        </w:tc>
      </w:tr>
      <w:tr>
        <w:trPr>
          <w:trHeight w:val="237"/>
        </w:trPr>
        <w:tc>
          <w:tcPr>
            <w:tcW w:w="410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(161,359)</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(100,888)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(35,866)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(81,566)</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(379,679)</w:t>
            </w: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3"/>
        </w:trPr>
        <w:tc>
          <w:tcPr>
            <w:tcW w:w="410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100" w:type="dxa"/>
            <w:vAlign w:val="bottom"/>
          </w:tcPr>
          <w:p>
            <w:pPr>
              <w:spacing w:after="0"/>
              <w:rPr>
                <w:sz w:val="24"/>
                <w:szCs w:val="24"/>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24"/>
                <w:szCs w:val="24"/>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4"/>
                <w:szCs w:val="24"/>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4"/>
                <w:szCs w:val="24"/>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10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940"/>
          </w:cols>
          <w:pgMar w:left="620" w:top="107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Six Months Ended June 30, 2019</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Hospitality</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Travel Network</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Airline Solutions</w:t>
            </w:r>
          </w:p>
        </w:tc>
        <w:tc>
          <w:tcPr>
            <w:tcW w:w="16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Solutions</w:t>
            </w: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7"/>
                <w:szCs w:val="17"/>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352,023</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38,084</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(11,463)</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(186,324)</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192,320</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Add back:</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88,942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45,119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20,131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151,904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306,096</w:t>
            </w:r>
          </w:p>
        </w:tc>
        <w:tc>
          <w:tcPr>
            <w:tcW w:w="0" w:type="dxa"/>
            <w:vAlign w:val="bottom"/>
          </w:tcPr>
          <w:p>
            <w:pPr>
              <w:spacing w:after="0"/>
              <w:rPr>
                <w:sz w:val="1"/>
                <w:szCs w:val="1"/>
                <w:color w:val="auto"/>
              </w:rPr>
            </w:pPr>
          </w:p>
        </w:tc>
      </w:tr>
      <w:tr>
        <w:trPr>
          <w:trHeight w:val="243"/>
        </w:trPr>
        <w:tc>
          <w:tcPr>
            <w:tcW w:w="3840" w:type="dxa"/>
            <w:vAlign w:val="bottom"/>
          </w:tcPr>
          <w:p>
            <w:pPr>
              <w:ind w:left="200"/>
              <w:spacing w:after="0"/>
              <w:rPr>
                <w:sz w:val="20"/>
                <w:szCs w:val="20"/>
                <w:color w:val="auto"/>
              </w:rPr>
            </w:pPr>
            <w:r>
              <w:rPr>
                <w:rFonts w:ascii="Arial" w:cs="Arial" w:eastAsia="Arial" w:hAnsi="Arial"/>
                <w:sz w:val="16"/>
                <w:szCs w:val="16"/>
                <w:color w:val="auto"/>
              </w:rPr>
              <w:t>Cost of revenue adjustments: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84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00" w:type="dxa"/>
            <w:vAlign w:val="bottom"/>
          </w:tcPr>
          <w:p>
            <w:pPr>
              <w:spacing w:after="0"/>
              <w:rPr>
                <w:sz w:val="24"/>
                <w:szCs w:val="24"/>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55,034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80,729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23,809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11,941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171,513</w:t>
            </w:r>
          </w:p>
        </w:tc>
        <w:tc>
          <w:tcPr>
            <w:tcW w:w="0" w:type="dxa"/>
            <w:vAlign w:val="bottom"/>
          </w:tcPr>
          <w:p>
            <w:pPr>
              <w:spacing w:after="0"/>
              <w:rPr>
                <w:sz w:val="1"/>
                <w:szCs w:val="1"/>
                <w:color w:val="auto"/>
              </w:rPr>
            </w:pPr>
          </w:p>
        </w:tc>
      </w:tr>
      <w:tr>
        <w:trPr>
          <w:trHeight w:val="159"/>
        </w:trPr>
        <w:tc>
          <w:tcPr>
            <w:tcW w:w="3840" w:type="dxa"/>
            <w:vAlign w:val="bottom"/>
          </w:tcPr>
          <w:p>
            <w:pPr>
              <w:ind w:left="440"/>
              <w:spacing w:after="0" w:line="159" w:lineRule="exact"/>
              <w:rPr>
                <w:sz w:val="20"/>
                <w:szCs w:val="20"/>
                <w:color w:val="auto"/>
              </w:rPr>
            </w:pPr>
            <w:r>
              <w:rPr>
                <w:rFonts w:ascii="Arial" w:cs="Arial" w:eastAsia="Arial" w:hAnsi="Arial"/>
                <w:sz w:val="16"/>
                <w:szCs w:val="16"/>
                <w:color w:val="auto"/>
              </w:rPr>
              <w:t>Amortization of upfront incentive</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color w:val="auto"/>
              </w:rPr>
              <w:t>38,974</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38,974</w:t>
            </w:r>
          </w:p>
        </w:tc>
        <w:tc>
          <w:tcPr>
            <w:tcW w:w="0" w:type="dxa"/>
            <w:vAlign w:val="bottom"/>
          </w:tcPr>
          <w:p>
            <w:pPr>
              <w:spacing w:after="0"/>
              <w:rPr>
                <w:sz w:val="1"/>
                <w:szCs w:val="1"/>
                <w:color w:val="auto"/>
              </w:rPr>
            </w:pPr>
          </w:p>
        </w:tc>
      </w:tr>
      <w:tr>
        <w:trPr>
          <w:trHeight w:val="232"/>
        </w:trPr>
        <w:tc>
          <w:tcPr>
            <w:tcW w:w="3840" w:type="dxa"/>
            <w:vAlign w:val="bottom"/>
          </w:tcPr>
          <w:p>
            <w:pPr>
              <w:ind w:left="440"/>
              <w:spacing w:after="0" w:line="232" w:lineRule="exact"/>
              <w:rPr>
                <w:sz w:val="20"/>
                <w:szCs w:val="20"/>
                <w:color w:val="auto"/>
              </w:rPr>
            </w:pPr>
            <w:r>
              <w:rPr>
                <w:rFonts w:ascii="Arial" w:cs="Arial" w:eastAsia="Arial" w:hAnsi="Arial"/>
                <w:sz w:val="16"/>
                <w:szCs w:val="16"/>
                <w:color w:val="auto"/>
              </w:rPr>
              <w:t>consideration</w:t>
            </w:r>
            <w:r>
              <w:rPr>
                <w:rFonts w:ascii="Arial" w:cs="Arial" w:eastAsia="Arial" w:hAnsi="Arial"/>
                <w:sz w:val="21"/>
                <w:szCs w:val="21"/>
                <w:color w:val="auto"/>
                <w:vertAlign w:val="superscript"/>
              </w:rPr>
              <w:t>(3)</w:t>
            </w: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4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14,625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14,625</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6"/>
                <w:szCs w:val="16"/>
                <w:color w:val="auto"/>
              </w:rPr>
              <w:t>Adjusted Gross Profit</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534,973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163,932</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32,477</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(7,854)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723,528</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1"/>
                <w:szCs w:val="21"/>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(88,942)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(45,119)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(20,131)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(151,904)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(306,096)</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Equity method income</w:t>
            </w:r>
          </w:p>
        </w:tc>
        <w:tc>
          <w:tcPr>
            <w:tcW w:w="10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946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84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00" w:type="dxa"/>
            <w:vAlign w:val="bottom"/>
          </w:tcPr>
          <w:p>
            <w:pPr>
              <w:spacing w:after="0"/>
              <w:rPr>
                <w:sz w:val="24"/>
                <w:szCs w:val="24"/>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6,242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5,526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2,533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22,476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36,777</w:t>
            </w:r>
          </w:p>
        </w:tc>
        <w:tc>
          <w:tcPr>
            <w:tcW w:w="0" w:type="dxa"/>
            <w:vAlign w:val="bottom"/>
          </w:tcPr>
          <w:p>
            <w:pPr>
              <w:spacing w:after="0"/>
              <w:rPr>
                <w:sz w:val="1"/>
                <w:szCs w:val="1"/>
                <w:color w:val="auto"/>
              </w:rPr>
            </w:pPr>
          </w:p>
        </w:tc>
      </w:tr>
      <w:tr>
        <w:trPr>
          <w:trHeight w:val="243"/>
        </w:trPr>
        <w:tc>
          <w:tcPr>
            <w:tcW w:w="3840" w:type="dxa"/>
            <w:vAlign w:val="bottom"/>
          </w:tcPr>
          <w:p>
            <w:pPr>
              <w:ind w:left="4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0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20,641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20,641</w:t>
            </w:r>
          </w:p>
        </w:tc>
        <w:tc>
          <w:tcPr>
            <w:tcW w:w="0" w:type="dxa"/>
            <w:vAlign w:val="bottom"/>
          </w:tcPr>
          <w:p>
            <w:pPr>
              <w:spacing w:after="0"/>
              <w:rPr>
                <w:sz w:val="1"/>
                <w:szCs w:val="1"/>
                <w:color w:val="auto"/>
              </w:rPr>
            </w:pPr>
          </w:p>
        </w:tc>
      </w:tr>
      <w:tr>
        <w:trPr>
          <w:trHeight w:val="243"/>
        </w:trPr>
        <w:tc>
          <w:tcPr>
            <w:tcW w:w="3840" w:type="dxa"/>
            <w:vAlign w:val="bottom"/>
          </w:tcPr>
          <w:p>
            <w:pPr>
              <w:ind w:left="4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0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2,824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08"/>
        </w:trPr>
        <w:tc>
          <w:tcPr>
            <w:tcW w:w="384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19,364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19,364</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6"/>
                <w:szCs w:val="16"/>
                <w:color w:val="auto"/>
              </w:rPr>
              <w:t>Adjusted EBITDA</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453,219</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124,339</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14,879</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(94,453)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497,984</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Less: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84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00" w:type="dxa"/>
            <w:vAlign w:val="bottom"/>
          </w:tcPr>
          <w:p>
            <w:pPr>
              <w:spacing w:after="0"/>
              <w:rPr>
                <w:sz w:val="24"/>
                <w:szCs w:val="24"/>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61,276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86,255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26,342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34,417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208,290</w:t>
            </w:r>
          </w:p>
        </w:tc>
        <w:tc>
          <w:tcPr>
            <w:tcW w:w="0" w:type="dxa"/>
            <w:vAlign w:val="bottom"/>
          </w:tcPr>
          <w:p>
            <w:pPr>
              <w:spacing w:after="0"/>
              <w:rPr>
                <w:sz w:val="1"/>
                <w:szCs w:val="1"/>
                <w:color w:val="auto"/>
              </w:rPr>
            </w:pPr>
          </w:p>
        </w:tc>
      </w:tr>
      <w:tr>
        <w:trPr>
          <w:trHeight w:val="243"/>
        </w:trPr>
        <w:tc>
          <w:tcPr>
            <w:tcW w:w="3840" w:type="dxa"/>
            <w:vAlign w:val="bottom"/>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0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38,974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38,974</w:t>
            </w:r>
          </w:p>
        </w:tc>
        <w:tc>
          <w:tcPr>
            <w:tcW w:w="0" w:type="dxa"/>
            <w:vAlign w:val="bottom"/>
          </w:tcPr>
          <w:p>
            <w:pPr>
              <w:spacing w:after="0"/>
              <w:rPr>
                <w:sz w:val="1"/>
                <w:szCs w:val="1"/>
                <w:color w:val="auto"/>
              </w:rPr>
            </w:pPr>
          </w:p>
        </w:tc>
      </w:tr>
      <w:tr>
        <w:trPr>
          <w:trHeight w:val="214"/>
        </w:trPr>
        <w:tc>
          <w:tcPr>
            <w:tcW w:w="3840" w:type="dxa"/>
            <w:vAlign w:val="bottom"/>
          </w:tcPr>
          <w:p>
            <w:pPr>
              <w:ind w:left="22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(31,995)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(31,995)</w:t>
            </w: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6"/>
                <w:szCs w:val="16"/>
                <w:color w:val="auto"/>
              </w:rPr>
              <w:t>Adjusted Operating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352,969</w:t>
            </w: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38,084</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(11,463)</w:t>
            </w: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(96,875)</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282,715</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384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23.5 %</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4"/>
                <w:szCs w:val="24"/>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NM</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NM</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960"/>
          </w:cols>
          <w:pgMar w:left="600" w:top="1071" w:right="339" w:bottom="1440" w:gutter="0" w:footer="0" w:header="0"/>
        </w:sectPr>
      </w:pPr>
    </w:p>
    <w:bookmarkStart w:id="24" w:name="page25"/>
    <w:bookmarkEnd w:id="24"/>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34"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We have included both financial measures compiled in accordance with GAAP and certain non-GAAP financial measures, including Adjusted Gross Profit, Adjusted Operating (Loss) Income, Adjusted Net (Loss) Income from continuing operations ("Adjusted Net (Loss) Income"), Adjusted EBITDA, Adjusted EPS, Free Cash Flow and ratios based on these financial measures.</w:t>
      </w:r>
    </w:p>
    <w:p>
      <w:pPr>
        <w:spacing w:after="0" w:line="235"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We define Adjusted Gross Profit as operating (loss) income adjusted for selling, general and administrative expenses, the cost of revenue portion of depreciation and amortization, restructuring and other costs, amortization of upfront incentive consideration, and stock-based compensation included in cost of revenue.</w:t>
      </w:r>
    </w:p>
    <w:p>
      <w:pPr>
        <w:spacing w:after="0" w:line="234"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We define Adjusted Operating (Loss) Income as operating (loss) income adjusted for equity method (loss) income, acquisition-related amortization, restructuring and other costs, acquisition-related costs, litigation costs, net, and stock-based compensation.</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We define Adjusted Net (Loss) Income as net (loss) income attributable to common stockholders adjusted for loss (income) from discontinued operations, net of tax, net income attributable to noncontrolling interests, acquisition-related amortization, loss on extinguishment of debt, other, net, restructuring and other costs, acquisition-related costs, litigation costs, net, stock-based compensation, and the tax impact of adjustments.</w:t>
      </w:r>
    </w:p>
    <w:p>
      <w:pPr>
        <w:spacing w:after="0" w:line="235"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We define Adjusted EBITDA as Adjusted Net (Loss) Income adjusted for depreciation and amortization of property and equipment, amortization of capitalized implementation costs, amortization of upfront incentive consideration, interest expense, net, and the remaining provision for income taxes.</w:t>
      </w:r>
    </w:p>
    <w:p>
      <w:pPr>
        <w:spacing w:after="0" w:line="234"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We define Adjusted Net (Loss) Income from continuing operations per share (EPS) as Adjusted Net (Loss) Income divided by diluted weighted-average common shares outstanding.</w:t>
      </w:r>
    </w:p>
    <w:p>
      <w:pPr>
        <w:spacing w:after="0" w:line="22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We define Free Cash Flow as cash (used in) provided by operating activities less cash used in additions to property and equipment.</w:t>
      </w:r>
    </w:p>
    <w:p>
      <w:pPr>
        <w:spacing w:after="0" w:line="229"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33"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to our business and the regulatory environment. We believe that these non-GAAP financial measures are used by investors, analysts and other interested parties as measures of financial performance and to evaluate our ability to service debt obligations, fund capital expenditures and meet working capital requirements. We also believe that Adjusted Gross Profit, Adjusted Operating (Loss) Income, Adjusted Net (Loss) Income, Adjusted EBITDA and Adjusted EPS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236"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Adjusted Gross Profit, Adjusted Operating (Loss) Income, Adjusted Net (Loss) Income, Adjusted EBITDA, Adjusted EPS,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248" w:lineRule="exact"/>
        <w:rPr>
          <w:sz w:val="20"/>
          <w:szCs w:val="20"/>
          <w:color w:val="auto"/>
        </w:rPr>
      </w:pPr>
    </w:p>
    <w:p>
      <w:pPr>
        <w:ind w:left="660" w:right="20" w:hanging="328"/>
        <w:spacing w:after="0" w:line="307"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these non-GAAP financial measures exclude certain recurring, non-cash charges such as stock-based compensation expense and amortization of acquired intangible assets;</w:t>
      </w:r>
    </w:p>
    <w:p>
      <w:pPr>
        <w:spacing w:after="0" w:line="246" w:lineRule="exact"/>
        <w:rPr>
          <w:rFonts w:ascii="Arial" w:cs="Arial" w:eastAsia="Arial" w:hAnsi="Arial"/>
          <w:sz w:val="22"/>
          <w:szCs w:val="22"/>
          <w:color w:val="auto"/>
        </w:rPr>
      </w:pPr>
    </w:p>
    <w:p>
      <w:pPr>
        <w:jc w:val="both"/>
        <w:ind w:left="660" w:hanging="328"/>
        <w:spacing w:after="0" w:line="305"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although depreciation and amortization are non-cash charges, the assets being depreciated and amortized may have to be replaced in the future, and Adjusted Gross Profit and Adjusted EBITDA do not reflect cash requirements for such replacements;</w:t>
      </w:r>
    </w:p>
    <w:p>
      <w:pPr>
        <w:spacing w:after="0" w:line="254" w:lineRule="exact"/>
        <w:rPr>
          <w:rFonts w:ascii="Arial" w:cs="Arial" w:eastAsia="Arial" w:hAnsi="Arial"/>
          <w:sz w:val="22"/>
          <w:szCs w:val="22"/>
          <w:color w:val="auto"/>
        </w:rPr>
      </w:pPr>
    </w:p>
    <w:p>
      <w:pPr>
        <w:ind w:left="660" w:hanging="328"/>
        <w:spacing w:after="0" w:line="307"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Adjusted Operating (Loss) Income, Adjusted Net (Loss) Income and Adjusted EBITDA do not reflect changes in, or cash requirements for, our working capital needs;</w:t>
      </w:r>
    </w:p>
    <w:p>
      <w:pPr>
        <w:spacing w:after="0" w:line="246" w:lineRule="exact"/>
        <w:rPr>
          <w:rFonts w:ascii="Arial" w:cs="Arial" w:eastAsia="Arial" w:hAnsi="Arial"/>
          <w:sz w:val="22"/>
          <w:szCs w:val="22"/>
          <w:color w:val="auto"/>
        </w:rPr>
      </w:pPr>
    </w:p>
    <w:p>
      <w:pPr>
        <w:ind w:left="660" w:right="20" w:hanging="328"/>
        <w:spacing w:after="0" w:line="307"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Adjusted EBITDA does not reflect the interest expense or the cash requirements necessary to service interest or principal payments on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3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0"/>
          <w:szCs w:val="20"/>
          <w:color w:val="auto"/>
        </w:rPr>
        <w:t>Adjusted EBITDA does not reflect tax payments that may represent a reduction in cash available to us;</w:t>
      </w:r>
    </w:p>
    <w:p>
      <w:pPr>
        <w:spacing w:after="0" w:line="329" w:lineRule="exact"/>
        <w:rPr>
          <w:rFonts w:ascii="Arial" w:cs="Arial" w:eastAsia="Arial" w:hAnsi="Arial"/>
          <w:sz w:val="22"/>
          <w:szCs w:val="22"/>
          <w:color w:val="auto"/>
        </w:rPr>
      </w:pPr>
    </w:p>
    <w:p>
      <w:pPr>
        <w:ind w:left="660" w:hanging="328"/>
        <w:spacing w:after="0" w:line="30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246" w:lineRule="exact"/>
        <w:rPr>
          <w:rFonts w:ascii="Arial" w:cs="Arial" w:eastAsia="Arial" w:hAnsi="Arial"/>
          <w:sz w:val="22"/>
          <w:szCs w:val="22"/>
          <w:color w:val="auto"/>
        </w:rPr>
      </w:pPr>
    </w:p>
    <w:p>
      <w:pPr>
        <w:jc w:val="both"/>
        <w:ind w:left="660" w:hanging="328"/>
        <w:spacing w:after="0" w:line="30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other companies, including companies in our industry, may calculate Adjusted Gross Profit, Adjusted Operating (Loss) Income, Adjusted Net (Loss) Income, Adjusted EBITDA, Adjusted EPS or Free Cash Flow differently, which reduces their usefulness as comparative measures.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Footnotes</w:t>
      </w:r>
    </w:p>
    <w:p>
      <w:pPr>
        <w:spacing w:after="0" w:line="375" w:lineRule="exact"/>
        <w:rPr>
          <w:sz w:val="20"/>
          <w:szCs w:val="20"/>
          <w:color w:val="auto"/>
        </w:rPr>
      </w:pPr>
    </w:p>
    <w:p>
      <w:pPr>
        <w:jc w:val="both"/>
        <w:ind w:left="340" w:hanging="332"/>
        <w:spacing w:after="0" w:line="313" w:lineRule="auto"/>
        <w:tabs>
          <w:tab w:leader="none" w:pos="339" w:val="left"/>
        </w:tabs>
        <w:numPr>
          <w:ilvl w:val="0"/>
          <w:numId w:val="12"/>
        </w:numPr>
        <w:rPr>
          <w:rFonts w:ascii="Arial" w:cs="Arial" w:eastAsia="Arial" w:hAnsi="Arial"/>
          <w:sz w:val="20"/>
          <w:szCs w:val="20"/>
          <w:color w:val="auto"/>
        </w:rPr>
      </w:pPr>
      <w:r>
        <w:rPr>
          <w:rFonts w:ascii="Arial" w:cs="Arial" w:eastAsia="Arial" w:hAnsi="Arial"/>
          <w:sz w:val="20"/>
          <w:szCs w:val="20"/>
          <w:color w:val="auto"/>
        </w:rPr>
        <w:t>Net income attributable to non-controlling interests represents an adjustment to include earnings allocated to non-controlling interests held in (i) Sabre Travel Network Middle East of 40%, (ii) Sabre Seyahat Dagitim Sistemleri A.S. of 40%, (iii) Sabre Travel Network Lanka (Pte) Ltd of 40%, and (iv) Sabre Bulgaria of 40%.</w:t>
      </w:r>
    </w:p>
    <w:p>
      <w:pPr>
        <w:spacing w:after="0" w:line="301" w:lineRule="exact"/>
        <w:rPr>
          <w:rFonts w:ascii="Arial" w:cs="Arial" w:eastAsia="Arial" w:hAnsi="Arial"/>
          <w:sz w:val="20"/>
          <w:szCs w:val="20"/>
          <w:color w:val="auto"/>
        </w:rPr>
      </w:pPr>
    </w:p>
    <w:p>
      <w:pPr>
        <w:ind w:left="340" w:hanging="332"/>
        <w:spacing w:after="0"/>
        <w:tabs>
          <w:tab w:leader="none" w:pos="3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Depreciation and amortization expenses:</w:t>
      </w:r>
    </w:p>
    <w:p>
      <w:pPr>
        <w:spacing w:after="0" w:line="107" w:lineRule="exact"/>
        <w:rPr>
          <w:rFonts w:ascii="Arial" w:cs="Arial" w:eastAsia="Arial" w:hAnsi="Arial"/>
          <w:sz w:val="20"/>
          <w:szCs w:val="20"/>
          <w:color w:val="auto"/>
        </w:rPr>
      </w:pPr>
    </w:p>
    <w:p>
      <w:pPr>
        <w:ind w:left="820" w:hanging="326"/>
        <w:spacing w:after="0" w:line="317" w:lineRule="auto"/>
        <w:tabs>
          <w:tab w:leader="none" w:pos="809" w:val="left"/>
        </w:tabs>
        <w:numPr>
          <w:ilvl w:val="1"/>
          <w:numId w:val="12"/>
        </w:numPr>
        <w:rPr>
          <w:rFonts w:ascii="Arial" w:cs="Arial" w:eastAsia="Arial" w:hAnsi="Arial"/>
          <w:sz w:val="20"/>
          <w:szCs w:val="20"/>
          <w:color w:val="auto"/>
        </w:rPr>
      </w:pPr>
      <w:r>
        <w:rPr>
          <w:rFonts w:ascii="Arial" w:cs="Arial" w:eastAsia="Arial" w:hAnsi="Arial"/>
          <w:sz w:val="20"/>
          <w:szCs w:val="20"/>
          <w:color w:val="auto"/>
        </w:rPr>
        <w:t>Acquisition-related amortization represents amortization of intangible assets from the take-private transaction in 2007 as well as intangibles associated with acquisitions since that date.</w:t>
      </w:r>
    </w:p>
    <w:p>
      <w:pPr>
        <w:spacing w:after="0" w:line="13" w:lineRule="exact"/>
        <w:rPr>
          <w:rFonts w:ascii="Arial" w:cs="Arial" w:eastAsia="Arial" w:hAnsi="Arial"/>
          <w:sz w:val="20"/>
          <w:szCs w:val="20"/>
          <w:color w:val="auto"/>
        </w:rPr>
      </w:pPr>
    </w:p>
    <w:p>
      <w:pPr>
        <w:ind w:left="820" w:hanging="326"/>
        <w:spacing w:after="0" w:line="317" w:lineRule="auto"/>
        <w:tabs>
          <w:tab w:leader="none" w:pos="831" w:val="left"/>
        </w:tabs>
        <w:numPr>
          <w:ilvl w:val="1"/>
          <w:numId w:val="12"/>
        </w:numPr>
        <w:rPr>
          <w:rFonts w:ascii="Arial" w:cs="Arial" w:eastAsia="Arial" w:hAnsi="Arial"/>
          <w:sz w:val="20"/>
          <w:szCs w:val="20"/>
          <w:color w:val="auto"/>
        </w:rPr>
      </w:pPr>
      <w:r>
        <w:rPr>
          <w:rFonts w:ascii="Arial" w:cs="Arial" w:eastAsia="Arial" w:hAnsi="Arial"/>
          <w:sz w:val="20"/>
          <w:szCs w:val="20"/>
          <w:color w:val="auto"/>
        </w:rPr>
        <w:t>Depreciation and amortization of property and equipment includes software developed for internal use as well as amortization of contract acquisition costs.</w:t>
      </w:r>
    </w:p>
    <w:p>
      <w:pPr>
        <w:spacing w:after="0" w:line="26" w:lineRule="exact"/>
        <w:rPr>
          <w:rFonts w:ascii="Arial" w:cs="Arial" w:eastAsia="Arial" w:hAnsi="Arial"/>
          <w:sz w:val="20"/>
          <w:szCs w:val="20"/>
          <w:color w:val="auto"/>
        </w:rPr>
      </w:pPr>
    </w:p>
    <w:p>
      <w:pPr>
        <w:ind w:left="820" w:hanging="326"/>
        <w:spacing w:after="0" w:line="317" w:lineRule="auto"/>
        <w:tabs>
          <w:tab w:leader="none" w:pos="798" w:val="left"/>
        </w:tabs>
        <w:numPr>
          <w:ilvl w:val="1"/>
          <w:numId w:val="12"/>
        </w:numPr>
        <w:rPr>
          <w:rFonts w:ascii="Arial" w:cs="Arial" w:eastAsia="Arial" w:hAnsi="Arial"/>
          <w:sz w:val="20"/>
          <w:szCs w:val="20"/>
          <w:color w:val="auto"/>
        </w:rPr>
      </w:pPr>
      <w:r>
        <w:rPr>
          <w:rFonts w:ascii="Arial" w:cs="Arial" w:eastAsia="Arial" w:hAnsi="Arial"/>
          <w:sz w:val="20"/>
          <w:szCs w:val="20"/>
          <w:color w:val="auto"/>
        </w:rPr>
        <w:t>Amortization of capitalized implementation costs represents amortization of upfront costs to implement new customer contracts under our SaaS and hosted revenue model.</w:t>
      </w:r>
    </w:p>
    <w:p>
      <w:pPr>
        <w:spacing w:after="0" w:line="296" w:lineRule="exact"/>
        <w:rPr>
          <w:rFonts w:ascii="Arial" w:cs="Arial" w:eastAsia="Arial" w:hAnsi="Arial"/>
          <w:sz w:val="20"/>
          <w:szCs w:val="20"/>
          <w:color w:val="auto"/>
        </w:rPr>
      </w:pPr>
    </w:p>
    <w:p>
      <w:pPr>
        <w:jc w:val="both"/>
        <w:ind w:left="340" w:hanging="332"/>
        <w:spacing w:after="0" w:line="311" w:lineRule="auto"/>
        <w:tabs>
          <w:tab w:leader="none" w:pos="339"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ten years. This consideration is made with the objective of increasing the number of clients or to ensure or improve customer loyalty. These service contract terms are established such that the supplier and other fees generated over the life of the contract will exceed the cost of the incentive consideration provided up front.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440" w:right="339" w:bottom="1440" w:gutter="0" w:footer="0" w:header="0"/>
        </w:sectPr>
      </w:pPr>
    </w:p>
    <w:bookmarkStart w:id="27" w:name="page28"/>
    <w:bookmarkEnd w:id="27"/>
    <w:p>
      <w:pPr>
        <w:spacing w:after="0" w:line="33" w:lineRule="exact"/>
        <w:rPr>
          <w:sz w:val="20"/>
          <w:szCs w:val="20"/>
          <w:color w:val="auto"/>
        </w:rPr>
      </w:pPr>
    </w:p>
    <w:p>
      <w:pPr>
        <w:ind w:left="340" w:right="20"/>
        <w:spacing w:after="0" w:line="317" w:lineRule="auto"/>
        <w:rPr>
          <w:sz w:val="20"/>
          <w:szCs w:val="20"/>
          <w:color w:val="auto"/>
        </w:rPr>
      </w:pPr>
      <w:r>
        <w:rPr>
          <w:rFonts w:ascii="Arial" w:cs="Arial" w:eastAsia="Arial" w:hAnsi="Arial"/>
          <w:sz w:val="20"/>
          <w:szCs w:val="20"/>
          <w:color w:val="auto"/>
        </w:rPr>
        <w:t>service contracts with travel agency subscribers require that the customer commit to achieving certain economic objectives and generally have terms requiring repayment of the upfront incentive consideration if those objectives are not met.</w:t>
      </w:r>
    </w:p>
    <w:p>
      <w:pPr>
        <w:spacing w:after="0" w:line="297" w:lineRule="exact"/>
        <w:rPr>
          <w:sz w:val="20"/>
          <w:szCs w:val="20"/>
          <w:color w:val="auto"/>
        </w:rPr>
      </w:pPr>
    </w:p>
    <w:p>
      <w:pPr>
        <w:jc w:val="both"/>
        <w:ind w:left="340" w:hanging="332"/>
        <w:spacing w:after="0" w:line="313" w:lineRule="auto"/>
        <w:tabs>
          <w:tab w:leader="none" w:pos="3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Other, net includes a $46 million charge related to termination payments incurred in the first quarter of 2020 in connection with our proposed acquisition of Farelogix, as well as foreign exchange gains and losses related to the remeasurement of foreign currency denominated balances included in our consolidated balance sheets into the relevant functional currency.</w:t>
      </w:r>
    </w:p>
    <w:p>
      <w:pPr>
        <w:spacing w:after="0" w:line="315" w:lineRule="exact"/>
        <w:rPr>
          <w:rFonts w:ascii="Arial" w:cs="Arial" w:eastAsia="Arial" w:hAnsi="Arial"/>
          <w:sz w:val="20"/>
          <w:szCs w:val="20"/>
          <w:color w:val="auto"/>
        </w:rPr>
      </w:pPr>
    </w:p>
    <w:p>
      <w:pPr>
        <w:ind w:left="340" w:hanging="332"/>
        <w:spacing w:after="0" w:line="317" w:lineRule="auto"/>
        <w:tabs>
          <w:tab w:leader="none" w:pos="3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Litigation costs, net represent charges associated with antitrust litigation and other foreign non-income tax contingency matters.</w:t>
      </w:r>
    </w:p>
    <w:p>
      <w:pPr>
        <w:spacing w:after="0" w:line="296"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Acquisition-related costs represent fees and expenses incurred associated with the 2018 agreement to acquire Farelogix.</w:t>
      </w:r>
    </w:p>
    <w:p>
      <w:pPr>
        <w:spacing w:after="0" w:line="377" w:lineRule="exact"/>
        <w:rPr>
          <w:rFonts w:ascii="Arial" w:cs="Arial" w:eastAsia="Arial" w:hAnsi="Arial"/>
          <w:sz w:val="20"/>
          <w:szCs w:val="20"/>
          <w:color w:val="auto"/>
        </w:rPr>
      </w:pPr>
    </w:p>
    <w:p>
      <w:pPr>
        <w:jc w:val="both"/>
        <w:ind w:left="340" w:hanging="332"/>
        <w:spacing w:after="0" w:line="313" w:lineRule="auto"/>
        <w:tabs>
          <w:tab w:leader="none" w:pos="3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 assessments and other items.</w:t>
      </w:r>
    </w:p>
    <w:p>
      <w:pPr>
        <w:spacing w:after="0" w:line="315" w:lineRule="exact"/>
        <w:rPr>
          <w:rFonts w:ascii="Arial" w:cs="Arial" w:eastAsia="Arial" w:hAnsi="Arial"/>
          <w:sz w:val="20"/>
          <w:szCs w:val="20"/>
          <w:color w:val="auto"/>
        </w:rPr>
      </w:pPr>
    </w:p>
    <w:p>
      <w:pPr>
        <w:jc w:val="both"/>
        <w:ind w:left="340" w:hanging="332"/>
        <w:spacing w:after="0" w:line="313" w:lineRule="auto"/>
        <w:tabs>
          <w:tab w:leader="none" w:pos="3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Restructuring and other costs represent charges associated with business restructuring and associated changes, including a strategic realignment of our airline and agency-focused businesses, as well as other measures to support the new organizational structure and to respond to the impacts of the COVID-19 pandemic on our business and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2020-08-07T06:41:07Z</dcterms:created>
  <dcterms:modified xsi:type="dcterms:W3CDTF">2020-08-07T06:41:07Z</dcterms:modified>
</cp:coreProperties>
</file>