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Silver Lake Group,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SILVER LAKE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Sabre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SABR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Former 10% Owner</w:t>
      </w:r>
    </w:p>
    <w:p>
      <w:pPr>
        <w:spacing w:after="0" w:line="47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vMerge w:val="restart"/>
          </w:tcPr>
          <w:p>
            <w:pPr>
              <w:spacing w:after="0"/>
              <w:rPr>
                <w:sz w:val="9"/>
                <w:szCs w:val="9"/>
                <w:color w:val="auto"/>
              </w:rPr>
            </w:pPr>
          </w:p>
        </w:tc>
        <w:tc>
          <w:tcPr>
            <w:tcW w:w="3760" w:type="dxa"/>
            <w:vAlign w:val="bottom"/>
            <w:gridSpan w:val="10"/>
            <w:vMerge w:val="restart"/>
          </w:tcPr>
          <w:p>
            <w:pPr>
              <w:ind w:left="2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40" w:type="dxa"/>
            <w:vAlign w:val="bottom"/>
            <w:vMerge w:val="continue"/>
          </w:tcPr>
          <w:p>
            <w:pPr>
              <w:spacing w:after="0"/>
              <w:rPr>
                <w:sz w:val="2"/>
                <w:szCs w:val="2"/>
                <w:color w:val="auto"/>
              </w:rPr>
            </w:pPr>
          </w:p>
        </w:tc>
        <w:tc>
          <w:tcPr>
            <w:tcW w:w="3760" w:type="dxa"/>
            <w:vAlign w:val="bottom"/>
            <w:gridSpan w:val="10"/>
            <w:vMerge w:val="continue"/>
          </w:tcPr>
          <w:p>
            <w:pPr>
              <w:spacing w:after="0"/>
              <w:rPr>
                <w:sz w:val="2"/>
                <w:szCs w:val="2"/>
                <w:color w:val="auto"/>
              </w:rPr>
            </w:pPr>
          </w:p>
        </w:tc>
        <w:tc>
          <w:tcPr>
            <w:tcW w:w="360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40" w:type="dxa"/>
            <w:vAlign w:val="bottom"/>
            <w:gridSpan w:val="5"/>
            <w:vMerge w:val="restart"/>
          </w:tcPr>
          <w:p>
            <w:pPr>
              <w:ind w:left="4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MENLO PARK  CA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4"/>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840" w:type="dxa"/>
            <w:vAlign w:val="bottom"/>
            <w:gridSpan w:val="5"/>
            <w:vMerge w:val="restart"/>
          </w:tcPr>
          <w:p>
            <w:pPr>
              <w:ind w:left="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Person</w:t>
            </w: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1900" w:type="dxa"/>
            <w:vAlign w:val="bottom"/>
            <w:gridSpan w:val="3"/>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8"/>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2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5"/>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rPr>
                <w:sz w:val="11"/>
                <w:szCs w:val="11"/>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4"/>
                <w:szCs w:val="14"/>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720" w:type="dxa"/>
            <w:vAlign w:val="bottom"/>
            <w:tcBorders>
              <w:top w:val="single" w:sz="8" w:color="2C2C2C"/>
            </w:tcBorders>
          </w:tcPr>
          <w:p>
            <w:pPr>
              <w:spacing w:after="0"/>
              <w:rPr>
                <w:sz w:val="7"/>
                <w:szCs w:val="7"/>
                <w:color w:val="auto"/>
              </w:rPr>
            </w:pPr>
          </w:p>
        </w:tc>
        <w:tc>
          <w:tcPr>
            <w:tcW w:w="76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0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6"/>
                <w:szCs w:val="6"/>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vMerge w:val="restart"/>
          </w:tcPr>
          <w:p>
            <w:pPr>
              <w:ind w:left="240"/>
              <w:spacing w:after="0"/>
              <w:rPr>
                <w:sz w:val="20"/>
                <w:szCs w:val="20"/>
                <w:color w:val="auto"/>
              </w:rPr>
            </w:pPr>
            <w:r>
              <w:rPr>
                <w:rFonts w:ascii="Arial" w:cs="Arial" w:eastAsia="Arial" w:hAnsi="Arial"/>
                <w:sz w:val="18"/>
                <w:szCs w:val="18"/>
                <w:color w:val="0000FF"/>
              </w:rPr>
              <w:t>08/10/2018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2"/>
                <w:szCs w:val="22"/>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0000FF"/>
                <w:w w:val="92"/>
              </w:rPr>
              <w:t>6,155,616</w:t>
            </w:r>
          </w:p>
        </w:tc>
        <w:tc>
          <w:tcPr>
            <w:tcW w:w="400" w:type="dxa"/>
            <w:vAlign w:val="bottom"/>
            <w:vMerge w:val="restart"/>
          </w:tcPr>
          <w:p>
            <w:pPr>
              <w:jc w:val="right"/>
              <w:ind w:right="46"/>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jc w:val="center"/>
              <w:ind w:right="1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24.72</w:t>
            </w:r>
          </w:p>
        </w:tc>
        <w:tc>
          <w:tcPr>
            <w:tcW w:w="1100" w:type="dxa"/>
            <w:vAlign w:val="bottom"/>
            <w:gridSpan w:val="3"/>
            <w:vMerge w:val="restart"/>
          </w:tcPr>
          <w:p>
            <w:pPr>
              <w:ind w:left="220"/>
              <w:spacing w:after="0"/>
              <w:rPr>
                <w:sz w:val="20"/>
                <w:szCs w:val="20"/>
                <w:color w:val="auto"/>
              </w:rPr>
            </w:pPr>
            <w:r>
              <w:rPr>
                <w:rFonts w:ascii="Arial" w:cs="Arial" w:eastAsia="Arial" w:hAnsi="Arial"/>
                <w:sz w:val="18"/>
                <w:szCs w:val="18"/>
                <w:color w:val="0000FF"/>
              </w:rPr>
              <w:t>9,644,259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80"/>
              <w:spacing w:after="0"/>
              <w:rPr>
                <w:sz w:val="20"/>
                <w:szCs w:val="20"/>
                <w:color w:val="auto"/>
              </w:rPr>
            </w:pPr>
            <w:r>
              <w:rPr>
                <w:rFonts w:ascii="Arial" w:cs="Arial" w:eastAsia="Arial" w:hAnsi="Arial"/>
                <w:sz w:val="18"/>
                <w:szCs w:val="18"/>
                <w:color w:val="0000FF"/>
                <w:w w:val="96"/>
              </w:rPr>
              <w:t>See Explanation of</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540" w:type="dxa"/>
            <w:vAlign w:val="bottom"/>
            <w:gridSpan w:val="2"/>
            <w:vMerge w:val="restart"/>
          </w:tcPr>
          <w:p>
            <w:pPr>
              <w:ind w:left="80"/>
              <w:spacing w:after="0" w:line="278" w:lineRule="exact"/>
              <w:rPr>
                <w:sz w:val="20"/>
                <w:szCs w:val="20"/>
                <w:color w:val="auto"/>
              </w:rPr>
            </w:pPr>
            <w:r>
              <w:rPr>
                <w:rFonts w:ascii="Arial" w:cs="Arial" w:eastAsia="Arial" w:hAnsi="Arial"/>
                <w:sz w:val="32"/>
                <w:szCs w:val="32"/>
                <w:color w:val="0000FF"/>
                <w:w w:val="82"/>
                <w:vertAlign w:val="subscript"/>
              </w:rPr>
              <w:t>Responses</w:t>
            </w:r>
            <w:r>
              <w:rPr>
                <w:rFonts w:ascii="Arial" w:cs="Arial" w:eastAsia="Arial" w:hAnsi="Arial"/>
                <w:sz w:val="11"/>
                <w:szCs w:val="11"/>
                <w:color w:val="008000"/>
                <w:w w:val="82"/>
              </w:rPr>
              <w:t>(1)(2)(3)(4)(5)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vMerge w:val="restart"/>
          </w:tcPr>
          <w:p>
            <w:pPr>
              <w:ind w:left="240"/>
              <w:spacing w:after="0"/>
              <w:rPr>
                <w:sz w:val="20"/>
                <w:szCs w:val="20"/>
                <w:color w:val="auto"/>
              </w:rPr>
            </w:pPr>
            <w:r>
              <w:rPr>
                <w:rFonts w:ascii="Arial" w:cs="Arial" w:eastAsia="Arial" w:hAnsi="Arial"/>
                <w:sz w:val="18"/>
                <w:szCs w:val="18"/>
                <w:color w:val="0000FF"/>
              </w:rPr>
              <w:t>08/10/2018</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J</w:t>
            </w:r>
          </w:p>
        </w:tc>
        <w:tc>
          <w:tcPr>
            <w:tcW w:w="380" w:type="dxa"/>
            <w:vAlign w:val="bottom"/>
          </w:tcPr>
          <w:p>
            <w:pPr>
              <w:spacing w:after="0"/>
              <w:rPr>
                <w:sz w:val="22"/>
                <w:szCs w:val="22"/>
                <w:color w:val="auto"/>
              </w:rPr>
            </w:pPr>
          </w:p>
        </w:tc>
        <w:tc>
          <w:tcPr>
            <w:tcW w:w="860" w:type="dxa"/>
            <w:vAlign w:val="bottom"/>
            <w:vMerge w:val="restart"/>
          </w:tcPr>
          <w:p>
            <w:pPr>
              <w:jc w:val="right"/>
              <w:ind w:right="112"/>
              <w:spacing w:after="0"/>
              <w:rPr>
                <w:sz w:val="20"/>
                <w:szCs w:val="20"/>
                <w:color w:val="auto"/>
              </w:rPr>
            </w:pPr>
            <w:r>
              <w:rPr>
                <w:rFonts w:ascii="Arial" w:cs="Arial" w:eastAsia="Arial" w:hAnsi="Arial"/>
                <w:sz w:val="18"/>
                <w:szCs w:val="18"/>
                <w:color w:val="0000FF"/>
              </w:rPr>
              <w:t>114,750</w:t>
            </w:r>
          </w:p>
        </w:tc>
        <w:tc>
          <w:tcPr>
            <w:tcW w:w="400" w:type="dxa"/>
            <w:vAlign w:val="bottom"/>
            <w:vMerge w:val="restart"/>
          </w:tcPr>
          <w:p>
            <w:pPr>
              <w:jc w:val="right"/>
              <w:ind w:right="46"/>
              <w:spacing w:after="0"/>
              <w:rPr>
                <w:sz w:val="20"/>
                <w:szCs w:val="20"/>
                <w:color w:val="auto"/>
              </w:rPr>
            </w:pPr>
            <w:r>
              <w:rPr>
                <w:rFonts w:ascii="Arial" w:cs="Arial" w:eastAsia="Arial" w:hAnsi="Arial"/>
                <w:sz w:val="18"/>
                <w:szCs w:val="18"/>
                <w:color w:val="0000FF"/>
              </w:rPr>
              <w:t>D</w:t>
            </w:r>
          </w:p>
        </w:tc>
        <w:tc>
          <w:tcPr>
            <w:tcW w:w="720" w:type="dxa"/>
            <w:vAlign w:val="bottom"/>
            <w:vMerge w:val="restart"/>
          </w:tcPr>
          <w:p>
            <w:pPr>
              <w:jc w:val="center"/>
              <w:ind w:right="98"/>
              <w:spacing w:after="0"/>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(6)</w:t>
            </w:r>
          </w:p>
        </w:tc>
        <w:tc>
          <w:tcPr>
            <w:tcW w:w="1100" w:type="dxa"/>
            <w:vAlign w:val="bottom"/>
            <w:gridSpan w:val="3"/>
            <w:vMerge w:val="restart"/>
          </w:tcPr>
          <w:p>
            <w:pPr>
              <w:ind w:left="220"/>
              <w:spacing w:after="0"/>
              <w:rPr>
                <w:sz w:val="20"/>
                <w:szCs w:val="20"/>
                <w:color w:val="auto"/>
              </w:rPr>
            </w:pPr>
            <w:r>
              <w:rPr>
                <w:rFonts w:ascii="Arial" w:cs="Arial" w:eastAsia="Arial" w:hAnsi="Arial"/>
                <w:sz w:val="18"/>
                <w:szCs w:val="18"/>
                <w:color w:val="0000FF"/>
              </w:rPr>
              <w:t>9,529,509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80"/>
              <w:spacing w:after="0"/>
              <w:rPr>
                <w:sz w:val="20"/>
                <w:szCs w:val="20"/>
                <w:color w:val="auto"/>
              </w:rPr>
            </w:pPr>
            <w:r>
              <w:rPr>
                <w:rFonts w:ascii="Arial" w:cs="Arial" w:eastAsia="Arial" w:hAnsi="Arial"/>
                <w:sz w:val="18"/>
                <w:szCs w:val="18"/>
                <w:color w:val="0000FF"/>
                <w:w w:val="96"/>
              </w:rPr>
              <w:t>See Explanation of</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560" w:type="dxa"/>
            <w:vAlign w:val="bottom"/>
            <w:gridSpan w:val="3"/>
            <w:vMerge w:val="restart"/>
          </w:tcPr>
          <w:p>
            <w:pPr>
              <w:ind w:left="80"/>
              <w:spacing w:after="0" w:line="278" w:lineRule="exact"/>
              <w:rPr>
                <w:sz w:val="20"/>
                <w:szCs w:val="20"/>
                <w:color w:val="auto"/>
              </w:rPr>
            </w:pPr>
            <w:r>
              <w:rPr>
                <w:rFonts w:ascii="Arial" w:cs="Arial" w:eastAsia="Arial" w:hAnsi="Arial"/>
                <w:sz w:val="32"/>
                <w:szCs w:val="32"/>
                <w:color w:val="0000FF"/>
                <w:w w:val="83"/>
                <w:vertAlign w:val="subscript"/>
              </w:rPr>
              <w:t>Responses</w:t>
            </w:r>
            <w:r>
              <w:rPr>
                <w:rFonts w:ascii="Arial" w:cs="Arial" w:eastAsia="Arial" w:hAnsi="Arial"/>
                <w:sz w:val="11"/>
                <w:szCs w:val="11"/>
                <w:color w:val="008000"/>
                <w:w w:val="83"/>
              </w:rPr>
              <w:t>(1)(2)(3)(4)(5)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5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7"/>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15"/>
          </w:tcPr>
          <w:p>
            <w:pPr>
              <w:jc w:val="center"/>
              <w:ind w:left="1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Date</w:t>
            </w:r>
          </w:p>
        </w:tc>
        <w:tc>
          <w:tcPr>
            <w:tcW w:w="1260" w:type="dxa"/>
            <w:vAlign w:val="bottom"/>
            <w:gridSpan w:val="2"/>
          </w:tcPr>
          <w:p>
            <w:pPr>
              <w:jc w:val="right"/>
              <w:ind w:right="46"/>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0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Silver Lake Group, L.L.C.</w:t>
              </w:r>
            </w:hyperlink>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w w:val="94"/>
              </w:rPr>
              <w:t>C/O SILVER LAKE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2775 SAND HILL ROAD, SUITE 100</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MENLO PARK</w:t>
            </w:r>
          </w:p>
        </w:tc>
        <w:tc>
          <w:tcPr>
            <w:tcW w:w="108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gridSpan w:val="11"/>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 Lake Technology Associates II, L.L.C.</w:t>
              </w:r>
            </w:hyperlink>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w w:val="94"/>
              </w:rPr>
              <w:t>C/O SILVER LAKE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2775 SAND HILL ROAD, SUITE 100</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MENLO PARK</w:t>
            </w:r>
          </w:p>
        </w:tc>
        <w:tc>
          <w:tcPr>
            <w:tcW w:w="108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380"/>
              <w:spacing w:after="0"/>
              <w:rPr>
                <w:sz w:val="20"/>
                <w:szCs w:val="20"/>
                <w:color w:val="auto"/>
              </w:rPr>
            </w:pPr>
            <w:r>
              <w:rPr>
                <w:rFonts w:ascii="Arial" w:cs="Arial" w:eastAsia="Arial" w:hAnsi="Arial"/>
                <w:sz w:val="18"/>
                <w:szCs w:val="18"/>
                <w:color w:val="0000FF"/>
              </w:rPr>
              <w:t>94025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gridSpan w:val="2"/>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SILVER LAKE PARTNERS II L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345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spacing w:after="0"/>
              <w:rPr>
                <w:sz w:val="20"/>
                <w:szCs w:val="20"/>
                <w:color w:val="auto"/>
              </w:rPr>
            </w:pPr>
            <w:r>
              <w:rPr>
                <w:rFonts w:ascii="Arial" w:cs="Arial" w:eastAsia="Arial" w:hAnsi="Arial"/>
                <w:sz w:val="14"/>
                <w:szCs w:val="14"/>
                <w:color w:val="auto"/>
              </w:rPr>
              <w:t>(First)</w:t>
            </w:r>
          </w:p>
        </w:tc>
        <w:tc>
          <w:tcPr>
            <w:tcW w:w="150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4"/>
              </w:rPr>
              <w:t>C/O SILVER LAKE</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6"/>
              </w:rPr>
              <w:t>2775 SAND HILL ROAD, SUITE 100</w:t>
            </w:r>
          </w:p>
        </w:tc>
        <w:tc>
          <w:tcPr>
            <w:tcW w:w="15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70"/>
        </w:trPr>
        <w:tc>
          <w:tcPr>
            <w:tcW w:w="15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MENLO PARK</w:t>
            </w:r>
          </w:p>
        </w:tc>
        <w:tc>
          <w:tcPr>
            <w:tcW w:w="1380" w:type="dxa"/>
            <w:vAlign w:val="bottom"/>
          </w:tcPr>
          <w:p>
            <w:pPr>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spacing w:after="0"/>
              <w:rPr>
                <w:sz w:val="20"/>
                <w:szCs w:val="20"/>
                <w:color w:val="auto"/>
              </w:rPr>
            </w:pPr>
            <w:r>
              <w:rPr>
                <w:rFonts w:ascii="Arial" w:cs="Arial" w:eastAsia="Arial" w:hAnsi="Arial"/>
                <w:sz w:val="14"/>
                <w:szCs w:val="14"/>
                <w:color w:val="auto"/>
              </w:rPr>
              <w:t>(State)</w:t>
            </w:r>
          </w:p>
        </w:tc>
        <w:tc>
          <w:tcPr>
            <w:tcW w:w="150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Silver Lake Technology Investors II, L.P.</w:t>
        </w:r>
      </w:hyperlink>
    </w:p>
    <w:p>
      <w:pPr>
        <w:spacing w:after="0" w:line="317"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C/O SILVER LAKE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2775 SAND HILL ROAD, SUITE 100</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4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Silver Lake Group, L.L.C. ("SLG") is the managing member of Silver Lake Technology Associates II, L.L.C. ("Associates II"), which is the general partner of (a) Silver Lake Partners II, L.P. ("Partners II"), which directly holds 7,396,934 shares of common stock ("Common Stock") of Sabre Corporation (the "Issuer"), and (b) Silver Lake Technology Investors II, L.P. ("Investors II"), which directly holds 30,226 shares of Common Stock.</w:t>
      </w:r>
    </w:p>
    <w:p>
      <w:pPr>
        <w:spacing w:after="0" w:line="30" w:lineRule="exact"/>
        <w:rPr>
          <w:rFonts w:ascii="Arial" w:cs="Arial" w:eastAsia="Arial" w:hAnsi="Arial"/>
          <w:sz w:val="14"/>
          <w:szCs w:val="14"/>
          <w:color w:val="008000"/>
        </w:rPr>
      </w:pPr>
    </w:p>
    <w:p>
      <w:pPr>
        <w:ind w:firstLine="9"/>
        <w:spacing w:after="0" w:line="305"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As the sole general partner of Partners II and Investors II, Associates II may be deemed to share voting and dispositive power with respect to the shares of Common Stock directly held by Partners II and Investors II. As the sole managing member of Associates II, SLG may be deemed to share voting and dispositive power with respect to the shares of Common Stock directly held by Partners II and Investors II.</w:t>
      </w:r>
    </w:p>
    <w:p>
      <w:pPr>
        <w:ind w:right="120" w:firstLine="9"/>
        <w:spacing w:after="0" w:line="230"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Associates II is a member of Sovereign Manager Co-Invest, LLC ("Sovereign Manager"), which is the managing member of Sovereign Co-Invest II, LLC ("Sovereign Co-Invest II"), which directly holds 2,102,349 shares of Common Stock. Sovereign Manager is managed by a management committee consisting of two managers, one of which is designated by Associates II. Because of the relationship among Sovereign Manager, Associates II and SLG, each of Associates II and SLG may be deemed to share voting and dispositive power with respect to the shares of Common Stock directly held by Sovereign Co-Invest II.</w:t>
      </w:r>
    </w:p>
    <w:p>
      <w:pPr>
        <w:spacing w:after="0" w:line="31" w:lineRule="exact"/>
        <w:rPr>
          <w:rFonts w:ascii="Arial" w:cs="Arial" w:eastAsia="Arial" w:hAnsi="Arial"/>
          <w:sz w:val="14"/>
          <w:szCs w:val="14"/>
          <w:color w:val="008000"/>
        </w:rPr>
      </w:pPr>
    </w:p>
    <w:p>
      <w:pPr>
        <w:ind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Each of SLG, Associates II, Partners II and Investors II (collectively, the "Reporting Persons") disclaims beneficial ownership of the securities reported herein, except to the extent of such Reporting Person's pecuniary interest therein.</w:t>
      </w:r>
    </w:p>
    <w:p>
      <w:pPr>
        <w:spacing w:after="0" w:line="30" w:lineRule="exact"/>
        <w:rPr>
          <w:rFonts w:ascii="Arial" w:cs="Arial" w:eastAsia="Arial" w:hAnsi="Arial"/>
          <w:sz w:val="14"/>
          <w:szCs w:val="14"/>
          <w:color w:val="008000"/>
        </w:rPr>
      </w:pPr>
    </w:p>
    <w:p>
      <w:pPr>
        <w:ind w:right="38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Rule 16a-1(a)(4) under the Securities Exchange Act of 1934, as amended (the "Exchange Act"), this filing shall not be deemed an admission that the Reporting Persons are, for purposes of Section 16 of the Exchange Act or otherwise, the beneficial owners of any equity securities in excess of their respective pecuniary interests.</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Distribution of 114,750 shares of Common Stock by Partners II through Associates II to certain direct and indirect members of Associates II for the sole purpose of charitable giving.</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(7) The Reporting Persons are jointly filing this Form 4 pursuant to Rule 16a-3(j) under the Exchange Act.</w:t>
      </w:r>
    </w:p>
    <w:p>
      <w:pPr>
        <w:sectPr>
          <w:pgSz w:w="11900" w:h="16838" w:orient="portrait"/>
          <w:cols w:equalWidth="0" w:num="1">
            <w:col w:w="11300"/>
          </w:cols>
          <w:pgMar w:left="280" w:top="118" w:right="319" w:bottom="401"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Karen M. King,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8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 and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Officer of Silver Lake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L.L.C.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452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5212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Karen M. King,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8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 and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Officer of Silver Lake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the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9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899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Associates II, L.L.C.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6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Karen M. King,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8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 and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Officer of Silver Lake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the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9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899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0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Partners II, L.P.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4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8547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Karen M. King,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8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 and Chief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Officer of Silver Lake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258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258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the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4683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 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1899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20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20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general partner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373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Technology Investors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922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2922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0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969" w:lineRule="exact"/>
        <w:rPr>
          <w:sz w:val="20"/>
          <w:szCs w:val="20"/>
          <w:color w:val="auto"/>
        </w:rPr>
      </w:pPr>
    </w:p>
    <w:p>
      <w:pPr>
        <w:sectPr>
          <w:pgSz w:w="11900" w:h="16838" w:orient="portrait"/>
          <w:cols w:equalWidth="0" w:num="2">
            <w:col w:w="8960" w:space="160"/>
            <w:col w:w="2180"/>
          </w:cols>
          <w:pgMar w:left="280" w:top="118" w:right="319" w:bottom="401"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18" w:right="319" w:bottom="4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597033" TargetMode="External"/><Relationship Id="rId14" Type="http://schemas.openxmlformats.org/officeDocument/2006/relationships/hyperlink" Target="http://www.sec.gov/cgi-bin/browse-edgar?action=getcompany&amp;CIK=0001351522" TargetMode="External"/><Relationship Id="rId15" Type="http://schemas.openxmlformats.org/officeDocument/2006/relationships/hyperlink" Target="http://www.sec.gov/cgi-bin/browse-edgar?action=getcompany&amp;CIK=0001277090" TargetMode="External"/><Relationship Id="rId17" Type="http://schemas.openxmlformats.org/officeDocument/2006/relationships/hyperlink" Target="http://www.sec.gov/cgi-bin/browse-edgar?action=getcompany&amp;CIK=00013258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2019-12-23T16:12:29Z</dcterms:created>
  <dcterms:modified xsi:type="dcterms:W3CDTF">2019-12-23T16:12:29Z</dcterms:modified>
</cp:coreProperties>
</file>