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414020</wp:posOffset>
            </wp:positionH>
            <wp:positionV relativeFrom="page">
              <wp:posOffset>654685</wp:posOffset>
            </wp:positionV>
            <wp:extent cx="6729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page">
              <wp:posOffset>414020</wp:posOffset>
            </wp:positionH>
            <wp:positionV relativeFrom="page">
              <wp:posOffset>680720</wp:posOffset>
            </wp:positionV>
            <wp:extent cx="6729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50165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50" w:lineRule="exact"/>
        <w:rPr>
          <w:sz w:val="24"/>
          <w:szCs w:val="24"/>
          <w:color w:val="auto"/>
        </w:rPr>
      </w:pPr>
    </w:p>
    <w:p>
      <w:pPr>
        <w:ind w:left="3800" w:right="740" w:hanging="3259"/>
        <w:spacing w:after="0" w:line="342" w:lineRule="auto"/>
        <w:tabs>
          <w:tab w:leader="none" w:pos="12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7"/>
          <w:szCs w:val="17"/>
          <w:b w:val="1"/>
          <w:bCs w:val="1"/>
          <w:color w:val="auto"/>
        </w:rPr>
        <w:t>For the quarterly period ended June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51" w:lineRule="exact"/>
        <w:rPr>
          <w:sz w:val="24"/>
          <w:szCs w:val="24"/>
          <w:color w:val="auto"/>
        </w:rPr>
      </w:pPr>
    </w:p>
    <w:p>
      <w:pPr>
        <w:ind w:left="1260" w:hanging="719"/>
        <w:spacing w:after="0"/>
        <w:tabs>
          <w:tab w:leader="none" w:pos="1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r>
        <w:rPr>
          <w:rFonts w:ascii="Times New Roman" w:cs="Times New Roman" w:eastAsia="Times New Roman" w:hAnsi="Times New Roman"/>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59055</wp:posOffset>
            </wp:positionV>
            <wp:extent cx="2057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75"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2860" w:type="dxa"/>
            <w:vAlign w:val="bottom"/>
          </w:tcPr>
          <w:p>
            <w:pPr>
              <w:jc w:val="center"/>
              <w:ind w:right="1010"/>
              <w:spacing w:after="0"/>
              <w:rPr>
                <w:sz w:val="20"/>
                <w:szCs w:val="20"/>
                <w:color w:val="auto"/>
              </w:rPr>
            </w:pPr>
            <w:r>
              <w:rPr>
                <w:rFonts w:ascii="Arial" w:cs="Arial" w:eastAsia="Arial" w:hAnsi="Arial"/>
                <w:sz w:val="17"/>
                <w:szCs w:val="17"/>
                <w:b w:val="1"/>
                <w:bCs w:val="1"/>
                <w:color w:val="auto"/>
                <w:w w:val="99"/>
              </w:rPr>
              <w:t>Delaware</w:t>
            </w:r>
          </w:p>
        </w:tc>
        <w:tc>
          <w:tcPr>
            <w:tcW w:w="3920" w:type="dxa"/>
            <w:vAlign w:val="bottom"/>
          </w:tcPr>
          <w:p>
            <w:pPr>
              <w:jc w:val="right"/>
              <w:ind w:right="1566"/>
              <w:spacing w:after="0"/>
              <w:rPr>
                <w:sz w:val="20"/>
                <w:szCs w:val="20"/>
                <w:color w:val="auto"/>
              </w:rPr>
            </w:pPr>
            <w:r>
              <w:rPr>
                <w:rFonts w:ascii="Arial" w:cs="Arial" w:eastAsia="Arial" w:hAnsi="Arial"/>
                <w:sz w:val="17"/>
                <w:szCs w:val="17"/>
                <w:b w:val="1"/>
                <w:bCs w:val="1"/>
                <w:color w:val="auto"/>
              </w:rPr>
              <w:t>001-36422</w:t>
            </w:r>
          </w:p>
        </w:tc>
        <w:tc>
          <w:tcPr>
            <w:tcW w:w="2320" w:type="dxa"/>
            <w:vAlign w:val="bottom"/>
          </w:tcPr>
          <w:p>
            <w:pPr>
              <w:jc w:val="center"/>
              <w:ind w:left="1170"/>
              <w:spacing w:after="0"/>
              <w:rPr>
                <w:sz w:val="20"/>
                <w:szCs w:val="20"/>
                <w:color w:val="auto"/>
              </w:rPr>
            </w:pPr>
            <w:r>
              <w:rPr>
                <w:rFonts w:ascii="Arial" w:cs="Arial" w:eastAsia="Arial" w:hAnsi="Arial"/>
                <w:sz w:val="17"/>
                <w:szCs w:val="17"/>
                <w:b w:val="1"/>
                <w:bCs w:val="1"/>
                <w:color w:val="auto"/>
              </w:rPr>
              <w:t>20-8647322</w:t>
            </w:r>
          </w:p>
        </w:tc>
      </w:tr>
      <w:tr>
        <w:trPr>
          <w:trHeight w:val="126"/>
        </w:trPr>
        <w:tc>
          <w:tcPr>
            <w:tcW w:w="2860" w:type="dxa"/>
            <w:vAlign w:val="bottom"/>
          </w:tcPr>
          <w:p>
            <w:pPr>
              <w:jc w:val="center"/>
              <w:ind w:right="1010"/>
              <w:spacing w:after="0" w:line="126" w:lineRule="exact"/>
              <w:rPr>
                <w:sz w:val="20"/>
                <w:szCs w:val="20"/>
                <w:color w:val="auto"/>
              </w:rPr>
            </w:pPr>
            <w:r>
              <w:rPr>
                <w:rFonts w:ascii="Arial" w:cs="Arial" w:eastAsia="Arial" w:hAnsi="Arial"/>
                <w:sz w:val="13"/>
                <w:szCs w:val="13"/>
                <w:b w:val="1"/>
                <w:bCs w:val="1"/>
                <w:color w:val="auto"/>
                <w:w w:val="97"/>
              </w:rPr>
              <w:t>(State or other jurisdiction of</w:t>
            </w:r>
          </w:p>
        </w:tc>
        <w:tc>
          <w:tcPr>
            <w:tcW w:w="3920" w:type="dxa"/>
            <w:vAlign w:val="bottom"/>
          </w:tcPr>
          <w:p>
            <w:pPr>
              <w:jc w:val="center"/>
              <w:ind w:right="106"/>
              <w:spacing w:after="0" w:line="126" w:lineRule="exact"/>
              <w:rPr>
                <w:sz w:val="20"/>
                <w:szCs w:val="20"/>
                <w:color w:val="auto"/>
              </w:rPr>
            </w:pPr>
            <w:r>
              <w:rPr>
                <w:rFonts w:ascii="Arial" w:cs="Arial" w:eastAsia="Arial" w:hAnsi="Arial"/>
                <w:sz w:val="13"/>
                <w:szCs w:val="13"/>
                <w:b w:val="1"/>
                <w:bCs w:val="1"/>
                <w:color w:val="auto"/>
                <w:w w:val="97"/>
              </w:rPr>
              <w:t>(Commission File Number)</w:t>
            </w:r>
          </w:p>
        </w:tc>
        <w:tc>
          <w:tcPr>
            <w:tcW w:w="2320" w:type="dxa"/>
            <w:vAlign w:val="bottom"/>
          </w:tcPr>
          <w:p>
            <w:pPr>
              <w:jc w:val="center"/>
              <w:ind w:left="1170"/>
              <w:spacing w:after="0" w:line="126"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2860" w:type="dxa"/>
            <w:vAlign w:val="bottom"/>
          </w:tcPr>
          <w:p>
            <w:pPr>
              <w:jc w:val="center"/>
              <w:ind w:right="1010"/>
              <w:spacing w:after="0"/>
              <w:rPr>
                <w:sz w:val="20"/>
                <w:szCs w:val="20"/>
                <w:color w:val="auto"/>
              </w:rPr>
            </w:pPr>
            <w:r>
              <w:rPr>
                <w:rFonts w:ascii="Arial" w:cs="Arial" w:eastAsia="Arial" w:hAnsi="Arial"/>
                <w:sz w:val="13"/>
                <w:szCs w:val="13"/>
                <w:b w:val="1"/>
                <w:bCs w:val="1"/>
                <w:color w:val="auto"/>
                <w:w w:val="95"/>
              </w:rPr>
              <w:t>incorporation or organization)</w:t>
            </w:r>
          </w:p>
        </w:tc>
        <w:tc>
          <w:tcPr>
            <w:tcW w:w="3920" w:type="dxa"/>
            <w:vAlign w:val="bottom"/>
          </w:tcPr>
          <w:p>
            <w:pPr>
              <w:spacing w:after="0"/>
              <w:rPr>
                <w:sz w:val="14"/>
                <w:szCs w:val="14"/>
                <w:color w:val="auto"/>
              </w:rPr>
            </w:pPr>
          </w:p>
        </w:tc>
        <w:tc>
          <w:tcPr>
            <w:tcW w:w="2320" w:type="dxa"/>
            <w:vAlign w:val="bottom"/>
          </w:tcPr>
          <w:p>
            <w:pPr>
              <w:jc w:val="center"/>
              <w:ind w:left="1190"/>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3150 Sabre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Southlake, TX 76092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Address, including zip code, of principal executive offices</w:t>
      </w:r>
      <w:r>
        <w:rPr>
          <w:rFonts w:ascii="Arial" w:cs="Arial" w:eastAsia="Arial" w:hAnsi="Arial"/>
          <w:sz w:val="14"/>
          <w:szCs w:val="14"/>
          <w:b w:val="1"/>
          <w:bCs w:val="1"/>
          <w:color w:val="auto"/>
        </w:rPr>
        <w:t>)</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(682)-605-1000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Registrant’s telephone number, including area code</w:t>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-118110</wp:posOffset>
            </wp:positionV>
            <wp:extent cx="2091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9" w:lineRule="exact"/>
        <w:rPr>
          <w:sz w:val="24"/>
          <w:szCs w:val="24"/>
          <w:color w:val="auto"/>
        </w:rPr>
      </w:pPr>
    </w:p>
    <w:p>
      <w:pPr>
        <w:ind w:left="820"/>
        <w:spacing w:after="0"/>
        <w:tabs>
          <w:tab w:leader="none" w:pos="5200" w:val="left"/>
          <w:tab w:leader="none" w:pos="7660" w:val="left"/>
        </w:tabs>
        <w:rPr>
          <w:sz w:val="20"/>
          <w:szCs w:val="20"/>
          <w:color w:val="auto"/>
        </w:rPr>
      </w:pPr>
      <w:r>
        <w:rPr>
          <w:rFonts w:ascii="Arial" w:cs="Arial" w:eastAsia="Arial" w:hAnsi="Arial"/>
          <w:sz w:val="17"/>
          <w:szCs w:val="17"/>
          <w:b w:val="1"/>
          <w:bCs w:val="1"/>
          <w:color w:val="auto"/>
        </w:rPr>
        <w:t>Common Stock, $0.01 par value</w:t>
      </w:r>
      <w:r>
        <w:rPr>
          <w:sz w:val="20"/>
          <w:szCs w:val="20"/>
          <w:color w:val="auto"/>
        </w:rPr>
        <w:tab/>
      </w:r>
      <w:r>
        <w:rPr>
          <w:rFonts w:ascii="Arial" w:cs="Arial" w:eastAsia="Arial" w:hAnsi="Arial"/>
          <w:sz w:val="17"/>
          <w:szCs w:val="17"/>
          <w:b w:val="1"/>
          <w:bCs w:val="1"/>
          <w:color w:val="auto"/>
        </w:rPr>
        <w:t>SABR</w:t>
      </w:r>
      <w:r>
        <w:rPr>
          <w:sz w:val="20"/>
          <w:szCs w:val="20"/>
          <w:color w:val="auto"/>
        </w:rPr>
        <w:tab/>
      </w:r>
      <w:r>
        <w:rPr>
          <w:rFonts w:ascii="Arial" w:cs="Arial" w:eastAsia="Arial" w:hAnsi="Arial"/>
          <w:sz w:val="17"/>
          <w:szCs w:val="17"/>
          <w:b w:val="1"/>
          <w:bCs w:val="1"/>
          <w:color w:val="auto"/>
        </w:rPr>
        <w:t>The NASDAQ Stock Market LLC</w:t>
      </w:r>
    </w:p>
    <w:p>
      <w:pPr>
        <w:sectPr>
          <w:pgSz w:w="11900" w:h="16838" w:orient="portrait"/>
          <w:cols w:equalWidth="0" w:num="1">
            <w:col w:w="11240"/>
          </w:cols>
          <w:pgMar w:left="320" w:top="1440" w:right="339" w:bottom="1440" w:gutter="0" w:footer="0" w:header="0"/>
        </w:sectPr>
      </w:pPr>
    </w:p>
    <w:p>
      <w:pPr>
        <w:spacing w:after="0" w:line="42"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18" w:lineRule="exact"/>
        <w:rPr>
          <w:sz w:val="24"/>
          <w:szCs w:val="24"/>
          <w:color w:val="auto"/>
        </w:rPr>
      </w:pPr>
    </w:p>
    <w:p>
      <w:pPr>
        <w:sectPr>
          <w:pgSz w:w="11900" w:h="16838" w:orient="portrait"/>
          <w:cols w:equalWidth="0" w:num="3">
            <w:col w:w="4160" w:space="720"/>
            <w:col w:w="1820" w:space="720"/>
            <w:col w:w="3820"/>
          </w:cols>
          <w:pgMar w:left="320" w:top="1440" w:right="339" w:bottom="1440" w:gutter="0" w:footer="0" w:header="0"/>
          <w:type w:val="continuous"/>
        </w:sectPr>
      </w:pPr>
    </w:p>
    <w:p>
      <w:pPr>
        <w:jc w:val="both"/>
        <w:ind w:firstLine="48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486"/>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80" w:type="dxa"/>
            <w:vAlign w:val="bottom"/>
          </w:tcPr>
          <w:p>
            <w:pPr>
              <w:ind w:left="226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5" w:lineRule="exact"/>
        <w:rPr>
          <w:sz w:val="24"/>
          <w:szCs w:val="24"/>
          <w:color w:val="auto"/>
        </w:rPr>
      </w:pPr>
    </w:p>
    <w:p>
      <w:pPr>
        <w:ind w:firstLine="486"/>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150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2025, 394,514,384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130810</wp:posOffset>
            </wp:positionV>
            <wp:extent cx="6729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156210</wp:posOffset>
            </wp:positionV>
            <wp:extent cx="6729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620"/>
        <w:spacing w:after="0"/>
        <w:rPr>
          <w:sz w:val="20"/>
          <w:szCs w:val="20"/>
          <w:color w:val="auto"/>
        </w:rPr>
      </w:pPr>
      <w:r>
        <w:rPr>
          <w:rFonts w:ascii="Arial" w:cs="Arial" w:eastAsia="Arial" w:hAnsi="Arial"/>
          <w:sz w:val="18"/>
          <w:szCs w:val="18"/>
          <w:b w:val="1"/>
          <w:bCs w:val="1"/>
          <w:color w:val="auto"/>
        </w:rPr>
        <w:t>SABRE CORPORATION</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360" w:type="dxa"/>
            <w:vAlign w:val="bottom"/>
            <w:gridSpan w:val="20"/>
          </w:tcPr>
          <w:p>
            <w:pPr>
              <w:spacing w:after="0"/>
              <w:rPr>
                <w:sz w:val="20"/>
                <w:szCs w:val="20"/>
                <w:color w:val="auto"/>
              </w:rPr>
            </w:pPr>
            <w:r>
              <w:rPr>
                <w:rFonts w:ascii="Arial" w:cs="Arial" w:eastAsia="Arial" w:hAnsi="Arial"/>
                <w:sz w:val="16"/>
                <w:szCs w:val="16"/>
                <w:b w:val="1"/>
                <w:bCs w:val="1"/>
                <w:color w:val="0000FF"/>
              </w:rPr>
              <w:t>PART I. FINANCIAL INFORMATION</w:t>
            </w:r>
          </w:p>
        </w:tc>
        <w:tc>
          <w:tcPr>
            <w:tcW w:w="840" w:type="dxa"/>
            <w:vAlign w:val="bottom"/>
            <w:gridSpan w:val="4"/>
          </w:tcPr>
          <w:p>
            <w:pPr>
              <w:ind w:left="140"/>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2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Item 1.</w:t>
            </w:r>
          </w:p>
        </w:tc>
        <w:tc>
          <w:tcPr>
            <w:tcW w:w="9120" w:type="dxa"/>
            <w:vAlign w:val="bottom"/>
            <w:gridSpan w:val="19"/>
            <w:vMerge w:val="restart"/>
          </w:tcPr>
          <w:p>
            <w:pPr>
              <w:spacing w:after="0"/>
              <w:rPr>
                <w:sz w:val="20"/>
                <w:szCs w:val="20"/>
                <w:color w:val="auto"/>
              </w:rPr>
            </w:pPr>
            <w:r>
              <w:rPr>
                <w:rFonts w:ascii="Arial" w:cs="Arial" w:eastAsia="Arial" w:hAnsi="Arial"/>
                <w:sz w:val="16"/>
                <w:szCs w:val="16"/>
                <w:color w:val="0000FF"/>
              </w:rPr>
              <w:t>Financial Statements:</w:t>
            </w: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20" w:type="dxa"/>
            <w:vAlign w:val="bottom"/>
            <w:gridSpan w:val="19"/>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Consolidated Statements of Operations for the Three and Six Months Ended June 30, 2025 and 2024</w:t>
            </w:r>
          </w:p>
        </w:tc>
        <w:tc>
          <w:tcPr>
            <w:tcW w:w="172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Consolidated Statements of Comprehensive Income (Loss) for the Three and Six Months Ended June 30, 2025 and 2024</w:t>
            </w:r>
          </w:p>
        </w:tc>
        <w:tc>
          <w:tcPr>
            <w:tcW w:w="30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8"/>
          </w:tcPr>
          <w:p>
            <w:pPr>
              <w:spacing w:after="0"/>
              <w:rPr>
                <w:sz w:val="20"/>
                <w:szCs w:val="20"/>
                <w:color w:val="auto"/>
              </w:rPr>
            </w:pPr>
            <w:r>
              <w:rPr>
                <w:rFonts w:ascii="Arial" w:cs="Arial" w:eastAsia="Arial" w:hAnsi="Arial"/>
                <w:sz w:val="16"/>
                <w:szCs w:val="16"/>
                <w:color w:val="0000FF"/>
              </w:rPr>
              <w:t>Consolidated Balance Sheets as of June 30, 2025 and December 31, 2024</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8"/>
          </w:tcPr>
          <w:p>
            <w:pPr>
              <w:spacing w:after="0"/>
              <w:rPr>
                <w:sz w:val="20"/>
                <w:szCs w:val="20"/>
                <w:color w:val="auto"/>
              </w:rPr>
            </w:pPr>
            <w:r>
              <w:rPr>
                <w:rFonts w:ascii="Arial" w:cs="Arial" w:eastAsia="Arial" w:hAnsi="Arial"/>
                <w:sz w:val="16"/>
                <w:szCs w:val="16"/>
                <w:color w:val="0000FF"/>
              </w:rPr>
              <w:t>Consolidated Statements of Cash Flows for the Six Months Ended June 30, 2025 and 2024</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8"/>
          </w:tcPr>
          <w:p>
            <w:pPr>
              <w:spacing w:after="0"/>
              <w:rPr>
                <w:sz w:val="20"/>
                <w:szCs w:val="20"/>
                <w:color w:val="auto"/>
              </w:rPr>
            </w:pPr>
            <w:r>
              <w:rPr>
                <w:rFonts w:ascii="Arial" w:cs="Arial" w:eastAsia="Arial" w:hAnsi="Arial"/>
                <w:sz w:val="16"/>
                <w:szCs w:val="16"/>
                <w:color w:val="0000FF"/>
              </w:rPr>
              <w:t>Consolidated Statements of Stockholders' Deficit for the Three and Six Months Ended June 30, 2025 and 2024</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4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Notes to Consolidated Financial Statements</w:t>
            </w:r>
          </w:p>
        </w:tc>
        <w:tc>
          <w:tcPr>
            <w:tcW w:w="106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638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740" w:type="dxa"/>
            <w:vAlign w:val="bottom"/>
            <w:gridSpan w:val="5"/>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6380" w:type="dxa"/>
            <w:vAlign w:val="bottom"/>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740" w:type="dxa"/>
            <w:vAlign w:val="bottom"/>
            <w:gridSpan w:val="5"/>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1800" w:type="dxa"/>
            <w:vAlign w:val="bottom"/>
            <w:gridSpan w:val="9"/>
          </w:tcPr>
          <w:p>
            <w:pPr>
              <w:spacing w:after="0"/>
              <w:rPr>
                <w:sz w:val="20"/>
                <w:szCs w:val="20"/>
                <w:color w:val="auto"/>
              </w:rPr>
            </w:pPr>
            <w:r>
              <w:rPr>
                <w:rFonts w:ascii="Arial" w:cs="Arial" w:eastAsia="Arial" w:hAnsi="Arial"/>
                <w:sz w:val="16"/>
                <w:szCs w:val="16"/>
                <w:color w:val="0000FF"/>
              </w:rPr>
              <w:t>Controls and Procedures</w:t>
            </w:r>
          </w:p>
        </w:tc>
        <w:tc>
          <w:tcPr>
            <w:tcW w:w="2440" w:type="dxa"/>
            <w:vAlign w:val="bottom"/>
            <w:gridSpan w:val="2"/>
          </w:tcPr>
          <w:p>
            <w:pPr>
              <w:spacing w:after="0"/>
              <w:rPr>
                <w:sz w:val="17"/>
                <w:szCs w:val="17"/>
                <w:color w:val="auto"/>
              </w:rPr>
            </w:pPr>
          </w:p>
        </w:tc>
        <w:tc>
          <w:tcPr>
            <w:tcW w:w="4880" w:type="dxa"/>
            <w:vAlign w:val="bottom"/>
            <w:gridSpan w:val="8"/>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0"/>
          </w:tcPr>
          <w:p>
            <w:pPr>
              <w:spacing w:after="0"/>
              <w:rPr>
                <w:sz w:val="20"/>
                <w:szCs w:val="20"/>
                <w:color w:val="auto"/>
              </w:rPr>
            </w:pPr>
            <w:r>
              <w:rPr>
                <w:rFonts w:ascii="Arial" w:cs="Arial" w:eastAsia="Arial" w:hAnsi="Arial"/>
                <w:sz w:val="16"/>
                <w:szCs w:val="16"/>
                <w:b w:val="1"/>
                <w:bCs w:val="1"/>
                <w:color w:val="0000FF"/>
              </w:rPr>
              <w:t>PART II. OTHER INFORMATION</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1.</w:t>
            </w:r>
          </w:p>
        </w:tc>
        <w:tc>
          <w:tcPr>
            <w:tcW w:w="9120" w:type="dxa"/>
            <w:vAlign w:val="bottom"/>
            <w:gridSpan w:val="19"/>
          </w:tcPr>
          <w:p>
            <w:pPr>
              <w:spacing w:after="0"/>
              <w:rPr>
                <w:sz w:val="20"/>
                <w:szCs w:val="20"/>
                <w:color w:val="auto"/>
              </w:rPr>
            </w:pPr>
            <w:r>
              <w:rPr>
                <w:rFonts w:ascii="Arial" w:cs="Arial" w:eastAsia="Arial" w:hAnsi="Arial"/>
                <w:sz w:val="16"/>
                <w:szCs w:val="16"/>
                <w:color w:val="0000FF"/>
              </w:rPr>
              <w:t>Legal Proceedings</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1A.</w:t>
            </w:r>
          </w:p>
        </w:tc>
        <w:tc>
          <w:tcPr>
            <w:tcW w:w="1340" w:type="dxa"/>
            <w:vAlign w:val="bottom"/>
            <w:gridSpan w:val="6"/>
          </w:tcPr>
          <w:p>
            <w:pPr>
              <w:spacing w:after="0"/>
              <w:rPr>
                <w:sz w:val="20"/>
                <w:szCs w:val="20"/>
                <w:color w:val="auto"/>
              </w:rPr>
            </w:pPr>
            <w:r>
              <w:rPr>
                <w:rFonts w:ascii="Arial" w:cs="Arial" w:eastAsia="Arial" w:hAnsi="Arial"/>
                <w:sz w:val="16"/>
                <w:szCs w:val="16"/>
                <w:color w:val="0000FF"/>
              </w:rPr>
              <w:t>Risk Factors</w:t>
            </w:r>
          </w:p>
        </w:tc>
        <w:tc>
          <w:tcPr>
            <w:tcW w:w="7780" w:type="dxa"/>
            <w:vAlign w:val="bottom"/>
            <w:gridSpan w:val="13"/>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4380" w:type="dxa"/>
            <w:vAlign w:val="bottom"/>
            <w:gridSpan w:val="1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4740" w:type="dxa"/>
            <w:vAlign w:val="bottom"/>
            <w:gridSpan w:val="7"/>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4380" w:type="dxa"/>
            <w:vAlign w:val="bottom"/>
            <w:gridSpan w:val="12"/>
          </w:tcPr>
          <w:p>
            <w:pPr>
              <w:spacing w:after="0"/>
              <w:rPr>
                <w:sz w:val="20"/>
                <w:szCs w:val="20"/>
                <w:color w:val="auto"/>
              </w:rPr>
            </w:pPr>
            <w:r>
              <w:rPr>
                <w:rFonts w:ascii="Arial" w:cs="Arial" w:eastAsia="Arial" w:hAnsi="Arial"/>
                <w:sz w:val="16"/>
                <w:szCs w:val="16"/>
                <w:color w:val="0000FF"/>
              </w:rPr>
              <w:t>Other Information</w:t>
            </w:r>
          </w:p>
        </w:tc>
        <w:tc>
          <w:tcPr>
            <w:tcW w:w="4740" w:type="dxa"/>
            <w:vAlign w:val="bottom"/>
            <w:gridSpan w:val="7"/>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6.</w:t>
            </w:r>
          </w:p>
        </w:tc>
        <w:tc>
          <w:tcPr>
            <w:tcW w:w="580" w:type="dxa"/>
            <w:vAlign w:val="bottom"/>
            <w:gridSpan w:val="2"/>
          </w:tcPr>
          <w:p>
            <w:pPr>
              <w:spacing w:after="0"/>
              <w:rPr>
                <w:sz w:val="20"/>
                <w:szCs w:val="20"/>
                <w:color w:val="auto"/>
              </w:rPr>
            </w:pPr>
            <w:r>
              <w:rPr>
                <w:rFonts w:ascii="Arial" w:cs="Arial" w:eastAsia="Arial" w:hAnsi="Arial"/>
                <w:sz w:val="16"/>
                <w:szCs w:val="16"/>
                <w:color w:val="0000FF"/>
                <w:w w:val="99"/>
              </w:rPr>
              <w:t>Exhibits</w:t>
            </w:r>
          </w:p>
        </w:tc>
        <w:tc>
          <w:tcPr>
            <w:tcW w:w="680" w:type="dxa"/>
            <w:vAlign w:val="bottom"/>
            <w:gridSpan w:val="3"/>
          </w:tcPr>
          <w:p>
            <w:pPr>
              <w:spacing w:after="0"/>
              <w:rPr>
                <w:sz w:val="17"/>
                <w:szCs w:val="17"/>
                <w:color w:val="auto"/>
              </w:rPr>
            </w:pPr>
          </w:p>
        </w:tc>
        <w:tc>
          <w:tcPr>
            <w:tcW w:w="7860" w:type="dxa"/>
            <w:vAlign w:val="bottom"/>
            <w:gridSpan w:val="14"/>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We may use our website, our LinkedIn account and our X account (@Sabre_Corp) as additional means of disclosing information to the public. The information disclosed through those channels may be considered to be material and may not be otherwise disseminated by us, so we encourage investors to review our website, LinkedIn and X account. The contents of our website or social media channels referenced herein are not incorporated by reference into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t>PART I. FINANCIAL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48"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SABRE CORPORATION</w:t>
      </w:r>
    </w:p>
    <w:p>
      <w:pPr>
        <w:spacing w:after="0" w:line="35"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June 30,</w:t>
            </w:r>
          </w:p>
        </w:tc>
        <w:tc>
          <w:tcPr>
            <w:tcW w:w="220" w:type="dxa"/>
            <w:vAlign w:val="bottom"/>
          </w:tcPr>
          <w:p>
            <w:pPr>
              <w:spacing w:after="0"/>
              <w:rPr>
                <w:sz w:val="15"/>
                <w:szCs w:val="15"/>
                <w:color w:val="auto"/>
              </w:rPr>
            </w:pPr>
          </w:p>
        </w:tc>
        <w:tc>
          <w:tcPr>
            <w:tcW w:w="216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Six Months Ended June 30,</w:t>
            </w:r>
          </w:p>
        </w:tc>
      </w:tr>
      <w:tr>
        <w:trPr>
          <w:trHeight w:val="196"/>
        </w:trPr>
        <w:tc>
          <w:tcPr>
            <w:tcW w:w="62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2024</w:t>
            </w: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695,050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1,389,275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1,408,683</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293,340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601,825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586,050</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400,634</w:t>
            </w:r>
          </w:p>
        </w:tc>
      </w:tr>
      <w:tr>
        <w:trPr>
          <w:trHeight w:val="21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153,938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284,082</w:t>
            </w:r>
          </w:p>
        </w:tc>
      </w:tr>
      <w:tr>
        <w:trPr>
          <w:trHeight w:val="210"/>
        </w:trPr>
        <w:tc>
          <w:tcPr>
            <w:tcW w:w="6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137,917</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(228,309)</w:t>
            </w: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(37,994)</w:t>
            </w: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15"/>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(112,533)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(305,310)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(265,410)</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(109,756)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(63,811)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(124,781)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(127,493)</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(204,395)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(136,821)</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discontinued operations, net of tax</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(3,769)</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(256,532)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(69,485)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(140,590)</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Loss attributable to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(256,364)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(69,760)</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(141,243)</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6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Basic net (loss) income per share attributable to common stockholders: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Loss from discontinued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6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per common share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Diluted net (loss) income per share attributable to common stockholders: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Loss from discontinued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6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per common share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381,640</w:t>
            </w: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390,905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383,506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388,601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381,640</w:t>
            </w:r>
          </w:p>
        </w:tc>
      </w:tr>
    </w:tbl>
    <w:p>
      <w:pPr>
        <w:spacing w:after="0" w:line="2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June 30,</w:t>
            </w:r>
          </w:p>
        </w:tc>
        <w:tc>
          <w:tcPr>
            <w:tcW w:w="260" w:type="dxa"/>
            <w:vAlign w:val="bottom"/>
          </w:tcPr>
          <w:p>
            <w:pPr>
              <w:spacing w:after="0"/>
              <w:rPr>
                <w:sz w:val="15"/>
                <w:szCs w:val="15"/>
                <w:color w:val="auto"/>
              </w:rPr>
            </w:pPr>
          </w:p>
        </w:tc>
        <w:tc>
          <w:tcPr>
            <w:tcW w:w="216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(140,590)</w:t>
            </w:r>
          </w:p>
        </w:tc>
        <w:tc>
          <w:tcPr>
            <w:tcW w:w="0" w:type="dxa"/>
            <w:vAlign w:val="bottom"/>
          </w:tcPr>
          <w:p>
            <w:pPr>
              <w:spacing w:after="0"/>
              <w:rPr>
                <w:sz w:val="1"/>
                <w:szCs w:val="1"/>
                <w:color w:val="auto"/>
              </w:rPr>
            </w:pPr>
          </w:p>
        </w:tc>
      </w:tr>
      <w:tr>
        <w:trPr>
          <w:trHeight w:val="195"/>
        </w:trPr>
        <w:tc>
          <w:tcPr>
            <w:tcW w:w="61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 ("CTA")</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5"/>
        </w:trPr>
        <w:tc>
          <w:tcPr>
            <w:tcW w:w="6100" w:type="dxa"/>
            <w:vAlign w:val="bottom"/>
          </w:tcPr>
          <w:p>
            <w:pPr>
              <w:ind w:left="220"/>
              <w:spacing w:after="0"/>
              <w:rPr>
                <w:sz w:val="20"/>
                <w:szCs w:val="20"/>
                <w:color w:val="auto"/>
              </w:rPr>
            </w:pPr>
            <w:r>
              <w:rPr>
                <w:rFonts w:ascii="Arial" w:cs="Arial" w:eastAsia="Arial" w:hAnsi="Arial"/>
                <w:sz w:val="16"/>
                <w:szCs w:val="16"/>
                <w:color w:val="auto"/>
              </w:rPr>
              <w:t>Retirement-related benefit plans: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actuarial loss, net of taxes of nil in all periods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100" w:type="dxa"/>
            <w:vAlign w:val="bottom"/>
          </w:tcPr>
          <w:p>
            <w:pPr>
              <w:ind w:left="480"/>
              <w:spacing w:after="0"/>
              <w:rPr>
                <w:sz w:val="20"/>
                <w:szCs w:val="20"/>
                <w:color w:val="auto"/>
              </w:rPr>
            </w:pPr>
            <w:r>
              <w:rPr>
                <w:rFonts w:ascii="Arial" w:cs="Arial" w:eastAsia="Arial" w:hAnsi="Arial"/>
                <w:sz w:val="16"/>
                <w:szCs w:val="16"/>
                <w:color w:val="auto"/>
              </w:rPr>
              <w:t>Amortization of prior service credits, net of taxes of nil in all periods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actuarial losses, net of taxes of nil in all periods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retirement-related benefit plans, net of tax</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480"/>
              <w:spacing w:after="0"/>
              <w:rPr>
                <w:sz w:val="20"/>
                <w:szCs w:val="20"/>
                <w:color w:val="auto"/>
              </w:rPr>
            </w:pPr>
            <w:r>
              <w:rPr>
                <w:rFonts w:ascii="Arial" w:cs="Arial" w:eastAsia="Arial" w:hAnsi="Arial"/>
                <w:sz w:val="16"/>
                <w:szCs w:val="16"/>
                <w:color w:val="auto"/>
              </w:rPr>
              <w:t>Unrealized (losses) gains, net of taxes of nil in all periods</w:t>
            </w:r>
          </w:p>
        </w:tc>
        <w:tc>
          <w:tcPr>
            <w:tcW w:w="26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9,333</w:t>
            </w: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ind w:left="480"/>
              <w:spacing w:after="0" w:line="163" w:lineRule="exact"/>
              <w:rPr>
                <w:sz w:val="20"/>
                <w:szCs w:val="20"/>
                <w:color w:val="auto"/>
              </w:rPr>
            </w:pPr>
            <w:r>
              <w:rPr>
                <w:rFonts w:ascii="Arial" w:cs="Arial" w:eastAsia="Arial" w:hAnsi="Arial"/>
                <w:sz w:val="16"/>
                <w:szCs w:val="16"/>
                <w:color w:val="auto"/>
              </w:rPr>
              <w:t>Reclassification adjustment for realized losses (gains), net of taxes of nil in all</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periods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derivatives, net of tax</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 of other comprehensive loss of equity method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5,037</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(135,553)</w:t>
            </w: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Comprehensive loss (income) attributable to noncontrolling interests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Sabre Corporation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(136,206)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2025</w:t>
            </w:r>
          </w:p>
        </w:tc>
        <w:tc>
          <w:tcPr>
            <w:tcW w:w="180" w:type="dxa"/>
            <w:vAlign w:val="bottom"/>
          </w:tcPr>
          <w:p>
            <w:pPr>
              <w:spacing w:after="0"/>
              <w:rPr>
                <w:sz w:val="15"/>
                <w:szCs w:val="15"/>
                <w:color w:val="auto"/>
              </w:rPr>
            </w:pPr>
          </w:p>
        </w:tc>
        <w:tc>
          <w:tcPr>
            <w:tcW w:w="1460" w:type="dxa"/>
            <w:vAlign w:val="bottom"/>
          </w:tcPr>
          <w:p>
            <w:pPr>
              <w:jc w:val="right"/>
              <w:ind w:right="179"/>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20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724,479</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21,039</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 of allowance for credit losses of $20,799 and $23,557</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286,601</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76,518</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assets held for sale</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54,581</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952,558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1,163,218</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 of accumulated depreciation of $1,695,286 and $1,696,135</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233,785</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22,470</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2,385,144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2,383,380</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Acquired customer relationships, net of accumulated amortization of $787,551 and $777,926</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168,800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177,874</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 of accumulated amortization of $589,396 and $582,725</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137,411</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8,113</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272,876</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assets held for sale</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235,802</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4,419,145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4,634,929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242,992</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105,533</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subscriber incentives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265,065</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56,582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60,200</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186,563</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Current portion of debt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230,214</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liabilities held for sale</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51,207</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946,652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1,141,774</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30,120</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194,520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204,041</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4,997,092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4,834,776</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Long-term liabilities held for sale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13)</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12,928</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line="162" w:lineRule="exact"/>
              <w:rPr>
                <w:sz w:val="20"/>
                <w:szCs w:val="20"/>
                <w:color w:val="auto"/>
              </w:rPr>
            </w:pPr>
            <w:r>
              <w:rPr>
                <w:rFonts w:ascii="Arial" w:cs="Arial" w:eastAsia="Arial" w:hAnsi="Arial"/>
                <w:sz w:val="16"/>
                <w:szCs w:val="16"/>
                <w:color w:val="auto"/>
              </w:rPr>
              <w:t>Common Stock: $0.01 par value; 1,000,000 authorized shares; 426,603 and 414,754 shares issued,</w:t>
            </w:r>
          </w:p>
        </w:tc>
        <w:tc>
          <w:tcPr>
            <w:tcW w:w="2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4,266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4,147</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394,498 and 385,932 shares outstanding at June 30, 2025 and December 31, 2024, respectively</w:t>
            </w:r>
          </w:p>
        </w:tc>
        <w:tc>
          <w:tcPr>
            <w:tcW w:w="2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3,330,719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3,304,466</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Treasury Stock, at cost, 32,105 and 28,822 shares at June 30, 2025 and December 31, 2024, respectively</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(536,762)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(526,789)</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(4,548,181)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(4,327,152)</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(69,803)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(73,747)</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14,376</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deficit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(1,804,310)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(1,604,699)</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4,419,145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4,634,929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79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2024</w:t>
            </w:r>
          </w:p>
        </w:tc>
      </w:tr>
      <w:tr>
        <w:trPr>
          <w:trHeight w:val="198"/>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(220,983)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(140,590)</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cash used in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Payment of previously paid-in-kind interest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(199,938)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37,994</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50,972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54,897</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(6,214)</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Paid-in-kind interest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60,954</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23,364</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upfront incentive consideration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17,073</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12,424</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sale of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1,180</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expected credit losses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5,591</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Dividends received from equity method investments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1,460</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Loss on investment fair value adjustment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and other receivables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(22,727)</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24,752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(11,261)</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Capitalized implementation costs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(7,364)</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Upfront incentive consideration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(4,417)</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(9,811)</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Accrued compensation and related benefits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(59,349)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(42,698)</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other accrued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28,533</w:t>
            </w:r>
          </w:p>
        </w:tc>
      </w:tr>
      <w:tr>
        <w:trPr>
          <w:trHeight w:val="215"/>
        </w:trPr>
        <w:tc>
          <w:tcPr>
            <w:tcW w:w="7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Deferred revenue including upfront solution fees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(30,813)</w:t>
            </w:r>
          </w:p>
        </w:tc>
      </w:tr>
      <w:tr>
        <w:trPr>
          <w:trHeight w:val="210"/>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 used in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(29,856)</w:t>
            </w:r>
          </w:p>
        </w:tc>
      </w:tr>
      <w:tr>
        <w:trPr>
          <w:trHeight w:val="21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to property and equipment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(45,550)</w:t>
            </w: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Proceeds from sale of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9"/>
        </w:trPr>
        <w:tc>
          <w:tcPr>
            <w:tcW w:w="7940" w:type="dxa"/>
            <w:vAlign w:val="bottom"/>
          </w:tcPr>
          <w:p>
            <w:pPr>
              <w:ind w:left="660"/>
              <w:spacing w:after="0"/>
              <w:rPr>
                <w:sz w:val="20"/>
                <w:szCs w:val="20"/>
                <w:color w:val="auto"/>
              </w:rPr>
            </w:pPr>
            <w:r>
              <w:rPr>
                <w:rFonts w:ascii="Arial" w:cs="Arial" w:eastAsia="Arial" w:hAnsi="Arial"/>
                <w:sz w:val="16"/>
                <w:szCs w:val="16"/>
                <w:color w:val="auto"/>
              </w:rPr>
              <w:t>Cash used in investing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(45,850)</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Proceeds on borrowings from lenders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200,090</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borrowings from lenders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(1,224,531)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(193,706)</w:t>
            </w: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Debt prepayment fees and issuance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(49,956)</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borrowings under Securitization Facility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146,300</w:t>
            </w: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Payments on borrowings under Securitization Facility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(42,200)</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payment on the settlement of equity-based awards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w:t>
            </w:r>
          </w:p>
        </w:tc>
      </w:tr>
      <w:tr>
        <w:trPr>
          <w:trHeight w:val="209"/>
        </w:trPr>
        <w:tc>
          <w:tcPr>
            <w:tcW w:w="7940" w:type="dxa"/>
            <w:vAlign w:val="bottom"/>
          </w:tcPr>
          <w:p>
            <w:pPr>
              <w:ind w:left="660"/>
              <w:spacing w:after="0"/>
              <w:rPr>
                <w:sz w:val="20"/>
                <w:szCs w:val="20"/>
                <w:color w:val="auto"/>
              </w:rPr>
            </w:pPr>
            <w:r>
              <w:rPr>
                <w:rFonts w:ascii="Arial" w:cs="Arial" w:eastAsia="Arial" w:hAnsi="Arial"/>
                <w:sz w:val="16"/>
                <w:szCs w:val="16"/>
                <w:color w:val="auto"/>
              </w:rPr>
              <w:t>Cash provided by financing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54,124</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Discontinued Operations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Cash used in operating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(22,616)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(10,103)</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in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w:t>
            </w:r>
          </w:p>
        </w:tc>
      </w:tr>
      <w:tr>
        <w:trPr>
          <w:trHeight w:val="209"/>
        </w:trPr>
        <w:tc>
          <w:tcPr>
            <w:tcW w:w="7940" w:type="dxa"/>
            <w:vAlign w:val="bottom"/>
          </w:tcPr>
          <w:p>
            <w:pPr>
              <w:ind w:left="660"/>
              <w:spacing w:after="0"/>
              <w:rPr>
                <w:sz w:val="20"/>
                <w:szCs w:val="20"/>
                <w:color w:val="auto"/>
              </w:rPr>
            </w:pPr>
            <w:r>
              <w:rPr>
                <w:rFonts w:ascii="Arial" w:cs="Arial" w:eastAsia="Arial" w:hAnsi="Arial"/>
                <w:sz w:val="16"/>
                <w:szCs w:val="16"/>
                <w:color w:val="auto"/>
              </w:rPr>
              <w:t>Cash used in discontinued operations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(12,347)</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(35,592)</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745,518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669,244</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447,143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633,652</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additions to property and equipment for continuing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20"/>
          </w:cols>
          <w:pgMar w:left="320" w:top="949"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type w:val="continuous"/>
        </w:sectPr>
      </w:pPr>
    </w:p>
    <w:bookmarkStart w:id="6" w:name="page7"/>
    <w:bookmarkEnd w:id="6"/>
    <w:p>
      <w:pPr>
        <w:ind w:left="4620"/>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8"/>
          </w:tcPr>
          <w:p>
            <w:pPr>
              <w:ind w:left="20"/>
              <w:spacing w:after="0"/>
              <w:rPr>
                <w:sz w:val="20"/>
                <w:szCs w:val="20"/>
                <w:color w:val="auto"/>
              </w:rPr>
            </w:pPr>
            <w:r>
              <w:rPr>
                <w:rFonts w:ascii="Arial" w:cs="Arial" w:eastAsia="Arial" w:hAnsi="Arial"/>
                <w:sz w:val="9"/>
                <w:szCs w:val="9"/>
                <w:b w:val="1"/>
                <w:bCs w:val="1"/>
                <w:color w:val="auto"/>
              </w:rPr>
              <w:t>Stockholders’ Deficit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right"/>
              <w:spacing w:after="0"/>
              <w:rPr>
                <w:sz w:val="20"/>
                <w:szCs w:val="20"/>
                <w:color w:val="auto"/>
              </w:rPr>
            </w:pPr>
            <w:r>
              <w:rPr>
                <w:rFonts w:ascii="Arial" w:cs="Arial" w:eastAsia="Arial" w:hAnsi="Arial"/>
                <w:sz w:val="9"/>
                <w:szCs w:val="9"/>
                <w:b w:val="1"/>
                <w:bCs w:val="1"/>
                <w:color w:val="auto"/>
              </w:rPr>
              <w:t>Common Stock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7"/>
          </w:tcPr>
          <w:p>
            <w:pPr>
              <w:jc w:val="right"/>
              <w:ind w:right="387"/>
              <w:spacing w:after="0"/>
              <w:rPr>
                <w:sz w:val="20"/>
                <w:szCs w:val="20"/>
                <w:color w:val="auto"/>
              </w:rPr>
            </w:pPr>
            <w:r>
              <w:rPr>
                <w:rFonts w:ascii="Arial" w:cs="Arial" w:eastAsia="Arial" w:hAnsi="Arial"/>
                <w:sz w:val="9"/>
                <w:szCs w:val="9"/>
                <w:b w:val="1"/>
                <w:bCs w:val="1"/>
                <w:color w:val="auto"/>
              </w:rPr>
              <w:t>Treasury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8"/>
              <w:spacing w:after="0"/>
              <w:rPr>
                <w:sz w:val="20"/>
                <w:szCs w:val="20"/>
                <w:color w:val="auto"/>
              </w:rPr>
            </w:pPr>
            <w:r>
              <w:rPr>
                <w:rFonts w:ascii="Arial" w:cs="Arial" w:eastAsia="Arial" w:hAnsi="Arial"/>
                <w:sz w:val="9"/>
                <w:szCs w:val="9"/>
                <w:b w:val="1"/>
                <w:bCs w:val="1"/>
                <w:color w:val="auto"/>
                <w:w w:val="99"/>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3"/>
            <w:vMerge w:val="restart"/>
          </w:tcPr>
          <w:p>
            <w:pPr>
              <w:ind w:left="20"/>
              <w:spacing w:after="0" w:line="95" w:lineRule="exact"/>
              <w:rPr>
                <w:sz w:val="20"/>
                <w:szCs w:val="20"/>
                <w:color w:val="auto"/>
              </w:rPr>
            </w:pPr>
            <w:r>
              <w:rPr>
                <w:rFonts w:ascii="Arial" w:cs="Arial" w:eastAsia="Arial" w:hAnsi="Arial"/>
                <w:sz w:val="9"/>
                <w:szCs w:val="9"/>
                <w:b w:val="1"/>
                <w:bCs w:val="1"/>
                <w:color w:val="auto"/>
              </w:rPr>
              <w:t>Additional</w:t>
            </w: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center"/>
              <w:ind w:right="208"/>
              <w:spacing w:after="0" w:line="95" w:lineRule="exact"/>
              <w:rPr>
                <w:sz w:val="20"/>
                <w:szCs w:val="20"/>
                <w:color w:val="auto"/>
              </w:rPr>
            </w:pPr>
            <w:r>
              <w:rPr>
                <w:rFonts w:ascii="Arial" w:cs="Arial" w:eastAsia="Arial" w:hAnsi="Arial"/>
                <w:sz w:val="9"/>
                <w:szCs w:val="9"/>
                <w:b w:val="1"/>
                <w:bCs w:val="1"/>
                <w:color w:val="auto"/>
                <w:w w:val="99"/>
              </w:rPr>
              <w:t>Other</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w w:val="96"/>
              </w:rPr>
              <w:t>Noncontrolling</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right"/>
              <w:ind w:right="288"/>
              <w:spacing w:after="0"/>
              <w:rPr>
                <w:sz w:val="20"/>
                <w:szCs w:val="20"/>
                <w:color w:val="auto"/>
              </w:rPr>
            </w:pPr>
            <w:r>
              <w:rPr>
                <w:rFonts w:ascii="Arial" w:cs="Arial" w:eastAsia="Arial" w:hAnsi="Arial"/>
                <w:sz w:val="9"/>
                <w:szCs w:val="9"/>
                <w:b w:val="1"/>
                <w:bCs w:val="1"/>
                <w:color w:val="auto"/>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9"/>
                <w:szCs w:val="9"/>
                <w:b w:val="1"/>
                <w:bCs w:val="1"/>
                <w:color w:val="auto"/>
              </w:rPr>
              <w:t>Shares</w:t>
            </w:r>
          </w:p>
        </w:tc>
        <w:tc>
          <w:tcPr>
            <w:tcW w:w="10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26"/>
              <w:spacing w:after="0"/>
              <w:rPr>
                <w:sz w:val="20"/>
                <w:szCs w:val="20"/>
                <w:color w:val="auto"/>
              </w:rPr>
            </w:pPr>
            <w:r>
              <w:rPr>
                <w:rFonts w:ascii="Arial" w:cs="Arial" w:eastAsia="Arial" w:hAnsi="Arial"/>
                <w:sz w:val="9"/>
                <w:szCs w:val="9"/>
                <w:b w:val="1"/>
                <w:bCs w:val="1"/>
                <w:color w:val="auto"/>
              </w:rPr>
              <w:t>Amount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jc w:val="right"/>
              <w:ind w:right="360"/>
              <w:spacing w:after="0" w:line="95" w:lineRule="exact"/>
              <w:rPr>
                <w:sz w:val="20"/>
                <w:szCs w:val="20"/>
                <w:color w:val="auto"/>
              </w:rPr>
            </w:pPr>
            <w:r>
              <w:rPr>
                <w:rFonts w:ascii="Arial" w:cs="Arial" w:eastAsia="Arial" w:hAnsi="Arial"/>
                <w:sz w:val="9"/>
                <w:szCs w:val="9"/>
                <w:b w:val="1"/>
                <w:bCs w:val="1"/>
                <w:color w:val="auto"/>
                <w:w w:val="94"/>
              </w:rPr>
              <w:t>Paid in</w:t>
            </w:r>
          </w:p>
        </w:tc>
        <w:tc>
          <w:tcPr>
            <w:tcW w:w="80" w:type="dxa"/>
            <w:vAlign w:val="bottom"/>
          </w:tcPr>
          <w:p>
            <w:pPr>
              <w:spacing w:after="0"/>
              <w:rPr>
                <w:sz w:val="8"/>
                <w:szCs w:val="8"/>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27"/>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9"/>
                <w:szCs w:val="9"/>
                <w:b w:val="1"/>
                <w:bCs w:val="1"/>
                <w:color w:val="auto"/>
                <w:w w:val="99"/>
              </w:rPr>
              <w:t>Retained Deficit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tcPr>
          <w:p>
            <w:pPr>
              <w:jc w:val="center"/>
              <w:spacing w:after="0" w:line="95" w:lineRule="exact"/>
              <w:rPr>
                <w:sz w:val="20"/>
                <w:szCs w:val="20"/>
                <w:color w:val="auto"/>
              </w:rPr>
            </w:pPr>
            <w:r>
              <w:rPr>
                <w:rFonts w:ascii="Arial" w:cs="Arial" w:eastAsia="Arial" w:hAnsi="Arial"/>
                <w:sz w:val="9"/>
                <w:szCs w:val="9"/>
                <w:b w:val="1"/>
                <w:bCs w:val="1"/>
                <w:color w:val="auto"/>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4"/>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188"/>
              <w:spacing w:after="0"/>
              <w:rPr>
                <w:sz w:val="20"/>
                <w:szCs w:val="20"/>
                <w:color w:val="auto"/>
              </w:rPr>
            </w:pPr>
            <w:r>
              <w:rPr>
                <w:rFonts w:ascii="Arial" w:cs="Arial" w:eastAsia="Arial" w:hAnsi="Arial"/>
                <w:sz w:val="9"/>
                <w:szCs w:val="9"/>
                <w:b w:val="1"/>
                <w:bCs w:val="1"/>
                <w:color w:val="auto"/>
              </w:rPr>
              <w:t>Loss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Interest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9"/>
                <w:szCs w:val="9"/>
                <w:b w:val="1"/>
                <w:bCs w:val="1"/>
                <w:color w:val="auto"/>
                <w:w w:val="99"/>
              </w:rPr>
              <w:t>Stockholders'Deficit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2024</w:t>
            </w:r>
          </w:p>
        </w:tc>
        <w:tc>
          <w:tcPr>
            <w:tcW w:w="820" w:type="dxa"/>
            <w:vAlign w:val="bottom"/>
            <w:gridSpan w:val="4"/>
            <w:shd w:val="clear" w:color="auto" w:fill="CCEEFF"/>
          </w:tcPr>
          <w:p>
            <w:pPr>
              <w:jc w:val="right"/>
              <w:ind w:right="9"/>
              <w:spacing w:after="0"/>
              <w:rPr>
                <w:sz w:val="20"/>
                <w:szCs w:val="20"/>
                <w:color w:val="auto"/>
              </w:rPr>
            </w:pPr>
            <w:r>
              <w:rPr>
                <w:rFonts w:ascii="Arial" w:cs="Arial" w:eastAsia="Arial" w:hAnsi="Arial"/>
                <w:sz w:val="11"/>
                <w:szCs w:val="11"/>
                <w:color w:val="auto"/>
              </w:rPr>
              <w:t>414,753,676</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4,147</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1"/>
                <w:szCs w:val="11"/>
                <w:color w:val="auto"/>
              </w:rPr>
              <w:t>3,304,466</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28,822,484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(526,789)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2"/>
              </w:rPr>
              <w:t>(4,327,152)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(73,747)</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14,376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(1,604,699)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35,335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(1,571)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8"/>
              <w:spacing w:after="0"/>
              <w:rPr>
                <w:sz w:val="20"/>
                <w:szCs w:val="20"/>
                <w:color w:val="auto"/>
              </w:rPr>
            </w:pPr>
            <w:r>
              <w:rPr>
                <w:rFonts w:ascii="Arial" w:cs="Arial" w:eastAsia="Arial" w:hAnsi="Arial"/>
                <w:sz w:val="11"/>
                <w:szCs w:val="11"/>
                <w:color w:val="auto"/>
              </w:rPr>
              <w:t>34,439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20" w:type="dxa"/>
            <w:vAlign w:val="bottom"/>
            <w:tcBorders>
              <w:bottom w:val="single" w:sz="8" w:color="CCEEFF"/>
            </w:tcBorders>
            <w:gridSpan w:val="4"/>
            <w:shd w:val="clear" w:color="auto" w:fill="CCEEFF"/>
          </w:tcPr>
          <w:p>
            <w:pPr>
              <w:jc w:val="right"/>
              <w:ind w:right="9"/>
              <w:spacing w:after="0"/>
              <w:rPr>
                <w:sz w:val="20"/>
                <w:szCs w:val="20"/>
                <w:color w:val="auto"/>
              </w:rPr>
            </w:pPr>
            <w:r>
              <w:rPr>
                <w:rFonts w:ascii="Arial" w:cs="Arial" w:eastAsia="Arial" w:hAnsi="Arial"/>
                <w:sz w:val="11"/>
                <w:szCs w:val="11"/>
                <w:color w:val="auto"/>
              </w:rPr>
              <w:t>2,465,135</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1"/>
                <w:szCs w:val="11"/>
                <w:color w:val="auto"/>
              </w:rPr>
              <w:t>734,400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(2,444)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13,662</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13,662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2025</w:t>
            </w:r>
          </w:p>
        </w:tc>
        <w:tc>
          <w:tcPr>
            <w:tcW w:w="82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1"/>
                <w:szCs w:val="11"/>
                <w:color w:val="auto"/>
              </w:rPr>
              <w:t>417,218,811</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4,172</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1"/>
                <w:szCs w:val="11"/>
                <w:color w:val="auto"/>
              </w:rPr>
              <w:t>3,318,127</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1"/>
                <w:szCs w:val="11"/>
                <w:color w:val="auto"/>
              </w:rPr>
              <w:t>29,556,884</w:t>
            </w: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(529,233)</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2"/>
              </w:rPr>
              <w:t>(4,291,817)</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(75,318)</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15,051</w:t>
            </w: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(1,559,018)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Comprehensive loss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18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160"/>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Arial" w:cs="Arial" w:eastAsia="Arial" w:hAnsi="Arial"/>
                <w:sz w:val="11"/>
                <w:szCs w:val="11"/>
                <w:color w:val="auto"/>
                <w:w w:val="93"/>
              </w:rPr>
              <w:t>(256,364)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Arial" w:cs="Arial" w:eastAsia="Arial" w:hAnsi="Arial"/>
                <w:sz w:val="11"/>
                <w:szCs w:val="11"/>
                <w:color w:val="auto"/>
              </w:rPr>
              <w:t>5,515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Arial" w:cs="Arial" w:eastAsia="Arial" w:hAnsi="Arial"/>
                <w:sz w:val="11"/>
                <w:szCs w:val="11"/>
                <w:color w:val="auto"/>
              </w:rPr>
              <w:t>400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1"/>
                <w:szCs w:val="11"/>
                <w:color w:val="auto"/>
              </w:rPr>
              <w:t>(250,449)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20" w:type="dxa"/>
            <w:vAlign w:val="bottom"/>
            <w:gridSpan w:val="4"/>
            <w:shd w:val="clear" w:color="auto" w:fill="CCEEFF"/>
          </w:tcPr>
          <w:p>
            <w:pPr>
              <w:jc w:val="right"/>
              <w:ind w:right="9"/>
              <w:spacing w:after="0"/>
              <w:rPr>
                <w:sz w:val="20"/>
                <w:szCs w:val="20"/>
                <w:color w:val="auto"/>
              </w:rPr>
            </w:pPr>
            <w:r>
              <w:rPr>
                <w:rFonts w:ascii="Arial" w:cs="Arial" w:eastAsia="Arial" w:hAnsi="Arial"/>
                <w:sz w:val="11"/>
                <w:szCs w:val="11"/>
                <w:color w:val="auto"/>
              </w:rPr>
              <w:t>9,383,719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2,547,751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12,593</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12,593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2025</w:t>
            </w:r>
          </w:p>
        </w:tc>
        <w:tc>
          <w:tcPr>
            <w:tcW w:w="82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1"/>
                <w:szCs w:val="11"/>
                <w:color w:val="auto"/>
              </w:rPr>
              <w:t>426,602,530</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4,266</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1"/>
                <w:szCs w:val="11"/>
                <w:color w:val="auto"/>
              </w:rPr>
              <w:t>3,330,719</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1"/>
                <w:szCs w:val="11"/>
                <w:color w:val="auto"/>
              </w:rPr>
              <w:t>32,104,635</w:t>
            </w: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(536,762)</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2"/>
              </w:rPr>
              <w:t>(4,548,181)</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(69,803)</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15,451</w:t>
            </w: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(1,804,310)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7"/>
          </w:tcPr>
          <w:p>
            <w:pPr>
              <w:ind w:left="20"/>
              <w:spacing w:after="0"/>
              <w:rPr>
                <w:sz w:val="20"/>
                <w:szCs w:val="20"/>
                <w:color w:val="auto"/>
              </w:rPr>
            </w:pPr>
            <w:r>
              <w:rPr>
                <w:rFonts w:ascii="Arial" w:cs="Arial" w:eastAsia="Arial" w:hAnsi="Arial"/>
                <w:sz w:val="9"/>
                <w:szCs w:val="9"/>
                <w:b w:val="1"/>
                <w:bCs w:val="1"/>
                <w:color w:val="auto"/>
                <w:w w:val="98"/>
              </w:rPr>
              <w:t>Stockholders’ Deficit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7"/>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7"/>
          </w:tcPr>
          <w:p>
            <w:pPr>
              <w:jc w:val="center"/>
              <w:ind w:left="29"/>
              <w:spacing w:after="0"/>
              <w:rPr>
                <w:sz w:val="20"/>
                <w:szCs w:val="20"/>
                <w:color w:val="auto"/>
              </w:rPr>
            </w:pPr>
            <w:r>
              <w:rPr>
                <w:rFonts w:ascii="Arial" w:cs="Arial" w:eastAsia="Arial" w:hAnsi="Arial"/>
                <w:sz w:val="9"/>
                <w:szCs w:val="9"/>
                <w:b w:val="1"/>
                <w:bCs w:val="1"/>
                <w:color w:val="auto"/>
                <w:w w:val="99"/>
              </w:rPr>
              <w:t>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7"/>
          </w:tcPr>
          <w:p>
            <w:pPr>
              <w:jc w:val="right"/>
              <w:ind w:right="227"/>
              <w:spacing w:after="0"/>
              <w:rPr>
                <w:sz w:val="20"/>
                <w:szCs w:val="20"/>
                <w:color w:val="auto"/>
              </w:rPr>
            </w:pPr>
            <w:r>
              <w:rPr>
                <w:rFonts w:ascii="Arial" w:cs="Arial" w:eastAsia="Arial" w:hAnsi="Arial"/>
                <w:sz w:val="9"/>
                <w:szCs w:val="9"/>
                <w:b w:val="1"/>
                <w:bCs w:val="1"/>
                <w:color w:val="auto"/>
              </w:rPr>
              <w:t>Treasury 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tcPr>
          <w:p>
            <w:pPr>
              <w:jc w:val="center"/>
              <w:ind w:right="100"/>
              <w:spacing w:after="0"/>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restart"/>
          </w:tcPr>
          <w:p>
            <w:pPr>
              <w:jc w:val="right"/>
              <w:ind w:right="140"/>
              <w:spacing w:after="0" w:line="95" w:lineRule="exact"/>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center"/>
              <w:ind w:left="8"/>
              <w:spacing w:after="0" w:line="95" w:lineRule="exact"/>
              <w:rPr>
                <w:sz w:val="20"/>
                <w:szCs w:val="20"/>
                <w:color w:val="auto"/>
              </w:rPr>
            </w:pPr>
            <w:r>
              <w:rPr>
                <w:rFonts w:ascii="Arial" w:cs="Arial" w:eastAsia="Arial" w:hAnsi="Arial"/>
                <w:sz w:val="9"/>
                <w:szCs w:val="9"/>
                <w:b w:val="1"/>
                <w:bCs w:val="1"/>
                <w:color w:val="auto"/>
                <w:w w:val="99"/>
              </w:rPr>
              <w:t>Other</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5"/>
            <w:vMerge w:val="restart"/>
          </w:tcPr>
          <w:p>
            <w:pPr>
              <w:spacing w:after="0"/>
              <w:rPr>
                <w:sz w:val="20"/>
                <w:szCs w:val="20"/>
                <w:color w:val="auto"/>
              </w:rPr>
            </w:pPr>
            <w:r>
              <w:rPr>
                <w:rFonts w:ascii="Arial" w:cs="Arial" w:eastAsia="Arial" w:hAnsi="Arial"/>
                <w:sz w:val="9"/>
                <w:szCs w:val="9"/>
                <w:b w:val="1"/>
                <w:bCs w:val="1"/>
                <w:color w:val="auto"/>
              </w:rPr>
              <w:t>Noncontrolling</w:t>
            </w:r>
          </w:p>
        </w:tc>
        <w:tc>
          <w:tcPr>
            <w:tcW w:w="80" w:type="dxa"/>
            <w:vAlign w:val="bottom"/>
          </w:tcPr>
          <w:p>
            <w:pPr>
              <w:spacing w:after="0"/>
              <w:rPr>
                <w:sz w:val="4"/>
                <w:szCs w:val="4"/>
                <w:color w:val="auto"/>
              </w:rPr>
            </w:pPr>
          </w:p>
        </w:tc>
        <w:tc>
          <w:tcPr>
            <w:tcW w:w="660" w:type="dxa"/>
            <w:vAlign w:val="bottom"/>
            <w:vMerge w:val="restart"/>
          </w:tcPr>
          <w:p>
            <w:pPr>
              <w:jc w:val="center"/>
              <w:ind w:right="8"/>
              <w:spacing w:after="0" w:line="95" w:lineRule="exact"/>
              <w:rPr>
                <w:sz w:val="20"/>
                <w:szCs w:val="20"/>
                <w:color w:val="auto"/>
              </w:rPr>
            </w:pPr>
            <w:r>
              <w:rPr>
                <w:rFonts w:ascii="Arial" w:cs="Arial" w:eastAsia="Arial" w:hAnsi="Arial"/>
                <w:sz w:val="9"/>
                <w:szCs w:val="9"/>
                <w:b w:val="1"/>
                <w:bCs w:val="1"/>
                <w:color w:val="auto"/>
                <w:w w:val="92"/>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tcPr>
          <w:p>
            <w:pPr>
              <w:jc w:val="right"/>
              <w:ind w:right="220"/>
              <w:spacing w:after="0" w:line="90" w:lineRule="exact"/>
              <w:rPr>
                <w:sz w:val="20"/>
                <w:szCs w:val="20"/>
                <w:color w:val="auto"/>
              </w:rPr>
            </w:pPr>
            <w:r>
              <w:rPr>
                <w:rFonts w:ascii="Arial" w:cs="Arial" w:eastAsia="Arial" w:hAnsi="Arial"/>
                <w:sz w:val="9"/>
                <w:szCs w:val="9"/>
                <w:b w:val="1"/>
                <w:bCs w:val="1"/>
                <w:color w:val="auto"/>
              </w:rPr>
              <w:t>Paid in</w:t>
            </w:r>
          </w:p>
        </w:tc>
        <w:tc>
          <w:tcPr>
            <w:tcW w:w="80" w:type="dxa"/>
            <w:vAlign w:val="bottom"/>
          </w:tcPr>
          <w:p>
            <w:pPr>
              <w:spacing w:after="0"/>
              <w:rPr>
                <w:sz w:val="7"/>
                <w:szCs w:val="7"/>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5"/>
            <w:vMerge w:val="restart"/>
          </w:tcPr>
          <w:p>
            <w:pPr>
              <w:ind w:left="20"/>
              <w:spacing w:after="0"/>
              <w:rPr>
                <w:sz w:val="20"/>
                <w:szCs w:val="20"/>
                <w:color w:val="auto"/>
              </w:rPr>
            </w:pPr>
            <w:r>
              <w:rPr>
                <w:rFonts w:ascii="Arial" w:cs="Arial" w:eastAsia="Arial" w:hAnsi="Arial"/>
                <w:sz w:val="9"/>
                <w:szCs w:val="9"/>
                <w:b w:val="1"/>
                <w:bCs w:val="1"/>
                <w:color w:val="auto"/>
              </w:rPr>
              <w:t>Retained Deficit</w:t>
            </w:r>
          </w:p>
        </w:tc>
        <w:tc>
          <w:tcPr>
            <w:tcW w:w="80" w:type="dxa"/>
            <w:vAlign w:val="bottom"/>
          </w:tcPr>
          <w:p>
            <w:pPr>
              <w:spacing w:after="0"/>
              <w:rPr>
                <w:sz w:val="7"/>
                <w:szCs w:val="7"/>
                <w:color w:val="auto"/>
              </w:rPr>
            </w:pPr>
          </w:p>
        </w:tc>
        <w:tc>
          <w:tcPr>
            <w:tcW w:w="820" w:type="dxa"/>
            <w:vAlign w:val="bottom"/>
            <w:gridSpan w:val="5"/>
          </w:tcPr>
          <w:p>
            <w:pPr>
              <w:jc w:val="center"/>
              <w:spacing w:after="0" w:line="90" w:lineRule="exact"/>
              <w:rPr>
                <w:sz w:val="20"/>
                <w:szCs w:val="20"/>
                <w:color w:val="auto"/>
              </w:rPr>
            </w:pPr>
            <w:r>
              <w:rPr>
                <w:rFonts w:ascii="Arial" w:cs="Arial" w:eastAsia="Arial" w:hAnsi="Arial"/>
                <w:sz w:val="9"/>
                <w:szCs w:val="9"/>
                <w:b w:val="1"/>
                <w:bCs w:val="1"/>
                <w:color w:val="auto"/>
                <w:w w:val="97"/>
              </w:rPr>
              <w:t>Comprehensive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ind w:right="8"/>
              <w:spacing w:after="0" w:line="90" w:lineRule="exact"/>
              <w:rPr>
                <w:sz w:val="20"/>
                <w:szCs w:val="20"/>
                <w:color w:val="auto"/>
              </w:rPr>
            </w:pPr>
            <w:r>
              <w:rPr>
                <w:rFonts w:ascii="Arial" w:cs="Arial" w:eastAsia="Arial" w:hAnsi="Arial"/>
                <w:sz w:val="9"/>
                <w:szCs w:val="9"/>
                <w:b w:val="1"/>
                <w:bCs w:val="1"/>
                <w:color w:val="auto"/>
              </w:rPr>
              <w:t>Stockholders'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rPr>
              <w:t>Capital</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left="28"/>
              <w:spacing w:after="0"/>
              <w:rPr>
                <w:sz w:val="20"/>
                <w:szCs w:val="20"/>
                <w:color w:val="auto"/>
              </w:rPr>
            </w:pPr>
            <w:r>
              <w:rPr>
                <w:rFonts w:ascii="Arial" w:cs="Arial" w:eastAsia="Arial" w:hAnsi="Arial"/>
                <w:sz w:val="9"/>
                <w:szCs w:val="9"/>
                <w:b w:val="1"/>
                <w:bCs w:val="1"/>
                <w:color w:val="auto"/>
              </w:rPr>
              <w:t>Loss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Interest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8"/>
              <w:spacing w:after="0"/>
              <w:rPr>
                <w:sz w:val="20"/>
                <w:szCs w:val="20"/>
                <w:color w:val="auto"/>
              </w:rPr>
            </w:pPr>
            <w:r>
              <w:rPr>
                <w:rFonts w:ascii="Arial" w:cs="Arial" w:eastAsia="Arial" w:hAnsi="Arial"/>
                <w:sz w:val="9"/>
                <w:szCs w:val="9"/>
                <w:b w:val="1"/>
                <w:bCs w:val="1"/>
                <w:color w:val="auto"/>
              </w:rPr>
              <w:t>Deficit</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2023</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405,914,663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4,059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3,249,901</w:t>
            </w:r>
          </w:p>
        </w:tc>
        <w:tc>
          <w:tcPr>
            <w:tcW w:w="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26,345,684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(520,124)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(4,048,393)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(73,922)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15"/>
              <w:spacing w:after="0"/>
              <w:rPr>
                <w:sz w:val="20"/>
                <w:szCs w:val="20"/>
                <w:color w:val="auto"/>
              </w:rPr>
            </w:pPr>
            <w:r>
              <w:rPr>
                <w:rFonts w:ascii="Arial" w:cs="Arial" w:eastAsia="Arial" w:hAnsi="Arial"/>
                <w:sz w:val="11"/>
                <w:szCs w:val="11"/>
                <w:color w:val="auto"/>
              </w:rPr>
              <w:t>12,660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(1,375,819)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4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(71,483)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1"/>
                <w:szCs w:val="11"/>
                <w:color w:val="auto"/>
              </w:rPr>
              <w:t>4,206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15"/>
              <w:spacing w:after="0"/>
              <w:rPr>
                <w:sz w:val="20"/>
                <w:szCs w:val="20"/>
                <w:color w:val="auto"/>
              </w:rPr>
            </w:pPr>
            <w:r>
              <w:rPr>
                <w:rFonts w:ascii="Arial" w:cs="Arial" w:eastAsia="Arial" w:hAnsi="Arial"/>
                <w:sz w:val="11"/>
                <w:szCs w:val="11"/>
                <w:color w:val="auto"/>
              </w:rPr>
              <w:t>923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(66,354)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3,062,998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1,021,755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(2,078)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13,905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13,905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2024</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408,977,661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4,090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3,263,805</w:t>
            </w:r>
          </w:p>
        </w:tc>
        <w:tc>
          <w:tcPr>
            <w:tcW w:w="4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27,367,439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(522,202)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(4,119,876)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(69,716)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15"/>
              <w:spacing w:after="0"/>
              <w:rPr>
                <w:sz w:val="20"/>
                <w:szCs w:val="20"/>
                <w:color w:val="auto"/>
              </w:rPr>
            </w:pPr>
            <w:r>
              <w:rPr>
                <w:rFonts w:ascii="Arial" w:cs="Arial" w:eastAsia="Arial" w:hAnsi="Arial"/>
                <w:sz w:val="11"/>
                <w:szCs w:val="11"/>
                <w:color w:val="auto"/>
              </w:rPr>
              <w:t>13,583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(1,430,316)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Comprehensive loss</w:t>
            </w: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right"/>
              <w:ind w:right="20"/>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3"/>
          </w:tcPr>
          <w:p>
            <w:pPr>
              <w:jc w:val="right"/>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4"/>
          </w:tcPr>
          <w:p>
            <w:pPr>
              <w:jc w:val="right"/>
              <w:ind w:right="140"/>
              <w:spacing w:after="0" w:line="116"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0"/>
                <w:szCs w:val="10"/>
                <w:color w:val="auto"/>
              </w:rPr>
            </w:pPr>
          </w:p>
        </w:tc>
        <w:tc>
          <w:tcPr>
            <w:tcW w:w="660" w:type="dxa"/>
            <w:vAlign w:val="bottom"/>
            <w:gridSpan w:val="4"/>
          </w:tcPr>
          <w:p>
            <w:pPr>
              <w:jc w:val="right"/>
              <w:spacing w:after="0" w:line="116" w:lineRule="exact"/>
              <w:rPr>
                <w:sz w:val="20"/>
                <w:szCs w:val="20"/>
                <w:color w:val="auto"/>
              </w:rPr>
            </w:pPr>
            <w:r>
              <w:rPr>
                <w:rFonts w:ascii="Arial" w:cs="Arial" w:eastAsia="Arial" w:hAnsi="Arial"/>
                <w:sz w:val="11"/>
                <w:szCs w:val="11"/>
                <w:color w:val="auto"/>
              </w:rPr>
              <w:t>(69,760)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4"/>
          </w:tcPr>
          <w:p>
            <w:pPr>
              <w:jc w:val="right"/>
              <w:ind w:right="60"/>
              <w:spacing w:after="0" w:line="116" w:lineRule="exact"/>
              <w:rPr>
                <w:sz w:val="20"/>
                <w:szCs w:val="20"/>
                <w:color w:val="auto"/>
              </w:rPr>
            </w:pPr>
            <w:r>
              <w:rPr>
                <w:rFonts w:ascii="Arial" w:cs="Arial" w:eastAsia="Arial" w:hAnsi="Arial"/>
                <w:sz w:val="11"/>
                <w:szCs w:val="11"/>
                <w:color w:val="auto"/>
              </w:rPr>
              <w:t>833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4"/>
          </w:tcPr>
          <w:p>
            <w:pPr>
              <w:jc w:val="right"/>
              <w:ind w:right="15"/>
              <w:spacing w:after="0" w:line="116" w:lineRule="exact"/>
              <w:rPr>
                <w:sz w:val="20"/>
                <w:szCs w:val="20"/>
                <w:color w:val="auto"/>
              </w:rPr>
            </w:pPr>
            <w:r>
              <w:rPr>
                <w:rFonts w:ascii="Arial" w:cs="Arial" w:eastAsia="Arial" w:hAnsi="Arial"/>
                <w:sz w:val="11"/>
                <w:szCs w:val="11"/>
                <w:color w:val="auto"/>
              </w:rPr>
              <w:t>691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1"/>
                <w:szCs w:val="11"/>
                <w:color w:val="auto"/>
              </w:rPr>
              <w:t>(68,236)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9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5,427,133</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(3)</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1,374,482</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(4,322)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(4,271)</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12,230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gridSpan w:val="3"/>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12,230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2024</w:t>
            </w:r>
          </w:p>
        </w:tc>
        <w:tc>
          <w:tcPr>
            <w:tcW w:w="920" w:type="dxa"/>
            <w:vAlign w:val="bottom"/>
            <w:gridSpan w:val="5"/>
          </w:tcPr>
          <w:p>
            <w:pPr>
              <w:jc w:val="right"/>
              <w:ind w:right="20"/>
              <w:spacing w:after="0"/>
              <w:rPr>
                <w:sz w:val="20"/>
                <w:szCs w:val="20"/>
                <w:color w:val="auto"/>
              </w:rPr>
            </w:pPr>
            <w:r>
              <w:rPr>
                <w:rFonts w:ascii="Arial" w:cs="Arial" w:eastAsia="Arial" w:hAnsi="Arial"/>
                <w:sz w:val="11"/>
                <w:szCs w:val="11"/>
                <w:color w:val="auto"/>
              </w:rPr>
              <w:t>414,404,794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28"/>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4,144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3,276,032</w:t>
            </w:r>
          </w:p>
        </w:tc>
        <w:tc>
          <w:tcPr>
            <w:tcW w:w="4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28,741,921</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(526,524)</w:t>
            </w:r>
          </w:p>
        </w:tc>
        <w:tc>
          <w:tcPr>
            <w:tcW w:w="8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(4,189,636)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1"/>
                <w:szCs w:val="11"/>
                <w:color w:val="auto"/>
              </w:rPr>
              <w:t>(68,885)</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tcPr>
          <w:p>
            <w:pPr>
              <w:jc w:val="right"/>
              <w:ind w:right="15"/>
              <w:spacing w:after="0"/>
              <w:rPr>
                <w:sz w:val="20"/>
                <w:szCs w:val="20"/>
                <w:color w:val="auto"/>
              </w:rPr>
            </w:pPr>
            <w:r>
              <w:rPr>
                <w:rFonts w:ascii="Arial" w:cs="Arial" w:eastAsia="Arial" w:hAnsi="Arial"/>
                <w:sz w:val="11"/>
                <w:szCs w:val="11"/>
                <w:color w:val="auto"/>
              </w:rPr>
              <w:t>14,274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(1,490,595)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030" w:right="7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General Information</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Recent Events—</w:t>
      </w:r>
      <w:r>
        <w:rPr>
          <w:rFonts w:ascii="Arial" w:cs="Arial" w:eastAsia="Arial" w:hAnsi="Arial"/>
          <w:sz w:val="16"/>
          <w:szCs w:val="16"/>
          <w:color w:val="auto"/>
        </w:rPr>
        <w:t>On April 27, 2025, we entered into a definitive purchase agreement with an affiliate of TPG (the “Buyer”) pursuant to which the Buyer</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purchase our Hospitality Solutions business, and on July 3, 2025, we closed the sale (the “Hospitality Solutions Sale”). The assets and liabilities associated with the Hospitality Solutions business are presented as held for sale on our consolidated balance sheets as of June 30, 2025 and December 31, 2024, and the operating results of our Hospitality Solutions business are presented as discontinued operations on our consolidated statements of operations for all periods presented. See Note 3. Discontinued Operations and Dispositions for further details.</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Segments—</w:t>
      </w:r>
      <w:r>
        <w:rPr>
          <w:rFonts w:ascii="Arial" w:cs="Arial" w:eastAsia="Arial" w:hAnsi="Arial"/>
          <w:sz w:val="16"/>
          <w:szCs w:val="16"/>
          <w:color w:val="auto"/>
        </w:rPr>
        <w:t>As a result of the Hospitality Solutions Sale, we now manage and report our business in one reportable segment. Operating segments</w:t>
      </w:r>
      <w:r>
        <w:rPr>
          <w:rFonts w:ascii="Arial" w:cs="Arial" w:eastAsia="Arial" w:hAnsi="Arial"/>
          <w:sz w:val="16"/>
          <w:szCs w:val="16"/>
          <w:i w:val="1"/>
          <w:iCs w:val="1"/>
          <w:color w:val="auto"/>
        </w:rPr>
        <w:t xml:space="preserve"> </w:t>
      </w:r>
      <w:r>
        <w:rPr>
          <w:rFonts w:ascii="Arial" w:cs="Arial" w:eastAsia="Arial" w:hAnsi="Arial"/>
          <w:sz w:val="16"/>
          <w:szCs w:val="16"/>
          <w:color w:val="auto"/>
        </w:rPr>
        <w:t>are defined as components of an enterprise for which separate financial information is evaluated regularly by the chief operating decision maker (“CODM”), who is our Chief Executive Officer and President, in deciding how to allocate resources and assess performance. Our CODM reviews financial information presented on a consolidated basis to monitor budget versus actual results for purposes of allocating resources and evaluating financial performance. Our measure of segment profit and loss is net income (loss), as reported on our consolidated statements of operations. Our significant segment expenses, which are the expenses included in operating income, and other segment items, which includes other income (expense) and benefit from (provision for) income taxes, are included in our consolidated statements of operations. Total assets as presented on our consolidated balance sheets represent total assets considered by our CODM for any relevant operating evaluations.</w:t>
      </w:r>
    </w:p>
    <w:p>
      <w:pPr>
        <w:spacing w:after="0" w:line="7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i w:val="1"/>
          <w:iCs w:val="1"/>
          <w:color w:val="auto"/>
        </w:rPr>
        <w:t>Basis of Presentation—</w:t>
      </w:r>
      <w:r>
        <w:rPr>
          <w:rFonts w:ascii="Arial" w:cs="Arial" w:eastAsia="Arial" w:hAnsi="Arial"/>
          <w:sz w:val="16"/>
          <w:szCs w:val="16"/>
          <w:color w:val="auto"/>
        </w:rPr>
        <w:t>The accompanying unaudited consolidated financial statements have been prepared in accordance with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principles in the United States (“GAAP”) for interim financial information. Accordingly, they do not include all of the information and footnotes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Operating results for the three and six months ended June 30, 2025 are not necessarily indicative of results that may be expected for any other interim period or for the year ending December 31, 2025. The accompanying interim financial statements should be read in conjunction with the consolidated financial statements and related notes thereto included in our Annual Report on Form 10-K filed with the SEC on February 20, 2025.</w:t>
      </w:r>
    </w:p>
    <w:p>
      <w:pPr>
        <w:spacing w:after="0" w:line="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consolidate all majority-owned subsidiaries and companies over which we exercise control through majority voting rights. No entities are consolidated due to control through operating agreements, financing agreements or as the primary beneficiary of a variable interest entity.</w:t>
      </w:r>
    </w:p>
    <w:p>
      <w:pPr>
        <w:spacing w:after="0" w:line="6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these interim financial statements in conformity with GAAP requires that certain amounts be recorded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made by management. Actual results could differ from these estimates and assumptions. Our accounting policies that utilize significant estimates and assumptions include: (i) estimation for revenue recognition and multiple performance obligation arrangements, (ii) the evaluation of the recoverability of the carrying value of intangible assets and goodwill, (iii) the evaluation of uncertainties surrounding the calculation of our tax assets and liabilities, and (iv) estimation of loss contingencies. Our use of estimates and the related accounting policies are discussed in the consolidated financial statements and related notes thereto included in our Annual Report on Form 10-K filed with the SEC on February 20, 2025.</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December 2023, the Financial Accounting Standards Board ("FASB") issued updated guidance to enhance the transparency and decision usefulness of income tax disclosures through improvements primarily related to the rate reconciliation and income taxes paid information. The updated standard is effective for public companies for fiscal years beginning after December 15, 2024, with early adoption permitted. We are currently evaluating the impact of this standard on our consolidated financial statement disclosures.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 w:name="page9"/>
    <w:bookmarkEnd w:id="8"/>
    <w:p>
      <w:pPr>
        <w:jc w:val="both"/>
        <w:ind w:firstLine="486"/>
        <w:spacing w:after="0" w:line="265" w:lineRule="auto"/>
        <w:rPr>
          <w:sz w:val="20"/>
          <w:szCs w:val="20"/>
          <w:color w:val="auto"/>
        </w:rPr>
      </w:pPr>
      <w:r>
        <w:rPr>
          <w:rFonts w:ascii="Arial" w:cs="Arial" w:eastAsia="Arial" w:hAnsi="Arial"/>
          <w:sz w:val="16"/>
          <w:szCs w:val="16"/>
          <w:color w:val="auto"/>
        </w:rPr>
        <w:t>In November 2024, the FASB issued guidance regarding disaggregation of income statement expenses, which requires additional disclosure of certain costs and expenses within the notes to the financial statements. The standard is effective for public companies for fiscal years beginning after December 15, 2026, and interim periods within fiscal years beginning after December 15, 2027, with early adoption permitted. We are currently evaluating the impact that this standard will have on our consolidated financial statement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from Contracts with Customers</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Revenue recognition for a significant portion of our revenue coincides with normal billing terms, including our transactional revenues, Software-as-a-Service (“SaaS”) revenues, and hosted revenues. Timing differences among revenue recognition, unconditional rights to bill, and receipt of contract consideration may result in contract assets or contract liabilities.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assets and liabilities with customers as of June 30, 2025 and December 31, 2024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gridSpan w:val="2"/>
          </w:tcPr>
          <w:p>
            <w:pPr>
              <w:ind w:left="20"/>
              <w:spacing w:after="0"/>
              <w:rPr>
                <w:sz w:val="20"/>
                <w:szCs w:val="20"/>
                <w:color w:val="auto"/>
              </w:rPr>
            </w:pPr>
            <w:r>
              <w:rPr>
                <w:rFonts w:ascii="Arial" w:cs="Arial" w:eastAsia="Arial" w:hAnsi="Arial"/>
                <w:sz w:val="13"/>
                <w:szCs w:val="13"/>
                <w:b w:val="1"/>
                <w:bCs w:val="1"/>
                <w:color w:val="auto"/>
              </w:rPr>
              <w:t>Account</w:t>
            </w:r>
          </w:p>
        </w:tc>
        <w:tc>
          <w:tcPr>
            <w:tcW w:w="406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2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2025</w:t>
            </w:r>
          </w:p>
        </w:tc>
        <w:tc>
          <w:tcPr>
            <w:tcW w:w="18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60"/>
        </w:trPr>
        <w:tc>
          <w:tcPr>
            <w:tcW w:w="3700" w:type="dxa"/>
            <w:vAlign w:val="bottom"/>
            <w:tcBorders>
              <w:top w:val="single" w:sz="8" w:color="auto"/>
            </w:tcBorders>
            <w:shd w:val="clear" w:color="auto" w:fill="CCEEFF"/>
          </w:tcPr>
          <w:p>
            <w:pPr>
              <w:ind w:left="20"/>
              <w:spacing w:after="0" w:line="160" w:lineRule="exact"/>
              <w:rPr>
                <w:sz w:val="20"/>
                <w:szCs w:val="20"/>
                <w:color w:val="auto"/>
              </w:rPr>
            </w:pPr>
            <w:r>
              <w:rPr>
                <w:rFonts w:ascii="Arial" w:cs="Arial" w:eastAsia="Arial" w:hAnsi="Arial"/>
                <w:sz w:val="16"/>
                <w:szCs w:val="16"/>
                <w:color w:val="auto"/>
              </w:rPr>
              <w:t>Contract assets and customer advances and</w:t>
            </w:r>
          </w:p>
        </w:tc>
        <w:tc>
          <w:tcPr>
            <w:tcW w:w="10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auto"/>
            </w:tcBorders>
            <w:shd w:val="clear" w:color="auto" w:fill="CCEEFF"/>
          </w:tcPr>
          <w:p>
            <w:pPr>
              <w:ind w:left="20"/>
              <w:spacing w:after="0" w:line="160" w:lineRule="exact"/>
              <w:rPr>
                <w:sz w:val="20"/>
                <w:szCs w:val="20"/>
                <w:color w:val="auto"/>
              </w:rPr>
            </w:pPr>
            <w:r>
              <w:rPr>
                <w:rFonts w:ascii="Arial" w:cs="Arial" w:eastAsia="Arial" w:hAnsi="Arial"/>
                <w:sz w:val="16"/>
                <w:szCs w:val="16"/>
                <w:color w:val="auto"/>
              </w:rPr>
              <w:t>Prepaid expenses and other current assets / other</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20,342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28,112</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discounts</w:t>
            </w:r>
            <w:r>
              <w:rPr>
                <w:rFonts w:ascii="Arial" w:cs="Arial" w:eastAsia="Arial" w:hAnsi="Arial"/>
                <w:sz w:val="21"/>
                <w:szCs w:val="21"/>
                <w:color w:val="auto"/>
                <w:vertAlign w:val="superscript"/>
              </w:rPr>
              <w:t>(1)</w:t>
            </w: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net</w:t>
            </w:r>
          </w:p>
        </w:tc>
        <w:tc>
          <w:tcPr>
            <w:tcW w:w="2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Trade and unbilled receivables, net</w:t>
            </w:r>
          </w:p>
        </w:tc>
        <w:tc>
          <w:tcPr>
            <w:tcW w:w="406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325,224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282,173</w:t>
            </w:r>
          </w:p>
        </w:tc>
        <w:tc>
          <w:tcPr>
            <w:tcW w:w="0" w:type="dxa"/>
            <w:vAlign w:val="bottom"/>
          </w:tcPr>
          <w:p>
            <w:pPr>
              <w:spacing w:after="0"/>
              <w:rPr>
                <w:sz w:val="1"/>
                <w:szCs w:val="1"/>
                <w:color w:val="auto"/>
              </w:rPr>
            </w:pPr>
          </w:p>
        </w:tc>
      </w:tr>
      <w:tr>
        <w:trPr>
          <w:trHeight w:val="21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trade unbilled receivables, net</w:t>
            </w: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20,531</w:t>
            </w: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p>
        </w:tc>
        <w:tc>
          <w:tcPr>
            <w:tcW w:w="4060" w:type="dxa"/>
            <w:vAlign w:val="bottom"/>
            <w:gridSpan w:val="2"/>
          </w:tcPr>
          <w:p>
            <w:pPr>
              <w:ind w:left="20"/>
              <w:spacing w:after="0"/>
              <w:rPr>
                <w:sz w:val="20"/>
                <w:szCs w:val="20"/>
                <w:color w:val="auto"/>
              </w:rPr>
            </w:pPr>
            <w:r>
              <w:rPr>
                <w:rFonts w:ascii="Arial" w:cs="Arial" w:eastAsia="Arial" w:hAnsi="Arial"/>
                <w:sz w:val="16"/>
                <w:szCs w:val="16"/>
                <w:color w:val="auto"/>
              </w:rPr>
              <w:t>Deferred revenues / other noncurrent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107,867</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90"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contract assets of $5 million and $8 million for June 30, 2025 and December 31, 2024, respectively.</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six months ended June 30, 2025, we recognized revenue of approximately $13 million from contract liabilities that existed as of January 1,</w:t>
      </w:r>
    </w:p>
    <w:p>
      <w:pPr>
        <w:spacing w:after="0" w:line="2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2025. Our long-term trade unbilled receivables, net relate to fixed license fees billed over the contractual period and recognized when the customer gains control of the software. We evaluate collectability of our accounts receivable based on a combination of factors and record reserves as described further in Note 6. Credit Losses.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disaggregated revenues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Pr>
          <w:p>
            <w:pPr>
              <w:spacing w:after="0"/>
              <w:rPr>
                <w:sz w:val="15"/>
                <w:szCs w:val="15"/>
                <w:color w:val="auto"/>
              </w:rPr>
            </w:pPr>
          </w:p>
        </w:tc>
        <w:tc>
          <w:tcPr>
            <w:tcW w:w="2660" w:type="dxa"/>
            <w:vAlign w:val="bottom"/>
            <w:gridSpan w:val="4"/>
          </w:tcPr>
          <w:p>
            <w:pPr>
              <w:jc w:val="right"/>
              <w:ind w:right="604"/>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51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2024</w:t>
            </w: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545,766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550,594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1,114,881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1,122,852</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IT Solutions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141,383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144,456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274,394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285,831</w:t>
            </w: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Sabre Revenue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687,149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695,050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1,389,275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1,408,683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six months ended June 30, 2025, the impact on revenue recognized in the current period from performance obligations partially or fully satisfied in the previous period is immaterial.</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air booking cancellation reserve totaled $15 million and $11 million as of June 30, 2025, and December 31, 2024, respectively.</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Discontinued Operations and Dispositions</w:t>
      </w:r>
    </w:p>
    <w:p>
      <w:pPr>
        <w:spacing w:after="0" w:line="12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On April 27, 2025, we entered into a definitive purchase agreement with the Buyer pursuant to which the Buyer agreed to purchase our Hospitality Solutions business, and on July 3, 2025, we closed the transaction for estimated cash proceeds of $960 million to $980 million, net. Estimated cash proceeds are net of estimated taxes and fees, cash acquired by the Buyer and customary closing adjustments. We expect to recognize a gain on sale in the third quarter of 2025, which we are currently in the process of estimating. The assets and liabilities associated with the Hospitality Solutions business are presented as held for sale on our consolidated balance sheets as of June 30, 2025 and December 31, 2024, and the operating results of our Hospitality Solutions business are presented as discontinued operations in our consolidated statements of operations for all periods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color w:val="auto"/>
        </w:rPr>
        <w:t>presented. The presentation of discontinued operations excludes general corporate overhead and other costs that do not meet the requirements to be presented as discontinued operations.</w:t>
      </w:r>
    </w:p>
    <w:p>
      <w:pPr>
        <w:spacing w:after="0" w:line="6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connection with the closing of the Hospitality Solutions Sale, we entered into transition services agreements with the Buyer, under which we will provide transition services consisting of technology, employment, administrative and other services for up to an eighteen month period to help provide for an orderly transition and facilitate the ongoing operations of the Hospitality Solutions business following the close. Consideration received under the agreements is primarily based on actual costs incurred for each service provided. Additionally, at the time of sale, Hospitality Solutions entered into a long-term agreement with us to continue to utilize our GDS for bookings which generates revenue for us.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major categories of income from discontinued operations related to the Hospitality Solutions business (in thousands):</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June 30,</w:t>
            </w:r>
          </w:p>
        </w:tc>
        <w:tc>
          <w:tcPr>
            <w:tcW w:w="300" w:type="dxa"/>
            <w:vAlign w:val="bottom"/>
          </w:tcPr>
          <w:p>
            <w:pPr>
              <w:spacing w:after="0"/>
              <w:rPr>
                <w:sz w:val="15"/>
                <w:szCs w:val="15"/>
                <w:color w:val="auto"/>
              </w:rPr>
            </w:pPr>
          </w:p>
        </w:tc>
        <w:tc>
          <w:tcPr>
            <w:tcW w:w="2360" w:type="dxa"/>
            <w:vAlign w:val="bottom"/>
            <w:gridSpan w:val="4"/>
          </w:tcPr>
          <w:p>
            <w:pPr>
              <w:jc w:val="right"/>
              <w:ind w:right="441"/>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52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2024</w:t>
            </w: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83,238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172,211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162,056</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39,187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83,410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77,137</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41,991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40,925</w:t>
            </w:r>
          </w:p>
        </w:tc>
      </w:tr>
      <w:tr>
        <w:trPr>
          <w:trHeight w:val="21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11,699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26,986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22,972</w:t>
            </w:r>
          </w:p>
        </w:tc>
      </w:tr>
      <w:tr>
        <w:trPr>
          <w:trHeight w:val="210"/>
        </w:trPr>
        <w:tc>
          <w:tcPr>
            <w:tcW w:w="5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19,824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21,022</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(25,731)</w:t>
            </w:r>
          </w:p>
        </w:tc>
      </w:tr>
      <w:tr>
        <w:trPr>
          <w:trHeight w:val="215"/>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3,689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(26,422)</w:t>
            </w:r>
          </w:p>
        </w:tc>
      </w:tr>
      <w:tr>
        <w:trPr>
          <w:trHeight w:val="209"/>
        </w:trPr>
        <w:tc>
          <w:tcPr>
            <w:tcW w:w="5260" w:type="dxa"/>
            <w:vAlign w:val="bottom"/>
          </w:tcPr>
          <w:p>
            <w:pPr>
              <w:ind w:left="20"/>
              <w:spacing w:after="0"/>
              <w:rPr>
                <w:sz w:val="20"/>
                <w:szCs w:val="20"/>
                <w:color w:val="auto"/>
              </w:rPr>
            </w:pPr>
            <w:r>
              <w:rPr>
                <w:rFonts w:ascii="Arial" w:cs="Arial" w:eastAsia="Arial" w:hAnsi="Arial"/>
                <w:sz w:val="16"/>
                <w:szCs w:val="16"/>
                <w:color w:val="auto"/>
              </w:rPr>
              <w:t>Loss from discontinuing operations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(5,400)</w:t>
            </w:r>
          </w:p>
        </w:tc>
      </w:tr>
      <w:tr>
        <w:trPr>
          <w:trHeight w:val="217"/>
        </w:trPr>
        <w:tc>
          <w:tcPr>
            <w:tcW w:w="52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Provision (benefit) for income taxes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r>
      <w:tr>
        <w:trPr>
          <w:trHeight w:val="209"/>
        </w:trPr>
        <w:tc>
          <w:tcPr>
            <w:tcW w:w="5260" w:type="dxa"/>
            <w:vAlign w:val="bottom"/>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(55,514)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(3,769)</w:t>
            </w:r>
          </w:p>
        </w:tc>
      </w:tr>
      <w:tr>
        <w:trPr>
          <w:trHeight w:val="21"/>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______________________</w:t>
      </w:r>
    </w:p>
    <w:p>
      <w:pPr>
        <w:spacing w:after="0" w:line="242" w:lineRule="exact"/>
        <w:rPr>
          <w:sz w:val="20"/>
          <w:szCs w:val="20"/>
          <w:color w:val="auto"/>
        </w:rPr>
      </w:pPr>
    </w:p>
    <w:p>
      <w:pPr>
        <w:ind w:left="480" w:hanging="148"/>
        <w:spacing w:after="0"/>
        <w:tabs>
          <w:tab w:leader="none" w:pos="480" w:val="left"/>
        </w:tabs>
        <w:numPr>
          <w:ilvl w:val="0"/>
          <w:numId w:val="4"/>
        </w:numPr>
        <w:rPr>
          <w:rFonts w:ascii="Arial" w:cs="Arial" w:eastAsia="Arial" w:hAnsi="Arial"/>
          <w:sz w:val="9"/>
          <w:szCs w:val="9"/>
          <w:color w:val="auto"/>
        </w:rPr>
      </w:pPr>
      <w:r>
        <w:rPr>
          <w:rFonts w:ascii="Arial" w:cs="Arial" w:eastAsia="Arial" w:hAnsi="Arial"/>
          <w:sz w:val="14"/>
          <w:szCs w:val="14"/>
          <w:color w:val="auto"/>
        </w:rPr>
        <w:t>We used an intra-period tax allocation to allocate the provision for income taxes for all periods presented between continuing operations and discontinued operations.</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33" w:lineRule="exact"/>
        <w:rPr>
          <w:rFonts w:ascii="Arial" w:cs="Arial" w:eastAsia="Arial" w:hAnsi="Arial"/>
          <w:sz w:val="9"/>
          <w:szCs w:val="9"/>
          <w:color w:val="auto"/>
        </w:rPr>
      </w:pPr>
    </w:p>
    <w:p>
      <w:pPr>
        <w:ind w:left="5580"/>
        <w:spacing w:after="0"/>
        <w:rPr>
          <w:rFonts w:ascii="Arial" w:cs="Arial" w:eastAsia="Arial" w:hAnsi="Arial"/>
          <w:sz w:val="9"/>
          <w:szCs w:val="9"/>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The following table presents the major classes of assets and liabilities held for sale related to the Hospitality Solutions business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62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 2025</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20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480" w:type="dxa"/>
            <w:vAlign w:val="bottom"/>
          </w:tcPr>
          <w:p>
            <w:pPr>
              <w:jc w:val="right"/>
              <w:ind w:right="130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66,834</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53,377</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9"/>
        </w:trPr>
        <w:tc>
          <w:tcPr>
            <w:tcW w:w="6260" w:type="dxa"/>
            <w:vAlign w:val="bottom"/>
          </w:tcPr>
          <w:p>
            <w:pPr>
              <w:ind w:left="560"/>
              <w:spacing w:after="0"/>
              <w:rPr>
                <w:sz w:val="20"/>
                <w:szCs w:val="20"/>
                <w:color w:val="auto"/>
              </w:rPr>
            </w:pPr>
            <w:r>
              <w:rPr>
                <w:rFonts w:ascii="Arial" w:cs="Arial" w:eastAsia="Arial" w:hAnsi="Arial"/>
                <w:sz w:val="16"/>
                <w:szCs w:val="16"/>
                <w:color w:val="auto"/>
              </w:rPr>
              <w:t>Current assets held for sale</w:t>
            </w:r>
          </w:p>
        </w:tc>
        <w:tc>
          <w:tcPr>
            <w:tcW w:w="1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70,835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54,581</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 of accumulated depreciation</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0" w:type="dxa"/>
            <w:vAlign w:val="bottom"/>
          </w:tcPr>
          <w:p>
            <w:pPr>
              <w:spacing w:after="0"/>
              <w:rPr>
                <w:sz w:val="1"/>
                <w:szCs w:val="1"/>
                <w:color w:val="auto"/>
              </w:rPr>
            </w:pP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Goodwill and intangibles</w:t>
            </w:r>
          </w:p>
        </w:tc>
        <w:tc>
          <w:tcPr>
            <w:tcW w:w="1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190,556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192,156</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net</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28,974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29,032</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Long-term assets held for sale</w:t>
            </w:r>
          </w:p>
        </w:tc>
        <w:tc>
          <w:tcPr>
            <w:tcW w:w="1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245,223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235,802</w:t>
            </w:r>
          </w:p>
        </w:tc>
        <w:tc>
          <w:tcPr>
            <w:tcW w:w="0" w:type="dxa"/>
            <w:vAlign w:val="bottom"/>
          </w:tcPr>
          <w:p>
            <w:pPr>
              <w:spacing w:after="0"/>
              <w:rPr>
                <w:sz w:val="1"/>
                <w:szCs w:val="1"/>
                <w:color w:val="auto"/>
              </w:rPr>
            </w:pPr>
          </w:p>
        </w:tc>
      </w:tr>
      <w:tr>
        <w:trPr>
          <w:trHeight w:val="235"/>
        </w:trPr>
        <w:tc>
          <w:tcPr>
            <w:tcW w:w="62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assets held for sale</w:t>
            </w:r>
          </w:p>
        </w:tc>
        <w:tc>
          <w:tcPr>
            <w:tcW w:w="1480" w:type="dxa"/>
            <w:vAlign w:val="bottom"/>
            <w:tcBorders>
              <w:bottom w:val="single" w:sz="8" w:color="auto"/>
            </w:tcBorders>
            <w:shd w:val="clear" w:color="auto" w:fill="CCEEFF"/>
          </w:tcPr>
          <w:p>
            <w:pPr>
              <w:jc w:val="right"/>
              <w:ind w:right="130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316,058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290,383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26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480" w:type="dxa"/>
            <w:vAlign w:val="bottom"/>
            <w:shd w:val="clear" w:color="auto" w:fill="CCEEFF"/>
          </w:tcPr>
          <w:p>
            <w:pPr>
              <w:jc w:val="right"/>
              <w:ind w:right="1303"/>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0" w:type="dxa"/>
            <w:vAlign w:val="bottom"/>
          </w:tcPr>
          <w:p>
            <w:pPr>
              <w:spacing w:after="0"/>
              <w:rPr>
                <w:sz w:val="1"/>
                <w:szCs w:val="1"/>
                <w:color w:val="auto"/>
              </w:rPr>
            </w:pP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Other accrued liabilities and accrued compensation</w:t>
            </w:r>
          </w:p>
        </w:tc>
        <w:tc>
          <w:tcPr>
            <w:tcW w:w="1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18,609</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revenues</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209"/>
        </w:trPr>
        <w:tc>
          <w:tcPr>
            <w:tcW w:w="6260" w:type="dxa"/>
            <w:vAlign w:val="bottom"/>
          </w:tcPr>
          <w:p>
            <w:pPr>
              <w:ind w:left="560"/>
              <w:spacing w:after="0"/>
              <w:rPr>
                <w:sz w:val="20"/>
                <w:szCs w:val="20"/>
                <w:color w:val="auto"/>
              </w:rPr>
            </w:pPr>
            <w:r>
              <w:rPr>
                <w:rFonts w:ascii="Arial" w:cs="Arial" w:eastAsia="Arial" w:hAnsi="Arial"/>
                <w:sz w:val="16"/>
                <w:szCs w:val="16"/>
                <w:color w:val="auto"/>
              </w:rPr>
              <w:t>Current liabilities held for sale</w:t>
            </w:r>
          </w:p>
        </w:tc>
        <w:tc>
          <w:tcPr>
            <w:tcW w:w="1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52,224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51,207</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 and deferred income taxes</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Long-term liabilities held for sale</w:t>
            </w:r>
          </w:p>
        </w:tc>
        <w:tc>
          <w:tcPr>
            <w:tcW w:w="1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35"/>
        </w:trPr>
        <w:tc>
          <w:tcPr>
            <w:tcW w:w="62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held for sale</w:t>
            </w:r>
          </w:p>
        </w:tc>
        <w:tc>
          <w:tcPr>
            <w:tcW w:w="1480" w:type="dxa"/>
            <w:vAlign w:val="bottom"/>
            <w:tcBorders>
              <w:bottom w:val="single" w:sz="8" w:color="auto"/>
            </w:tcBorders>
            <w:shd w:val="clear" w:color="auto" w:fill="CCEEFF"/>
          </w:tcPr>
          <w:p>
            <w:pPr>
              <w:jc w:val="right"/>
              <w:ind w:right="130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66,284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following table presents selected financial information related to cash flows from discontinued operations for the six months ended June 30, 2025 and 2024 (in thousands):</w:t>
      </w:r>
    </w:p>
    <w:p>
      <w:pPr>
        <w:spacing w:after="0" w:line="84"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68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7"/>
              </w:rPr>
              <w:t>Six Months Ended June 30,</w:t>
            </w:r>
          </w:p>
        </w:tc>
        <w:tc>
          <w:tcPr>
            <w:tcW w:w="1100" w:type="dxa"/>
            <w:vAlign w:val="bottom"/>
            <w:tcBorders>
              <w:bottom w:val="single" w:sz="8" w:color="auto"/>
            </w:tcBorders>
          </w:tcPr>
          <w:p>
            <w:pPr>
              <w:spacing w:after="0"/>
              <w:rPr>
                <w:sz w:val="15"/>
                <w:szCs w:val="15"/>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23"/>
              <w:spacing w:after="0"/>
              <w:rPr>
                <w:sz w:val="20"/>
                <w:szCs w:val="20"/>
                <w:color w:val="auto"/>
              </w:rPr>
            </w:pPr>
            <w:r>
              <w:rPr>
                <w:rFonts w:ascii="Arial" w:cs="Arial" w:eastAsia="Arial" w:hAnsi="Arial"/>
                <w:sz w:val="13"/>
                <w:szCs w:val="13"/>
                <w:b w:val="1"/>
                <w:bCs w:val="1"/>
                <w:color w:val="auto"/>
                <w:w w:val="96"/>
              </w:rPr>
              <w:t>2024</w:t>
            </w:r>
          </w:p>
        </w:tc>
      </w:tr>
      <w:tr>
        <w:trPr>
          <w:trHeight w:val="211"/>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in operating activities</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242424"/>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(22,616)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24242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(10,103)</w:t>
            </w:r>
          </w:p>
        </w:tc>
      </w:tr>
      <w:tr>
        <w:trPr>
          <w:trHeight w:val="215"/>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used in investing activities</w:t>
            </w:r>
          </w:p>
        </w:tc>
        <w:tc>
          <w:tcPr>
            <w:tcW w:w="10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42424"/>
              </w:rPr>
              <w:t>(1,788)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42424"/>
              </w:rPr>
              <w:t>(2,244)</w:t>
            </w:r>
          </w:p>
        </w:tc>
      </w:tr>
      <w:tr>
        <w:trPr>
          <w:trHeight w:val="210"/>
        </w:trPr>
        <w:tc>
          <w:tcPr>
            <w:tcW w:w="6800" w:type="dxa"/>
            <w:vAlign w:val="bottom"/>
            <w:shd w:val="clear" w:color="auto" w:fill="CCEEFF"/>
          </w:tcPr>
          <w:p>
            <w:pPr>
              <w:jc w:val="center"/>
              <w:ind w:right="3339"/>
              <w:spacing w:after="0"/>
              <w:rPr>
                <w:sz w:val="20"/>
                <w:szCs w:val="20"/>
                <w:color w:val="auto"/>
              </w:rPr>
            </w:pPr>
            <w:r>
              <w:rPr>
                <w:rFonts w:ascii="Arial" w:cs="Arial" w:eastAsia="Arial" w:hAnsi="Arial"/>
                <w:sz w:val="16"/>
                <w:szCs w:val="16"/>
                <w:color w:val="auto"/>
              </w:rPr>
              <w:t>Cash used in discontinued operations</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242424"/>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(24,404)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24242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(12,347)</w:t>
            </w:r>
          </w:p>
        </w:tc>
      </w:tr>
      <w:tr>
        <w:trPr>
          <w:trHeight w:val="215"/>
        </w:trPr>
        <w:tc>
          <w:tcPr>
            <w:tcW w:w="6800" w:type="dxa"/>
            <w:vAlign w:val="bottom"/>
          </w:tcPr>
          <w:p>
            <w:pPr>
              <w:jc w:val="center"/>
              <w:ind w:right="3359"/>
              <w:spacing w:after="0"/>
              <w:rPr>
                <w:sz w:val="20"/>
                <w:szCs w:val="20"/>
                <w:color w:val="auto"/>
              </w:rPr>
            </w:pPr>
            <w:r>
              <w:rPr>
                <w:rFonts w:ascii="Arial" w:cs="Arial" w:eastAsia="Arial" w:hAnsi="Arial"/>
                <w:sz w:val="16"/>
                <w:szCs w:val="16"/>
                <w:color w:val="auto"/>
              </w:rPr>
              <w:t>Non-cash additions to property and equipment</w:t>
            </w:r>
          </w:p>
        </w:tc>
        <w:tc>
          <w:tcPr>
            <w:tcW w:w="1080" w:type="dxa"/>
            <w:vAlign w:val="bottom"/>
          </w:tcPr>
          <w:p>
            <w:pPr>
              <w:jc w:val="right"/>
              <w:ind w:right="904"/>
              <w:spacing w:after="0"/>
              <w:rPr>
                <w:sz w:val="20"/>
                <w:szCs w:val="20"/>
                <w:color w:val="auto"/>
              </w:rPr>
            </w:pPr>
            <w:r>
              <w:rPr>
                <w:rFonts w:ascii="Arial" w:cs="Arial" w:eastAsia="Arial" w:hAnsi="Arial"/>
                <w:sz w:val="16"/>
                <w:szCs w:val="16"/>
                <w:color w:val="242424"/>
                <w:w w:val="89"/>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242424"/>
              </w:rPr>
              <w:t>9,313</w:t>
            </w:r>
          </w:p>
        </w:tc>
        <w:tc>
          <w:tcPr>
            <w:tcW w:w="100" w:type="dxa"/>
            <w:vAlign w:val="bottom"/>
          </w:tcPr>
          <w:p>
            <w:pPr>
              <w:spacing w:after="0"/>
              <w:rPr>
                <w:sz w:val="18"/>
                <w:szCs w:val="18"/>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242424"/>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242424"/>
              </w:rPr>
              <w:t>—</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Redeemable Noncontrolling Interest</w:t>
      </w:r>
    </w:p>
    <w:p>
      <w:pPr>
        <w:spacing w:after="0" w:line="11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On February 1, 2023, we sold common shares representing a 19% interest in the direct parent of Conferma Limited, our subsidiary that is a virtual payments technology company (“Conferma”), to a third party for cash consideration of $16 million. In connection with the sale, we entered into a governing agreement which requires us under limited conditions to redeem the 19% interest, if requested, for the original purchase price of $16 million. We currently do not believe it is probable that the noncontrolling interest will become redeemable, given the remote likelihood of the applicable conditions being satisfied.</w:t>
      </w:r>
    </w:p>
    <w:p>
      <w:pPr>
        <w:spacing w:after="0" w:line="6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the common shares are redeemable upon the occurrence of conditions not solely within our control, we recorded the noncontrolling interest as redeemable and classified it as temporary equity within our consolidated balance sheet initially at fair value. The noncontrolling interest is adjusted each reporting period for loss or income attributable to the noncontrolling interest. As of June 30, 2025 and 2024, the redeemable noncontrolling interest was $12 million and $14 million, respectively.</w:t>
      </w:r>
    </w:p>
    <w:p>
      <w:pPr>
        <w:spacing w:after="0" w:line="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following table presents the changes in redeemable noncontrolling interest of a consolidated subsidiary in temporary equity during the period ended June 30, 2025 and 2024 (in thousands):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3"/>
                <w:szCs w:val="13"/>
                <w:b w:val="1"/>
                <w:bCs w:val="1"/>
                <w:color w:val="auto"/>
              </w:rPr>
              <w:t>Six Months Ended June 30,</w:t>
            </w:r>
          </w:p>
        </w:tc>
        <w:tc>
          <w:tcPr>
            <w:tcW w:w="1360" w:type="dxa"/>
            <w:vAlign w:val="bottom"/>
            <w:tcBorders>
              <w:bottom w:val="single" w:sz="8" w:color="auto"/>
            </w:tcBorders>
          </w:tcPr>
          <w:p>
            <w:pPr>
              <w:spacing w:after="0"/>
              <w:rPr>
                <w:sz w:val="15"/>
                <w:szCs w:val="15"/>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2025</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904"/>
              <w:spacing w:after="0"/>
              <w:rPr>
                <w:sz w:val="20"/>
                <w:szCs w:val="20"/>
                <w:color w:val="auto"/>
              </w:rPr>
            </w:pPr>
            <w:r>
              <w:rPr>
                <w:rFonts w:ascii="Arial" w:cs="Arial" w:eastAsia="Arial" w:hAnsi="Arial"/>
                <w:sz w:val="13"/>
                <w:szCs w:val="13"/>
                <w:b w:val="1"/>
                <w:bCs w:val="1"/>
                <w:color w:val="auto"/>
              </w:rPr>
              <w:t>2024</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beginning of period</w:t>
            </w:r>
          </w:p>
        </w:tc>
        <w:tc>
          <w:tcPr>
            <w:tcW w:w="1380" w:type="dxa"/>
            <w:vAlign w:val="bottom"/>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14,375</w:t>
            </w:r>
          </w:p>
        </w:tc>
      </w:tr>
      <w:tr>
        <w:trPr>
          <w:trHeight w:val="21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redeemable noncontrolling interest</w:t>
            </w:r>
          </w:p>
        </w:tc>
        <w:tc>
          <w:tcPr>
            <w:tcW w:w="1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end of period</w:t>
            </w:r>
          </w:p>
        </w:tc>
        <w:tc>
          <w:tcPr>
            <w:tcW w:w="1380" w:type="dxa"/>
            <w:vAlign w:val="bottom"/>
            <w:tcBorders>
              <w:bottom w:val="single" w:sz="8" w:color="auto"/>
            </w:tcBorders>
            <w:shd w:val="clear" w:color="auto" w:fill="CCEEFF"/>
          </w:tcPr>
          <w:p>
            <w:pPr>
              <w:jc w:val="right"/>
              <w:ind w:right="1185"/>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13,683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Income Taxes</w:t>
      </w:r>
    </w:p>
    <w:p>
      <w:pPr>
        <w:spacing w:after="0" w:line="194" w:lineRule="exact"/>
        <w:rPr>
          <w:sz w:val="20"/>
          <w:szCs w:val="20"/>
          <w:color w:val="auto"/>
        </w:rPr>
      </w:pPr>
    </w:p>
    <w:p>
      <w:pPr>
        <w:jc w:val="both"/>
        <w:ind w:firstLine="180"/>
        <w:spacing w:after="0" w:line="261" w:lineRule="auto"/>
        <w:rPr>
          <w:sz w:val="20"/>
          <w:szCs w:val="20"/>
          <w:color w:val="auto"/>
        </w:rPr>
      </w:pPr>
      <w:r>
        <w:rPr>
          <w:rFonts w:ascii="Arial" w:cs="Arial" w:eastAsia="Arial" w:hAnsi="Arial"/>
          <w:sz w:val="16"/>
          <w:szCs w:val="16"/>
          <w:color w:val="auto"/>
        </w:rPr>
        <w:t>For the six months ended June 30, 2025, we recognized $80 million of income tax expense for continuing operations, compared to an income tax expense of $9 million for the six months ended June 30, 2024. The effective tax rate for the six months ended June 30, 2025 represents the rate expected for the year applied to year to date earnings before tax and the impact of certain discrete items in the quarter. The effective tax rate is impacted by an increase in the valuation allowance due primarily to interest expense limitations, offset by loss utilization. The difference between our effective tax rates and the U.S. federal statutory income tax rate primarily results from the impact of changes in the valuation allowance, our geographic mix of taxable income in various tax jurisdictions, tax permanent differences and tax credits.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tax-planning strategies in making this assessment. We believe it is more likely than not that the results of future operations will not generate sufficient taxable income in the U.S. and in certain foreign jurisdictions to realize the full benefit of its deferred tax assets. We have determined that a portion of the deferred tax assets related to certain state and foreign net operating losses, interest limitation and other assets are not more likely than not to be realized and have recorded a valuation allowance against such assets. The amount of the deferred tax asset considered realizable, however, could be adjusted if estimates of future taxable income during the carryforward period are reduced or increased.</w:t>
      </w:r>
    </w:p>
    <w:p>
      <w:pPr>
        <w:spacing w:after="0" w:line="86"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6"/>
          <w:szCs w:val="16"/>
          <w:color w:val="auto"/>
        </w:rPr>
        <w:t>We recognize liabilities when we believe that an uncertain tax position may not be fully sustained upon examination by the tax authorities. This evaluation requires significant judgment, the use of estimates, and the interpretation and application of complex tax laws. When facts and circumstances change, we reassess these probabilities and record any changes in the consolidated financial statements as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Credit Losses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exposed to credit losses primarily through our sales of services provided to participants in the travel and transportation industry, which we consider to be our singular portfolio segment. 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 patterns, and we determine the adequacy of our allowance for credit loss by assessing the risks and losses inherent in our receivables related to each.</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reserve for bad debts against amounts due to reduce the recorded receivable to the amount we reasonably believe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adjusting for current customer-specific factors indicating financial instability and other macroeconomic factors that correlate with the expected collectability of our receivables.</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allowance for credit losses relates to all financial assets, primarily trade receivables due in less than one year recorded in Accounts Receivable, net on our consolidated balance sheets. Our allowance for credit losses for the six months ended June 30, 2025 for our portfolio segment is summarized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right"/>
              <w:ind w:right="304"/>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spacing w:after="0"/>
              <w:rPr>
                <w:sz w:val="15"/>
                <w:szCs w:val="15"/>
                <w:color w:val="auto"/>
              </w:rPr>
            </w:pPr>
          </w:p>
        </w:tc>
        <w:tc>
          <w:tcPr>
            <w:tcW w:w="5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June 30, 2025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5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23,557</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Provision for expected credit losses</w:t>
            </w: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5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0" w:type="dxa"/>
            <w:vAlign w:val="bottom"/>
          </w:tcPr>
          <w:p>
            <w:pPr>
              <w:spacing w:after="0"/>
              <w:rPr>
                <w:sz w:val="1"/>
                <w:szCs w:val="1"/>
                <w:color w:val="auto"/>
              </w:rPr>
            </w:pPr>
          </w:p>
        </w:tc>
      </w:tr>
      <w:tr>
        <w:trPr>
          <w:trHeight w:val="215"/>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5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2025</w:t>
            </w:r>
          </w:p>
        </w:tc>
        <w:tc>
          <w:tcPr>
            <w:tcW w:w="5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20,799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jc w:val="right"/>
              <w:ind w:right="3599"/>
              <w:spacing w:after="0"/>
              <w:rPr>
                <w:sz w:val="20"/>
                <w:szCs w:val="20"/>
                <w:color w:val="auto"/>
              </w:rPr>
            </w:pPr>
            <w:r>
              <w:rPr>
                <w:rFonts w:ascii="Arial" w:cs="Arial" w:eastAsia="Arial" w:hAnsi="Arial"/>
                <w:sz w:val="16"/>
                <w:szCs w:val="16"/>
                <w:color w:val="auto"/>
              </w:rPr>
              <w:t>10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06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6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7. Debt</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As of June 30, 2025 and December 31, 2024, our outstanding debt included in our consolidated balance sheets totaled $5,040 million and $5,065 million, respectively, which are net of debt issuance costs of $51 million and $56 million, respectively, and unamortized discounts of $74 million and $100 million, respectively. The following table sets forth the face values of our outstanding debt as of June 30, 2025 and December 31, 2024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Rate</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Maturity</w:t>
            </w: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2025</w:t>
            </w:r>
          </w:p>
        </w:tc>
        <w:tc>
          <w:tcPr>
            <w:tcW w:w="180" w:type="dxa"/>
            <w:vAlign w:val="bottom"/>
          </w:tcPr>
          <w:p>
            <w:pPr>
              <w:spacing w:after="0"/>
              <w:rPr>
                <w:sz w:val="15"/>
                <w:szCs w:val="15"/>
                <w:color w:val="auto"/>
              </w:rPr>
            </w:pPr>
          </w:p>
        </w:tc>
        <w:tc>
          <w:tcPr>
            <w:tcW w:w="1460" w:type="dxa"/>
            <w:vAlign w:val="bottom"/>
          </w:tcPr>
          <w:p>
            <w:pPr>
              <w:jc w:val="right"/>
              <w:ind w:right="180"/>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Senior secured credit facilities:</w:t>
            </w: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2021 Term Loan B-1</w:t>
            </w:r>
          </w:p>
        </w:tc>
        <w:tc>
          <w:tcPr>
            <w:tcW w:w="1680" w:type="dxa"/>
            <w:vAlign w:val="bottom"/>
            <w:gridSpan w:val="2"/>
            <w:shd w:val="clear" w:color="auto" w:fill="CCEEFF"/>
          </w:tcPr>
          <w:p>
            <w:pPr>
              <w:jc w:val="center"/>
              <w:ind w:right="120"/>
              <w:spacing w:after="0" w:line="217"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+ 3.50%</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2027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314,860</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6"/>
                <w:szCs w:val="16"/>
                <w:color w:val="auto"/>
              </w:rPr>
              <w:t>2021 Term Loan B-2</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+ 3.50%</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2027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366,280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366,280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2022 Term Loan B-1</w:t>
            </w:r>
          </w:p>
        </w:tc>
        <w:tc>
          <w:tcPr>
            <w:tcW w:w="168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+ 4.25%</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2028</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382,147</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6"/>
                <w:szCs w:val="16"/>
                <w:color w:val="auto"/>
              </w:rPr>
              <w:t>2022 Term Loan B-2</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+ 5.00%</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June 2028</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414,482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414,482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Term Loan B-1</w:t>
            </w:r>
          </w:p>
        </w:tc>
        <w:tc>
          <w:tcPr>
            <w:tcW w:w="168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+ 6.00%</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2029</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6"/>
                <w:szCs w:val="16"/>
                <w:color w:val="auto"/>
              </w:rPr>
              <w:t>2024 Term Loan B-2</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+ 6.00%</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November 2029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74,625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32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 Due 2028</w:t>
            </w:r>
          </w:p>
        </w:tc>
        <w:tc>
          <w:tcPr>
            <w:tcW w:w="16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2"/>
              </w:rPr>
              <w:t>RR</w:t>
            </w:r>
            <w:r>
              <w:rPr>
                <w:rFonts w:ascii="Arial" w:cs="Arial" w:eastAsia="Arial" w:hAnsi="Arial"/>
                <w:sz w:val="21"/>
                <w:szCs w:val="21"/>
                <w:color w:val="auto"/>
                <w:w w:val="92"/>
                <w:vertAlign w:val="superscript"/>
              </w:rPr>
              <w:t>(2)</w:t>
            </w:r>
            <w:r>
              <w:rPr>
                <w:rFonts w:ascii="Arial" w:cs="Arial" w:eastAsia="Arial" w:hAnsi="Arial"/>
                <w:sz w:val="16"/>
                <w:szCs w:val="16"/>
                <w:color w:val="auto"/>
                <w:w w:val="92"/>
              </w:rPr>
              <w:t xml:space="preserve"> + 1.75%</w:t>
            </w:r>
            <w:r>
              <w:rPr>
                <w:rFonts w:ascii="Arial" w:cs="Arial" w:eastAsia="Arial" w:hAnsi="Arial"/>
                <w:sz w:val="21"/>
                <w:szCs w:val="21"/>
                <w:color w:val="auto"/>
                <w:w w:val="92"/>
                <w:vertAlign w:val="superscript"/>
              </w:rPr>
              <w:t>(3)</w:t>
            </w:r>
          </w:p>
        </w:tc>
        <w:tc>
          <w:tcPr>
            <w:tcW w:w="16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December 2028</w:t>
            </w:r>
          </w:p>
        </w:tc>
        <w:tc>
          <w:tcPr>
            <w:tcW w:w="260" w:type="dxa"/>
            <w:vAlign w:val="bottom"/>
            <w:shd w:val="clear" w:color="auto" w:fill="CCEEFF"/>
          </w:tcPr>
          <w:p>
            <w:pPr>
              <w:spacing w:after="0"/>
              <w:rPr>
                <w:sz w:val="24"/>
                <w:szCs w:val="24"/>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871,611</w:t>
            </w:r>
          </w:p>
        </w:tc>
        <w:tc>
          <w:tcPr>
            <w:tcW w:w="0" w:type="dxa"/>
            <w:vAlign w:val="bottom"/>
          </w:tcPr>
          <w:p>
            <w:pPr>
              <w:spacing w:after="0"/>
              <w:rPr>
                <w:sz w:val="1"/>
                <w:szCs w:val="1"/>
                <w:color w:val="auto"/>
              </w:rPr>
            </w:pPr>
          </w:p>
        </w:tc>
      </w:tr>
      <w:tr>
        <w:trPr>
          <w:trHeight w:val="110"/>
        </w:trPr>
        <w:tc>
          <w:tcPr>
            <w:tcW w:w="4480" w:type="dxa"/>
            <w:vAlign w:val="bottom"/>
            <w:shd w:val="clear" w:color="auto" w:fill="CCEEFF"/>
          </w:tcPr>
          <w:p>
            <w:pPr>
              <w:spacing w:after="0"/>
              <w:rPr>
                <w:sz w:val="9"/>
                <w:szCs w:val="9"/>
                <w:color w:val="auto"/>
              </w:rPr>
            </w:pPr>
          </w:p>
        </w:tc>
        <w:tc>
          <w:tcPr>
            <w:tcW w:w="1680" w:type="dxa"/>
            <w:vAlign w:val="bottom"/>
            <w:gridSpan w:val="2"/>
            <w:vMerge w:val="continue"/>
            <w:shd w:val="clear" w:color="auto" w:fill="CCEEFF"/>
          </w:tcPr>
          <w:p>
            <w:pPr>
              <w:spacing w:after="0"/>
              <w:rPr>
                <w:sz w:val="9"/>
                <w:szCs w:val="9"/>
                <w:color w:val="auto"/>
              </w:rPr>
            </w:pPr>
          </w:p>
        </w:tc>
        <w:tc>
          <w:tcPr>
            <w:tcW w:w="168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Securitization facility: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AR Facility</w:t>
            </w:r>
          </w:p>
        </w:tc>
        <w:tc>
          <w:tcPr>
            <w:tcW w:w="1680" w:type="dxa"/>
            <w:vAlign w:val="bottom"/>
            <w:gridSpan w:val="2"/>
            <w:shd w:val="clear" w:color="auto" w:fill="CCEEFF"/>
          </w:tcPr>
          <w:p>
            <w:pPr>
              <w:jc w:val="center"/>
              <w:ind w:right="120"/>
              <w:spacing w:after="0" w:line="217" w:lineRule="exact"/>
              <w:rPr>
                <w:sz w:val="20"/>
                <w:szCs w:val="20"/>
                <w:color w:val="auto"/>
              </w:rPr>
            </w:pPr>
            <w:r>
              <w:rPr>
                <w:rFonts w:ascii="Arial" w:cs="Arial" w:eastAsia="Arial" w:hAnsi="Arial"/>
                <w:sz w:val="16"/>
                <w:szCs w:val="16"/>
                <w:color w:val="auto"/>
                <w:w w:val="92"/>
              </w:rPr>
              <w:t>S</w:t>
            </w:r>
            <w:r>
              <w:rPr>
                <w:rFonts w:ascii="Arial" w:cs="Arial" w:eastAsia="Arial" w:hAnsi="Arial"/>
                <w:sz w:val="21"/>
                <w:szCs w:val="21"/>
                <w:color w:val="auto"/>
                <w:w w:val="92"/>
                <w:vertAlign w:val="superscript"/>
              </w:rPr>
              <w:t>(1)</w:t>
            </w:r>
            <w:r>
              <w:rPr>
                <w:rFonts w:ascii="Arial" w:cs="Arial" w:eastAsia="Arial" w:hAnsi="Arial"/>
                <w:sz w:val="16"/>
                <w:szCs w:val="16"/>
                <w:color w:val="auto"/>
                <w:w w:val="92"/>
              </w:rPr>
              <w:t xml:space="preserve"> + 4.00%</w:t>
            </w:r>
            <w:r>
              <w:rPr>
                <w:rFonts w:ascii="Arial" w:cs="Arial" w:eastAsia="Arial" w:hAnsi="Arial"/>
                <w:sz w:val="21"/>
                <w:szCs w:val="21"/>
                <w:color w:val="auto"/>
                <w:w w:val="92"/>
                <w:vertAlign w:val="superscript"/>
              </w:rPr>
              <w:t>(4)</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March 2027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82,200</w:t>
            </w: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6"/>
                <w:szCs w:val="16"/>
                <w:color w:val="auto"/>
              </w:rPr>
              <w:t>FILO Facility</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+ 8.00%</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March 2027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9.25% senior secured notes due 2025</w:t>
            </w:r>
            <w:r>
              <w:rPr>
                <w:rFonts w:ascii="Arial" w:cs="Arial" w:eastAsia="Arial" w:hAnsi="Arial"/>
                <w:sz w:val="21"/>
                <w:szCs w:val="21"/>
                <w:color w:val="auto"/>
                <w:vertAlign w:val="superscript"/>
              </w:rPr>
              <w:t>(5)</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April 2025</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10,416</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line="216" w:lineRule="exact"/>
              <w:rPr>
                <w:sz w:val="20"/>
                <w:szCs w:val="20"/>
                <w:color w:val="auto"/>
              </w:rPr>
            </w:pPr>
            <w:r>
              <w:rPr>
                <w:rFonts w:ascii="Arial" w:cs="Arial" w:eastAsia="Arial" w:hAnsi="Arial"/>
                <w:sz w:val="16"/>
                <w:szCs w:val="16"/>
                <w:color w:val="auto"/>
              </w:rPr>
              <w:t>4.00% senior exchangeable notes due 2025</w:t>
            </w:r>
            <w:r>
              <w:rPr>
                <w:rFonts w:ascii="Arial" w:cs="Arial" w:eastAsia="Arial" w:hAnsi="Arial"/>
                <w:sz w:val="21"/>
                <w:szCs w:val="21"/>
                <w:color w:val="auto"/>
                <w:vertAlign w:val="superscript"/>
              </w:rPr>
              <w:t>(5)</w:t>
            </w:r>
          </w:p>
        </w:tc>
        <w:tc>
          <w:tcPr>
            <w:tcW w:w="1560" w:type="dxa"/>
            <w:vAlign w:val="bottom"/>
          </w:tcPr>
          <w:p>
            <w:pPr>
              <w:jc w:val="center"/>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April 2025</w:t>
            </w: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183,220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7.375% senior secured notes due 2025</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7.375%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September 2025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7.32% senior exchangeable notes due 2026</w:t>
            </w:r>
          </w:p>
        </w:tc>
        <w:tc>
          <w:tcPr>
            <w:tcW w:w="1560" w:type="dxa"/>
            <w:vAlign w:val="bottom"/>
          </w:tcPr>
          <w:p>
            <w:pPr>
              <w:jc w:val="center"/>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August 2026</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8.625% senior secured notes due 2027</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8.625%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656,783</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11.25% senior secured notes due 2027</w:t>
            </w:r>
          </w:p>
        </w:tc>
        <w:tc>
          <w:tcPr>
            <w:tcW w:w="1560" w:type="dxa"/>
            <w:vAlign w:val="bottom"/>
          </w:tcPr>
          <w:p>
            <w:pPr>
              <w:jc w:val="center"/>
              <w:spacing w:after="0"/>
              <w:rPr>
                <w:sz w:val="20"/>
                <w:szCs w:val="20"/>
                <w:color w:val="auto"/>
              </w:rPr>
            </w:pPr>
            <w:r>
              <w:rPr>
                <w:rFonts w:ascii="Arial" w:cs="Arial" w:eastAsia="Arial" w:hAnsi="Arial"/>
                <w:sz w:val="16"/>
                <w:szCs w:val="16"/>
                <w:color w:val="auto"/>
                <w:w w:val="95"/>
              </w:rPr>
              <w:t>11.25%</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2027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45,814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45,814</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10.75% senior secured notes due 2029</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10.75%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2029</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824,714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824,714</w:t>
            </w: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11.125% senior secured notes due 2030</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11.125%</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9"/>
              </w:rPr>
              <w:t>July 2030</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Face value of total debt outstanding</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5,164,878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5,220,920</w:t>
            </w: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debt outstanding</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(230,704)</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Face value of long-term debt outstanding</w:t>
            </w: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5,122,335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4,990,216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256"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Represents the Secured Overnight Financing Rate ("SOFR").</w:t>
      </w:r>
    </w:p>
    <w:p>
      <w:pPr>
        <w:spacing w:after="0" w:line="5" w:lineRule="exact"/>
        <w:rPr>
          <w:rFonts w:ascii="Arial" w:cs="Arial" w:eastAsia="Arial" w:hAnsi="Arial"/>
          <w:sz w:val="16"/>
          <w:szCs w:val="16"/>
          <w:color w:val="auto"/>
          <w:vertAlign w:val="superscript"/>
        </w:rPr>
      </w:pPr>
    </w:p>
    <w:p>
      <w:pPr>
        <w:ind w:left="140" w:hanging="132"/>
        <w:spacing w:after="0" w:line="193"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Represents the Reference Rate as defined below.</w:t>
      </w: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At our election, if interest is paid in cash the spread is 0.25% per annum, and in the case of interest paid-in-kind the spread is 1.75%.</w:t>
      </w:r>
    </w:p>
    <w:p>
      <w:pPr>
        <w:spacing w:after="0" w:line="1" w:lineRule="exact"/>
        <w:rPr>
          <w:rFonts w:ascii="Arial" w:cs="Arial" w:eastAsia="Arial" w:hAnsi="Arial"/>
          <w:sz w:val="9"/>
          <w:szCs w:val="9"/>
          <w:color w:val="auto"/>
        </w:rPr>
      </w:pPr>
    </w:p>
    <w:p>
      <w:pPr>
        <w:ind w:left="180" w:right="480" w:hanging="172"/>
        <w:spacing w:after="0" w:line="241" w:lineRule="auto"/>
        <w:tabs>
          <w:tab w:leader="none" w:pos="158" w:val="left"/>
        </w:tabs>
        <w:numPr>
          <w:ilvl w:val="0"/>
          <w:numId w:val="5"/>
        </w:numPr>
        <w:rPr>
          <w:rFonts w:ascii="Arial" w:cs="Arial" w:eastAsia="Arial" w:hAnsi="Arial"/>
          <w:sz w:val="9"/>
          <w:szCs w:val="9"/>
          <w:color w:val="auto"/>
        </w:rPr>
      </w:pPr>
      <w:r>
        <w:rPr>
          <w:rFonts w:ascii="Arial" w:cs="Arial" w:eastAsia="Arial" w:hAnsi="Arial"/>
          <w:sz w:val="14"/>
          <w:szCs w:val="14"/>
          <w:color w:val="auto"/>
        </w:rPr>
        <w:t>In connection with the issuance of the FILO Facility (as defined below), the drawn fee rate varies based on our leverage ratio. The drawn fee rate ranges from 3.00% to 4.00%, with incremental increases of 0.25% between these levels.</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(5)</w:t>
      </w:r>
      <w:r>
        <w:rPr>
          <w:rFonts w:ascii="Arial" w:cs="Arial" w:eastAsia="Arial" w:hAnsi="Arial"/>
          <w:sz w:val="14"/>
          <w:szCs w:val="14"/>
          <w:color w:val="auto"/>
        </w:rPr>
        <w:t>Repaid in full on April 15, 2025.</w:t>
      </w:r>
    </w:p>
    <w:p>
      <w:pPr>
        <w:spacing w:after="0" w:line="9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had outstanding letters of credit totaling $12 million and $13 million as of June 30, 2025 and December 31, 2024, respectively, which were secured by a $21 million cash collateral deposit account.</w:t>
      </w:r>
    </w:p>
    <w:p>
      <w:pPr>
        <w:spacing w:after="0" w:line="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weighted average interest rate on our short-term borrowings, which include our 7.375% senior secured notes due 2025 and the current portions of the 2021 Term Loan B-1, 2021 Term Loan B-2, 2022 Term Loan B-1, 2024 Term Loan B-1 and 2024 Term Loan B-2, is 8.17% as of June 30, 2025.</w:t>
      </w: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Senior Secured Credit Facilities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Refinancing Transactions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On November 25, 2024, we entered into a third and fourth amendment (together, the “Term Loan B Amendments”) to the Amended and Restated Credit Agreement dated as of February 19, 2013 (the "Amended and Restated Credit Agreement") pursuant to which Sabre GLBL agreed to exchange $775 million of our existing senior secured term loans (the “Existing Term Loans”) for the same amount of new senior secured term loans maturing on November 15, 2029 (the “2024 Term Loans”). We incurred no additional indebtedness as a result of this refinancing. The Term Loan B Amendments included the application of the proceeds of a new $700 million and $75 million term loan “B” facility (the “2024 Term Loan B-1” and the ”2024 Term Loan B-2”, respectively), borrowed by Sabre GLBL under our Amended and Restated Credit Agreement, with the effect of extending the maturity of approximately $775 million of the existing Term Loan B credit facility under the Amended and Restated Credit Agreement. Sabre GLBL did not receive any cash proceeds from the exchange and did not incur additional indebtedness as a</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3" w:name="page14"/>
    <w:bookmarkEnd w:id="13"/>
    <w:p>
      <w:pPr>
        <w:jc w:val="both"/>
        <w:spacing w:after="0" w:line="258" w:lineRule="auto"/>
        <w:rPr>
          <w:sz w:val="20"/>
          <w:szCs w:val="20"/>
          <w:color w:val="auto"/>
        </w:rPr>
      </w:pPr>
      <w:r>
        <w:rPr>
          <w:rFonts w:ascii="Arial" w:cs="Arial" w:eastAsia="Arial" w:hAnsi="Arial"/>
          <w:sz w:val="16"/>
          <w:szCs w:val="16"/>
          <w:color w:val="auto"/>
        </w:rPr>
        <w:t>result of the Term Loan B Amendments. We incurred third-party fees of approximately $10 million plus $14 million of accrued and unpaid interest, of which $9 million and $14 million were paid in cash, respectively, during the year ending December 31, 2024. The remaining third-party fees have been paid as of June 30, 2025. We determined that the Term Loan B Amendments represent a debt modification and therefore we expensed all $10 million of third-party costs, to Other, Net in our consolidated statements of operations for the year ended December 31, 2024 and were included in cash flow from operations as paid. The 2024 Term Loan B-1 and 2024 Term Loan B-2 mature on November 15, 2029. They offer us the ability to prepay or repay with a 1.0% call premium on or prior to the six-month anniversary of the amendment effective date, or without a call premium thereafter. The 2024 Term Loans bear interest at Term SOFR, plus an applicable margin of 600 basis points, or at base rate, plus an applicable margin of 500 basis points. The term SOFR for the 2024 Term Loans is subject to a floor of 0.50% per annum and the base rate is subject to a floor of 1.50% per annum. Except for the extended maturity and new pricing terms, the 2024 Term Loans have substantially similar terms as the Existing Term Loans, including guarantees and security interests.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Financial Covenants</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We are further required to pay down the term loans with proceeds from certain asset sales, if not reinvested into the business within 15 months, as defined in the Amended and Restated Credit Agreement. As of June 30, 2025, we were in compliance with all covenants under the terms of the Amended and Restated Credit Agreement.</w:t>
      </w:r>
    </w:p>
    <w:p>
      <w:pPr>
        <w:spacing w:after="0" w:line="27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Senior Secured Term Loan Due 2028</w:t>
      </w:r>
    </w:p>
    <w:p>
      <w:pPr>
        <w:spacing w:after="0" w:line="11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color w:val="auto"/>
        </w:rPr>
        <w:t>On June 13, 2023, Sabre Financial Borrower, LLC (“Sabre FB”), our indirect, consolidated subsidiary entered into a series of transactions including a term loan credit agreement with certain lenders (the "2023 Term Loan Agreement") and an intercompany secured term loan agreement (the "Pari Passu Loan Agreement"). On June 4, 2025, we repaid all outstanding balances under these agreements in conjunction with the June 2025 refinancing (as defined below).</w:t>
      </w:r>
    </w:p>
    <w:p>
      <w:pPr>
        <w:spacing w:after="0" w:line="27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2023 Term Loan Agreement provided for a senior secured term loan (the “Senior Secured Term Loan Due 2028”) that matured on December 15, 2028 and offered us the ability to prepay subject to prepayment premiums as follows: (i) with respect to any prepayment occurring on or prior to the second anniversary of the 2023 Term Loan Agreement, a customary make-whole amount, and (ii) with respect to any prepayment occurring after the second anniversary of the 2023 Term Loan Agreement and on or prior the third anniversary of the 2023 Term Loan Agreement, 25% of the applicable interest margin assuming all interest was payable-in-kind. After the third anniversary of the 2023 Term Loan Agreement, all prepayments could have been made at par plus accrued interest.</w:t>
      </w:r>
    </w:p>
    <w:p>
      <w:pPr>
        <w:spacing w:after="0" w:line="68"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6"/>
          <w:szCs w:val="16"/>
          <w:color w:val="auto"/>
        </w:rPr>
        <w:t>The interest on the Senior Secured Term Loan Due 2028 was payable in cash; provided that, at our election, from the date of the agreement, until the last interest payment date occurring on or prior to December 31, 2025, the interest could have been payable-in-kind. The Senior Secured Term Loan Due 2028 bore interest at a floating rate, with interest periods ending on each successive three month anniversary of the closing date and set in arrears based on the average of the highest yield to maturity of any tranche of Sabre GLBL’s or any of its affiliates’ outstanding secured indebtedness (as defined within the 2023 Term Loan Agreement) on each of the 20 prior trading days (the “Reference Rate”), plus (i) 25 basis points for cash interest or (ii) 175 basis points for payable-in-kind interest. The all-in interest rate floor was 11.50% for cash interest and 13.00% for payable-in-kind interest and the all-in interest rate ceiling was 17.50% for cash interest and 19.00% for payable-in-kind interest. We elected interest to be payable-in-kind. Interest on the Senior Secured Term Loan Due 2028 was accrued and payable or capitalized to principal if not elected to be paid in cash, commencing on June 13, 2023, and ending on the date three months thereafter and each successive three-month anniversary thereof on September 13, December 13, March 13, and June 13 of each year. We capitalized interest for the Senior Secured Term Loan Due 2028 totaling $28 million during the six months ended June 30, 2025. We did not capitalize interest during the three months ended June 30, 2025 as we repaid all outstanding borrowings under the Senior Secured Term Loan Due 2028 on June 4, 2025 in conjunction with the June 2025 Refinancing.</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212529"/>
        </w:rPr>
        <w:t>Senior Secured Notes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On March 7, 2024, Sabre GLBL exchanged approximately $36 million of our 7.375% senior secured notes due 2025 (the “September 2025 Notes”) and approximately $7 million of our 9.250% senior secured notes due 2025 (the “April 2025 Notes”) for approximately $50 million aggregate principal amount of additional 8.625% senior secured notes due 2027 (the “June 2027 Notes”) (the "March 2024 Senior Secured Exchange Transaction"). No additional indebtedness was incurred as a result of the March 2024 Senior Secured Exchange Transaction, other than amounts covering exchange fees of approximately $7 million. Other than the issuance date and issue price, these additional June 2027 Notes have the same terms, form a single series with, and are fungible with the June 2027 Notes. We incurred additional fees of approximately $1 million, which were funded with cash on hand. We determined that the March 2024 Senior Secured Exchange Transaction, including the impact of the exchange fees, represents a debt extinguishment and therefore recognized a loss on extinguishment of debt during the six months ended June 30, 2024 of approximately $7 million, primarily consisting of exchange fees related to the June 2027 Notes. The April 2025 Notes matured, and were repaid in full, on April 15, 2025.</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jc w:val="both"/>
        <w:ind w:firstLine="486"/>
        <w:spacing w:after="0" w:line="256" w:lineRule="auto"/>
        <w:rPr>
          <w:sz w:val="20"/>
          <w:szCs w:val="20"/>
          <w:color w:val="auto"/>
        </w:rPr>
      </w:pPr>
      <w:r>
        <w:rPr>
          <w:rFonts w:ascii="Arial" w:cs="Arial" w:eastAsia="Arial" w:hAnsi="Arial"/>
          <w:sz w:val="16"/>
          <w:szCs w:val="16"/>
          <w:color w:val="auto"/>
        </w:rPr>
        <w:t>On November 25, 2024, Sabre GLBL exchanged approximately $246 million in principal amount of the June 2027 Notes and approximately $509 million in principal amount of our 11.250% senior secured notes due December 2027 (the “December 2027 Notes”) for approximately $800 million of new 10.750% senior secured notes due November 2029 (the “November 2029 Notes”) (the “Initial November 2024 Exchange Transactions”). Shortly thereafter, on November 27, 2024, Sabre GLBL issued an additional approximately $25 million in aggregate principal amount of November 2029 Notes in exchange for approximately $21 million of the April 2025 Notes and approximately $4 million of the September 2025 Notes (together with the Initial November 2024 Exchange Transactions, the “November 2024 Exchange Transactions”). Other than the issuance date and issue price, these additional November 2029 notes have the same terms, form a single series with, and are fungible with the November 2029 Notes described above. The November 2029 Notes bear interest at a rate of 10.750% per annum, and interest payments are due semi-annually in arrears on May 15 and November 15 of each year, beginning May 15, 2025. The November 2029 Notes mature on November 15, 2029. Sabre GLBL did not receive any cash proceeds from the exchange and did not incur additional indebtedness as a result of the exchange other than $45 million of early exchange consideration on the November 2029 Notes, which was recorded as a discount. We incurred $11 million in fees, along with $31 million in accrued and unpaid interest. We determined that the November 2024 Exchange Transactions, including the impact of the early exchange consideration, represent a debt modification and therefore, expensed $11 million of debt modification costs in Other, net in our consolidated statements of operations for the year ended December 31, 2024 and included in cash flow from operations as paid. The November 2029 Notes are jointly and severally, irrevocably and unconditionally guaranteed by Sabre Holdings and all of Sabre GLBL’s restricted subsidiaries that guarantee Sabre GLBL’s credit facilities governed by the Amended and Restated Credit Agreement.</w:t>
      </w:r>
    </w:p>
    <w:p>
      <w:pPr>
        <w:spacing w:after="0" w:line="2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June 4, 2025, Sabre GLBL issued $1.325 billion aggregate principal amount of 11.125% Senior Secured Notes due 2030 (the “July 2030 Notes”). The net proceeds from the issuance were used (i) to fully prepay $900 million of its outstanding principal under the Pari Passu Loan Agreement with Sabre FB, which applied such amounts toward full prepayment of Sabre FB’s Senior Secured Term Loan due 2028; and (ii) to repurchase $325 million in principal amount of its June 2027 Notes (the “June 2025 Refinancing”). Interest on the July 2030 Notes is due semi-annually in arrears on January 15 and July 15 of each year, beginning on January 15, 2026, at a rate of 11.125% per year, and the notes mature on July 15, 2030. As a result of the refinancing, Sabre GLBL incurred additional indebtedness of $100 million. In connection with the June 2025 Refinancing, we repaid an aggregate of $1.225 billion in outstanding principal, $44 million in creditor fees, $34 million in accrued and unpaid interest, and $27 million in third-party fees. We concluded that the June 2025 Refinancing represented a debt extinguishment and therefore recognized a loss on extinguishment of debt during the six months ended June 30, 2025 of approximately $85 million. Cash proceeds from the new issuance, payments for the debt principal prepayment (excluding previously capitalized interest amounts) as well as third-party costs and fees paid to lenders that were directly related to the debt extinguishment were reflected as financing cash flows within our consolidated statements of cash flows. Payments associated with interest previously capitalized are reflected as operating cash flows within our consolidated statement of cash flows. The July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Securitization Facility</w:t>
      </w:r>
    </w:p>
    <w:p>
      <w:pPr>
        <w:spacing w:after="0" w:line="12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212529"/>
        </w:rPr>
        <w:t>On February 14, 2023, Sabre Securitization, LLC, our indirect, consolidated subsidiary and a special purpose entity (“Sabre Securitization”), entered into a three-year committed accounts receivable securitization facility (as amended from time to time the “Securitization Facility”) of up to $200 million with PNC Bank, N.A.</w:t>
      </w:r>
    </w:p>
    <w:p>
      <w:pPr>
        <w:spacing w:after="0" w:line="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On March 29, 2024, Sabre Securitization increased the overall size of the existing Securitization Facility from $200 million to $235 million by issuing a $120 million "first-in, last-out" term loan tranche under the Securitization Facility (such tranche, the "FILO Facility") and reducing the revolving tranche under the Securitization Facility to $115 million (such tranche, the "AR Facility"). In connection with the issuance of the FILO Facility, the maturity date of the Securitization Facility was extended to March 29, 2027 and the springing maturity date thereunder was terminated. The FILO Facility provides the ability to prepay or repay at certain redemption premiums as set forth in the agreement. The net proceeds received from the FILO Facility of $117 million, net of $3 million in fees paid to creditors, will be used for general corporate purposes. We incurred additional fees of $4 million, which were funded with cash on hand.</w:t>
      </w:r>
    </w:p>
    <w:p>
      <w:pPr>
        <w:spacing w:after="0" w:line="28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212529"/>
        </w:rPr>
        <w:t xml:space="preserve">The amount available for borrowings at any one time under the Securitization Facility is limited to a borrowing base calculated based on the outstanding balance of eligible receivables, subject to certain reserves. As of </w:t>
      </w:r>
      <w:r>
        <w:rPr>
          <w:rFonts w:ascii="Arial" w:cs="Arial" w:eastAsia="Arial" w:hAnsi="Arial"/>
          <w:sz w:val="16"/>
          <w:szCs w:val="16"/>
          <w:color w:val="000000"/>
        </w:rPr>
        <w:t>June 30, 2025</w:t>
      </w:r>
      <w:r>
        <w:rPr>
          <w:rFonts w:ascii="Arial" w:cs="Arial" w:eastAsia="Arial" w:hAnsi="Arial"/>
          <w:sz w:val="16"/>
          <w:szCs w:val="16"/>
          <w:color w:val="212529"/>
        </w:rPr>
        <w:t>, we had $217 million outstanding under the Securitization Facility, consisting of $97 million under the AR Facility and $120 million outstanding under the FILO Facility.</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212529"/>
        </w:rPr>
        <w:t>The FILO Facility bears interest at SOFR plus a drawn fee of 8.00% per annum. Interest and fees payable by Sabre Securitization under the FILO Facility are due monthly.</w:t>
      </w:r>
    </w:p>
    <w:p>
      <w:pPr>
        <w:spacing w:after="0" w:line="6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212529"/>
        </w:rPr>
        <w:t xml:space="preserve">Borrowings under the AR Facility bear interest at a rate equal to SOFR, subject to a 0% floor, plus a drawn fee, initially in the amount of 2.25%, plus a 0.10% SOFR adjustment. In connection with the issuance of the FILO Facility, the initial drawn fee rate was increased from 2.25% to 4.00%. The drawn fee rate, which was </w:t>
      </w:r>
      <w:r>
        <w:rPr>
          <w:rFonts w:ascii="Arial" w:cs="Arial" w:eastAsia="Arial" w:hAnsi="Arial"/>
          <w:sz w:val="16"/>
          <w:szCs w:val="16"/>
          <w:color w:val="000000"/>
        </w:rPr>
        <w:t>4.00%</w:t>
      </w:r>
      <w:r>
        <w:rPr>
          <w:rFonts w:ascii="Arial" w:cs="Arial" w:eastAsia="Arial" w:hAnsi="Arial"/>
          <w:sz w:val="16"/>
          <w:szCs w:val="16"/>
          <w:color w:val="212529"/>
        </w:rPr>
        <w:t xml:space="preserve"> as of </w:t>
      </w:r>
      <w:r>
        <w:rPr>
          <w:rFonts w:ascii="Arial" w:cs="Arial" w:eastAsia="Arial" w:hAnsi="Arial"/>
          <w:sz w:val="16"/>
          <w:szCs w:val="16"/>
          <w:color w:val="000000"/>
        </w:rPr>
        <w:t>June 30, 2025,</w:t>
      </w:r>
      <w:r>
        <w:rPr>
          <w:rFonts w:ascii="Arial" w:cs="Arial" w:eastAsia="Arial" w:hAnsi="Arial"/>
          <w:sz w:val="16"/>
          <w:szCs w:val="16"/>
          <w:color w:val="212529"/>
        </w:rPr>
        <w:t xml:space="preserve"> varies based on our leverage ratio</w:t>
      </w:r>
      <w:r>
        <w:rPr>
          <w:rFonts w:ascii="Arial" w:cs="Arial" w:eastAsia="Arial" w:hAnsi="Arial"/>
          <w:sz w:val="16"/>
          <w:szCs w:val="16"/>
          <w:color w:val="000000"/>
        </w:rPr>
        <w:t>.</w:t>
      </w:r>
      <w:r>
        <w:rPr>
          <w:rFonts w:ascii="Arial" w:cs="Arial" w:eastAsia="Arial" w:hAnsi="Arial"/>
          <w:sz w:val="16"/>
          <w:szCs w:val="16"/>
          <w:color w:val="212529"/>
        </w:rPr>
        <w:t xml:space="preserve"> Sabre Securitization also pays a fee on the undrawn committed amount of the AR Facility. Interest and fees payable by Sabre Securitization under the AR Facility are due monthly. Unamortized net debt issuance costs related to our AR Facility are $1 million as of </w:t>
      </w:r>
      <w:r>
        <w:rPr>
          <w:rFonts w:ascii="Arial" w:cs="Arial" w:eastAsia="Arial" w:hAnsi="Arial"/>
          <w:sz w:val="16"/>
          <w:szCs w:val="16"/>
          <w:color w:val="000000"/>
        </w:rPr>
        <w:t>June 30, 2025 and December 31, 2024, which</w:t>
      </w:r>
      <w:r>
        <w:rPr>
          <w:rFonts w:ascii="Arial" w:cs="Arial" w:eastAsia="Arial" w:hAnsi="Arial"/>
          <w:sz w:val="16"/>
          <w:szCs w:val="16"/>
          <w:color w:val="212529"/>
        </w:rPr>
        <w:t xml:space="preserve"> are recorded in other assets, net in our consolidated balance sheets.</w:t>
      </w:r>
    </w:p>
    <w:p>
      <w:pPr>
        <w:spacing w:after="0" w:line="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212529"/>
        </w:rPr>
        <w:t>In connection with the Securitization Facility, certain of our subsidiaries (the “Originators”) have sold and contributed, and will continue to sell or contribute, substantially all of their accounts receivable and certain related assets (collectively,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6"/>
          <w:szCs w:val="16"/>
          <w:color w:val="212529"/>
        </w:rPr>
        <w:t xml:space="preserve">“Receivables”) to Sabre Securitization to be held as collateral for borrowings under the Securitization Facility. Sabre Securitization’s assets are not available to satisfy the obligations of Sabre Corporation or any of its affiliates. Under the terms of the Securitization Facility, the lenders under the AR Facility and FILO Facility would have a senior priority claim to the assets of Sabre Securitization, which will primarily consist of the Receivables of the Originators participating in the Securitization Facility. As of </w:t>
      </w:r>
      <w:r>
        <w:rPr>
          <w:rFonts w:ascii="Arial" w:cs="Arial" w:eastAsia="Arial" w:hAnsi="Arial"/>
          <w:sz w:val="16"/>
          <w:szCs w:val="16"/>
          <w:color w:val="000000"/>
        </w:rPr>
        <w:t>June 30, 2025</w:t>
      </w:r>
      <w:r>
        <w:rPr>
          <w:rFonts w:ascii="Arial" w:cs="Arial" w:eastAsia="Arial" w:hAnsi="Arial"/>
          <w:sz w:val="16"/>
          <w:szCs w:val="16"/>
          <w:color w:val="212529"/>
        </w:rPr>
        <w:t>, $359 million of Receivables are held as assets by Sabre Securitization, consisting of $349 million of accounts receivable and $10 million of other as</w:t>
      </w:r>
      <w:r>
        <w:rPr>
          <w:rFonts w:ascii="Arial" w:cs="Arial" w:eastAsia="Arial" w:hAnsi="Arial"/>
          <w:sz w:val="16"/>
          <w:szCs w:val="16"/>
          <w:color w:val="000000"/>
        </w:rPr>
        <w:t>sets, net in our conso</w:t>
      </w:r>
      <w:r>
        <w:rPr>
          <w:rFonts w:ascii="Arial" w:cs="Arial" w:eastAsia="Arial" w:hAnsi="Arial"/>
          <w:sz w:val="16"/>
          <w:szCs w:val="16"/>
          <w:color w:val="212529"/>
        </w:rPr>
        <w:t>lidated balance sheets.</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The Securitization Facility is accounted for as a secured borrowing on a consolidated basis, rather than a sale of assets; as a result, (i) Receivables balances pledged as collateral are presented as assets and the borrowings are presented as liabilities on our consolidated balance sheets, (ii) our consolidated statements of operations reflect the associated charges for bad debt expense (a component of general and administrative expenses) related to the pledged Receivables and interest expense associated with the Securitization Facility and (iii) receipts from customers related to the underlying Receivables are reflected as operating cash flows and borrowings and repayments u</w:t>
      </w:r>
      <w:r>
        <w:rPr>
          <w:rFonts w:ascii="Arial" w:cs="Arial" w:eastAsia="Arial" w:hAnsi="Arial"/>
          <w:sz w:val="16"/>
          <w:szCs w:val="16"/>
          <w:color w:val="000000"/>
        </w:rPr>
        <w:t>nder the Securitization Facility are reflected as financing cash flows</w:t>
      </w:r>
      <w:r>
        <w:rPr>
          <w:rFonts w:ascii="Arial" w:cs="Arial" w:eastAsia="Arial" w:hAnsi="Arial"/>
          <w:sz w:val="16"/>
          <w:szCs w:val="16"/>
          <w:color w:val="212529"/>
        </w:rPr>
        <w:t xml:space="preserve"> </w:t>
      </w:r>
      <w:r>
        <w:rPr>
          <w:rFonts w:ascii="Arial" w:cs="Arial" w:eastAsia="Arial" w:hAnsi="Arial"/>
          <w:sz w:val="16"/>
          <w:szCs w:val="16"/>
          <w:color w:val="000000"/>
        </w:rPr>
        <w:t>within our consolidated statements of cash flows. The receivables and other assets of Sabre Securitization are not available to satisfy creditors of any entity other than Sabre Securitization.</w:t>
      </w:r>
    </w:p>
    <w:p>
      <w:pPr>
        <w:spacing w:after="0" w:line="8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The Securitization </w:t>
      </w:r>
      <w:r>
        <w:rPr>
          <w:rFonts w:ascii="Arial" w:cs="Arial" w:eastAsia="Arial" w:hAnsi="Arial"/>
          <w:sz w:val="16"/>
          <w:szCs w:val="16"/>
          <w:color w:val="212529"/>
        </w:rPr>
        <w:t>Facility contains certain customary representations, warranties, affirmative covenants, and negative covenants, subject to certain</w:t>
      </w:r>
      <w:r>
        <w:rPr>
          <w:rFonts w:ascii="Arial" w:cs="Arial" w:eastAsia="Arial" w:hAnsi="Arial"/>
          <w:sz w:val="16"/>
          <w:szCs w:val="16"/>
          <w:color w:val="auto"/>
        </w:rPr>
        <w:t xml:space="preserve"> </w:t>
      </w:r>
      <w:r>
        <w:rPr>
          <w:rFonts w:ascii="Arial" w:cs="Arial" w:eastAsia="Arial" w:hAnsi="Arial"/>
          <w:sz w:val="16"/>
          <w:szCs w:val="16"/>
          <w:color w:val="212529"/>
        </w:rPr>
        <w:t xml:space="preserve">cure periods in some cases, including the eligibility of the Receivables being sold by the Originators and securing the loans made by the lenders, as well as customary reserve requirements, events of default, termination events, and servicer defaults. As of </w:t>
      </w:r>
      <w:r>
        <w:rPr>
          <w:rFonts w:ascii="Arial" w:cs="Arial" w:eastAsia="Arial" w:hAnsi="Arial"/>
          <w:sz w:val="16"/>
          <w:szCs w:val="16"/>
          <w:color w:val="000000"/>
        </w:rPr>
        <w:t>June 30, 2025</w:t>
      </w:r>
      <w:r>
        <w:rPr>
          <w:rFonts w:ascii="Arial" w:cs="Arial" w:eastAsia="Arial" w:hAnsi="Arial"/>
          <w:sz w:val="16"/>
          <w:szCs w:val="16"/>
          <w:color w:val="212529"/>
        </w:rPr>
        <w:t xml:space="preserve">, we were in compliance with the financial covenants of the </w:t>
      </w:r>
      <w:r>
        <w:rPr>
          <w:rFonts w:ascii="Arial" w:cs="Arial" w:eastAsia="Arial" w:hAnsi="Arial"/>
          <w:sz w:val="16"/>
          <w:szCs w:val="16"/>
          <w:color w:val="000000"/>
        </w:rPr>
        <w:t>Securitization</w:t>
      </w:r>
      <w:r>
        <w:rPr>
          <w:rFonts w:ascii="Arial" w:cs="Arial" w:eastAsia="Arial" w:hAnsi="Arial"/>
          <w:sz w:val="16"/>
          <w:szCs w:val="16"/>
          <w:color w:val="212529"/>
        </w:rPr>
        <w:t> Facility.</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Exchangeable Notes</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April 17, 2020, Sabre GLBL entered into a debt agreement (the "2025 Exchangeable Notes Indenture") consisting of $345 million aggregate principal amount of 4.000% senior exchangeable notes due 2025 (the “</w:t>
      </w:r>
      <w:r>
        <w:rPr>
          <w:rFonts w:ascii="Arial" w:cs="Arial" w:eastAsia="Arial" w:hAnsi="Arial"/>
          <w:sz w:val="16"/>
          <w:szCs w:val="16"/>
          <w:color w:val="212529"/>
        </w:rPr>
        <w:t>2025</w:t>
      </w:r>
      <w:r>
        <w:rPr>
          <w:rFonts w:ascii="Arial" w:cs="Arial" w:eastAsia="Arial" w:hAnsi="Arial"/>
          <w:sz w:val="16"/>
          <w:szCs w:val="16"/>
          <w:color w:val="auto"/>
        </w:rPr>
        <w:t xml:space="preserve"> Exchangeable Notes”). The 2025 Exchangeable Notes were senior, unsecured obligations of Sabre GLBL, and accrued interest payable semi-annually in arrears. </w:t>
      </w:r>
      <w:r>
        <w:rPr>
          <w:rFonts w:ascii="Arial" w:cs="Arial" w:eastAsia="Arial" w:hAnsi="Arial"/>
          <w:sz w:val="16"/>
          <w:szCs w:val="16"/>
          <w:color w:val="212529"/>
        </w:rPr>
        <w:t>The 2025 Exchangeable Notes matured on April 15, 2025, and were</w:t>
      </w:r>
      <w:r>
        <w:rPr>
          <w:rFonts w:ascii="Arial" w:cs="Arial" w:eastAsia="Arial" w:hAnsi="Arial"/>
          <w:sz w:val="16"/>
          <w:szCs w:val="16"/>
          <w:color w:val="auto"/>
        </w:rPr>
        <w:t xml:space="preserve"> </w:t>
      </w:r>
      <w:r>
        <w:rPr>
          <w:rFonts w:ascii="Arial" w:cs="Arial" w:eastAsia="Arial" w:hAnsi="Arial"/>
          <w:sz w:val="16"/>
          <w:szCs w:val="16"/>
          <w:color w:val="212529"/>
        </w:rPr>
        <w:t>settled with cash</w:t>
      </w:r>
      <w:r>
        <w:rPr>
          <w:rFonts w:ascii="Arial" w:cs="Arial" w:eastAsia="Arial" w:hAnsi="Arial"/>
          <w:sz w:val="16"/>
          <w:szCs w:val="16"/>
          <w:color w:val="000000"/>
        </w:rPr>
        <w:t>.</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212529"/>
        </w:rPr>
        <w:t xml:space="preserve">On March 19, 2024, Sabre GLBL exchanged $150 million aggregate principal amount of its then-outstanding 2025 Exchangeable Notes for $150 million aggregate principal amount of Sabre GLBL's newly-issued 7.32% senior exchangeable notes due 2026 (the "2026 Exchangeable Notes" and, together with the 2025 Exchangeable Notes, the "Exchangeable Notes") and approximately $ 30 million of cash (the "March 2024 Exchangeable Notes Exchange Transaction"). We incurred additional fees of approximately $5 million in associated fees and expenses plus $3 million of accrued and unpaid interest, all of which were funded with cash on hand. </w:t>
      </w:r>
      <w:r>
        <w:rPr>
          <w:rFonts w:ascii="Arial" w:cs="Arial" w:eastAsia="Arial" w:hAnsi="Arial"/>
          <w:sz w:val="16"/>
          <w:szCs w:val="16"/>
          <w:color w:val="000000"/>
        </w:rPr>
        <w:t>We determined that the</w:t>
      </w:r>
      <w:r>
        <w:rPr>
          <w:rFonts w:ascii="Arial" w:cs="Arial" w:eastAsia="Arial" w:hAnsi="Arial"/>
          <w:sz w:val="16"/>
          <w:szCs w:val="16"/>
          <w:color w:val="212529"/>
        </w:rPr>
        <w:t xml:space="preserve"> March 2024 Exchangeable Notes Exchange Transaction</w:t>
      </w:r>
      <w:r>
        <w:rPr>
          <w:rFonts w:ascii="Arial" w:cs="Arial" w:eastAsia="Arial" w:hAnsi="Arial"/>
          <w:sz w:val="16"/>
          <w:szCs w:val="16"/>
          <w:color w:val="000000"/>
        </w:rPr>
        <w:t>, including the impact</w:t>
      </w:r>
      <w:r>
        <w:rPr>
          <w:rFonts w:ascii="Arial" w:cs="Arial" w:eastAsia="Arial" w:hAnsi="Arial"/>
          <w:sz w:val="16"/>
          <w:szCs w:val="16"/>
          <w:color w:val="212529"/>
        </w:rPr>
        <w:t xml:space="preserve"> </w:t>
      </w:r>
      <w:r>
        <w:rPr>
          <w:rFonts w:ascii="Arial" w:cs="Arial" w:eastAsia="Arial" w:hAnsi="Arial"/>
          <w:sz w:val="16"/>
          <w:szCs w:val="16"/>
          <w:color w:val="000000"/>
        </w:rPr>
        <w:t xml:space="preserve">of the exchange fees, represents a debt extinguishment and therefore recognized a loss on extinguishment of debt of $31 million during the six months ended June 30, 2024. We did not receive any cash proceeds from the exchange and did not incur additional indebtedness in excess of the aggregate principal amount of existing notes that were exchanged. </w:t>
      </w:r>
      <w:r>
        <w:rPr>
          <w:rFonts w:ascii="Arial" w:cs="Arial" w:eastAsia="Arial" w:hAnsi="Arial"/>
          <w:sz w:val="16"/>
          <w:szCs w:val="16"/>
          <w:color w:val="212529"/>
        </w:rPr>
        <w:t>The 2026 Exchangeable Notes are senior, unsecured obligations of Sabre GLBL, accrue interest</w:t>
      </w:r>
      <w:r>
        <w:rPr>
          <w:rFonts w:ascii="Arial" w:cs="Arial" w:eastAsia="Arial" w:hAnsi="Arial"/>
          <w:sz w:val="16"/>
          <w:szCs w:val="16"/>
          <w:color w:val="000000"/>
        </w:rPr>
        <w:t xml:space="preserve"> </w:t>
      </w:r>
      <w:r>
        <w:rPr>
          <w:rFonts w:ascii="Arial" w:cs="Arial" w:eastAsia="Arial" w:hAnsi="Arial"/>
          <w:sz w:val="16"/>
          <w:szCs w:val="16"/>
          <w:color w:val="212529"/>
        </w:rPr>
        <w:t xml:space="preserve">payable semi-annually in arrears on February 1 and August 1 of each year, beginning on August 1 2024, and mature on August 1, 2026, unless earlier repurchased or exchanged in accordance with specified circumstances and terms of the indenture governing the 2026 Exchangeable Notes (the "2026 Exchangeable Notes Indenture" and, together with the 2025 Exchangeable Notes Indenture, the Exchangeable Notes Indentures). As of </w:t>
      </w:r>
      <w:r>
        <w:rPr>
          <w:rFonts w:ascii="Arial" w:cs="Arial" w:eastAsia="Arial" w:hAnsi="Arial"/>
          <w:sz w:val="16"/>
          <w:szCs w:val="16"/>
          <w:color w:val="000000"/>
        </w:rPr>
        <w:t>June 30, 2025</w:t>
      </w:r>
      <w:r>
        <w:rPr>
          <w:rFonts w:ascii="Arial" w:cs="Arial" w:eastAsia="Arial" w:hAnsi="Arial"/>
          <w:sz w:val="16"/>
          <w:szCs w:val="16"/>
          <w:color w:val="212529"/>
        </w:rPr>
        <w:t>, we have $150 million aggregate principal amount of 2026 Exchangeable Notes outstanding.</w:t>
      </w:r>
    </w:p>
    <w:p>
      <w:pPr>
        <w:spacing w:after="0" w:line="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212529"/>
        </w:rPr>
        <w:t xml:space="preserve">Under the terms of the </w:t>
      </w:r>
      <w:r>
        <w:rPr>
          <w:rFonts w:ascii="Arial" w:cs="Arial" w:eastAsia="Arial" w:hAnsi="Arial"/>
          <w:sz w:val="16"/>
          <w:szCs w:val="16"/>
          <w:color w:val="000000"/>
        </w:rPr>
        <w:t>2026 Exchangeable Notes Indenture</w:t>
      </w:r>
      <w:r>
        <w:rPr>
          <w:rFonts w:ascii="Arial" w:cs="Arial" w:eastAsia="Arial" w:hAnsi="Arial"/>
          <w:sz w:val="16"/>
          <w:szCs w:val="16"/>
          <w:color w:val="212529"/>
        </w:rPr>
        <w:t xml:space="preserve">, the 2026 Exchangeable Notes are exchangeable into common stock of Sabre Corporation (referred to as </w:t>
      </w:r>
      <w:r>
        <w:rPr>
          <w:rFonts w:ascii="Arial" w:cs="Arial" w:eastAsia="Arial" w:hAnsi="Arial"/>
          <w:sz w:val="16"/>
          <w:szCs w:val="16"/>
          <w:color w:val="000000"/>
        </w:rPr>
        <w:t>“</w:t>
      </w:r>
      <w:r>
        <w:rPr>
          <w:rFonts w:ascii="Arial" w:cs="Arial" w:eastAsia="Arial" w:hAnsi="Arial"/>
          <w:sz w:val="16"/>
          <w:szCs w:val="16"/>
          <w:color w:val="212529"/>
        </w:rPr>
        <w:t>our common stock” herein) at the following times or circumstances:</w:t>
      </w:r>
    </w:p>
    <w:p>
      <w:pPr>
        <w:spacing w:after="0" w:line="61" w:lineRule="exact"/>
        <w:rPr>
          <w:sz w:val="20"/>
          <w:szCs w:val="20"/>
          <w:color w:val="auto"/>
        </w:rPr>
      </w:pPr>
    </w:p>
    <w:p>
      <w:pPr>
        <w:jc w:val="both"/>
        <w:ind w:left="660" w:hanging="328"/>
        <w:spacing w:after="0" w:line="266" w:lineRule="auto"/>
        <w:tabs>
          <w:tab w:leader="none" w:pos="649" w:val="left"/>
        </w:tabs>
        <w:numPr>
          <w:ilvl w:val="0"/>
          <w:numId w:val="6"/>
        </w:numPr>
        <w:rPr>
          <w:rFonts w:ascii="Arial" w:cs="Arial" w:eastAsia="Arial" w:hAnsi="Arial"/>
          <w:sz w:val="16"/>
          <w:szCs w:val="16"/>
          <w:color w:val="212529"/>
        </w:rPr>
      </w:pPr>
      <w:r>
        <w:rPr>
          <w:rFonts w:ascii="Arial" w:cs="Arial" w:eastAsia="Arial" w:hAnsi="Arial"/>
          <w:sz w:val="16"/>
          <w:szCs w:val="16"/>
          <w:color w:val="212529"/>
        </w:rPr>
        <w:t>during any calendar quarter commencing after the calendar quarter ended June 30, 2024,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w:t>
      </w:r>
    </w:p>
    <w:p>
      <w:pPr>
        <w:spacing w:after="0" w:line="76" w:lineRule="exact"/>
        <w:rPr>
          <w:rFonts w:ascii="Arial" w:cs="Arial" w:eastAsia="Arial" w:hAnsi="Arial"/>
          <w:sz w:val="16"/>
          <w:szCs w:val="16"/>
          <w:color w:val="212529"/>
        </w:rPr>
      </w:pPr>
    </w:p>
    <w:p>
      <w:pPr>
        <w:jc w:val="both"/>
        <w:ind w:left="660" w:hanging="328"/>
        <w:spacing w:after="0" w:line="262"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212529"/>
        </w:rPr>
        <w:t xml:space="preserve">during the five consecutive business days immediately after any five consecutive trading day period (such five consecutive trading day period, the </w:t>
      </w:r>
      <w:r>
        <w:rPr>
          <w:rFonts w:ascii="Arial" w:cs="Arial" w:eastAsia="Arial" w:hAnsi="Arial"/>
          <w:sz w:val="16"/>
          <w:szCs w:val="16"/>
          <w:color w:val="000000"/>
        </w:rPr>
        <w:t>“</w:t>
      </w:r>
      <w:r>
        <w:rPr>
          <w:rFonts w:ascii="Arial" w:cs="Arial" w:eastAsia="Arial" w:hAnsi="Arial"/>
          <w:sz w:val="16"/>
          <w:szCs w:val="16"/>
          <w:color w:val="212529"/>
        </w:rPr>
        <w:t>Measurement Period”) if the trading price per $1,000 principal amount of the 2026 Exchangeable Notes, as determined following a request by a</w:t>
      </w:r>
      <w:r>
        <w:rPr>
          <w:rFonts w:ascii="Arial" w:cs="Arial" w:eastAsia="Arial" w:hAnsi="Arial"/>
          <w:sz w:val="16"/>
          <w:szCs w:val="16"/>
          <w:color w:val="000000"/>
        </w:rPr>
        <w:t xml:space="preserve"> </w:t>
      </w:r>
      <w:r>
        <w:rPr>
          <w:rFonts w:ascii="Arial" w:cs="Arial" w:eastAsia="Arial" w:hAnsi="Arial"/>
          <w:sz w:val="16"/>
          <w:szCs w:val="16"/>
          <w:color w:val="212529"/>
        </w:rPr>
        <w:t xml:space="preserve">holder in accordance with the procedures in the </w:t>
      </w:r>
      <w:r>
        <w:rPr>
          <w:rFonts w:ascii="Arial" w:cs="Arial" w:eastAsia="Arial" w:hAnsi="Arial"/>
          <w:sz w:val="16"/>
          <w:szCs w:val="16"/>
          <w:color w:val="000000"/>
        </w:rPr>
        <w:t>2026 Exchangeable Notes Indenture</w:t>
      </w:r>
      <w:r>
        <w:rPr>
          <w:rFonts w:ascii="Arial" w:cs="Arial" w:eastAsia="Arial" w:hAnsi="Arial"/>
          <w:sz w:val="16"/>
          <w:szCs w:val="16"/>
          <w:color w:val="212529"/>
        </w:rPr>
        <w:t>, for each trading day of the Measurement Period was less than 98% of the product of the last reported sale price per share of our common stock on such trading day and the exchange rate on such trading day;</w:t>
      </w:r>
    </w:p>
    <w:p>
      <w:pPr>
        <w:spacing w:after="0" w:line="27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212529"/>
        </w:rPr>
      </w:pPr>
      <w:r>
        <w:rPr>
          <w:rFonts w:ascii="Arial" w:cs="Arial" w:eastAsia="Arial" w:hAnsi="Arial"/>
          <w:sz w:val="16"/>
          <w:szCs w:val="16"/>
          <w:color w:val="212529"/>
        </w:rPr>
        <w:t xml:space="preserve">upon the occurrence of certain corporate events or distributions on our common stock, including but not limited to a “Fundamental Change” (as defined in the </w:t>
      </w:r>
      <w:r>
        <w:rPr>
          <w:rFonts w:ascii="Arial" w:cs="Arial" w:eastAsia="Arial" w:hAnsi="Arial"/>
          <w:sz w:val="16"/>
          <w:szCs w:val="16"/>
          <w:color w:val="000000"/>
        </w:rPr>
        <w:t>2026 Exchangeable Notes Indenture</w:t>
      </w:r>
      <w:r>
        <w:rPr>
          <w:rFonts w:ascii="Arial" w:cs="Arial" w:eastAsia="Arial" w:hAnsi="Arial"/>
          <w:sz w:val="16"/>
          <w:szCs w:val="16"/>
          <w:color w:val="212529"/>
        </w:rPr>
        <w:t>);</w:t>
      </w:r>
    </w:p>
    <w:p>
      <w:pPr>
        <w:spacing w:after="0" w:line="61" w:lineRule="exact"/>
        <w:rPr>
          <w:rFonts w:ascii="Arial" w:cs="Arial" w:eastAsia="Arial" w:hAnsi="Arial"/>
          <w:sz w:val="16"/>
          <w:szCs w:val="16"/>
          <w:color w:val="212529"/>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212529"/>
        </w:rPr>
        <w:t>upon the occurrence of specified corporate events; or</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212529"/>
        </w:rPr>
      </w:pPr>
      <w:r>
        <w:rPr>
          <w:rFonts w:ascii="Arial" w:cs="Arial" w:eastAsia="Arial" w:hAnsi="Arial"/>
          <w:sz w:val="16"/>
          <w:szCs w:val="16"/>
          <w:color w:val="212529"/>
        </w:rPr>
        <w:t>on or after February 1, 2026, until the close of business on the second scheduled trading day immediately preceding the maturity date, August 1, 2026.</w:t>
      </w:r>
    </w:p>
    <w:p>
      <w:pPr>
        <w:spacing w:after="0" w:line="6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With certain exceptions, upon a Change of Control or other Fundamental Change (both as defined in the 2026 Exchangeable Notes Indenture), the holders of the 2026 Exchangeable Notes may require us to repurchase all or part of the principal amount of the 2026 Exchangeable Notes at a repurchase price equal to 100% of the principal amount of the 2026</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color w:val="auto"/>
        </w:rPr>
        <w:t>Exchangeable Notes, plus any accrued and unpaid interest to, but excluding, the repurchase date. As of June 30, 2025, none of the conditions allowing holders of the 2026 Exchangeable Notes to exchange have been met.</w:t>
      </w:r>
    </w:p>
    <w:p>
      <w:pPr>
        <w:spacing w:after="0" w:line="6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are exchangeable at their holder’s election into shares of our common stock based on an initial exchange rate of 222.2222 shares of common stock per $1,000 principal amount of 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which is equivalent to an initial exchange price of approximately $4.50 per share. The exchange rate is subject to anti-dilution and other adjustments. Upon exchange, Sabre GLBL will pay or deliver, as the case may be, cash, shares of our common stock or a combination of cash and shares of common stock, at our election. </w:t>
      </w:r>
      <w:r>
        <w:rPr>
          <w:rFonts w:ascii="Arial" w:cs="Arial" w:eastAsia="Arial" w:hAnsi="Arial"/>
          <w:sz w:val="16"/>
          <w:szCs w:val="16"/>
          <w:color w:val="212529"/>
        </w:rPr>
        <w:t>If a “Make-Whole Fundamental</w:t>
      </w:r>
      <w:r>
        <w:rPr>
          <w:rFonts w:ascii="Arial" w:cs="Arial" w:eastAsia="Arial" w:hAnsi="Arial"/>
          <w:sz w:val="16"/>
          <w:szCs w:val="16"/>
          <w:color w:val="auto"/>
        </w:rPr>
        <w:t xml:space="preserve"> </w:t>
      </w:r>
      <w:r>
        <w:rPr>
          <w:rFonts w:ascii="Arial" w:cs="Arial" w:eastAsia="Arial" w:hAnsi="Arial"/>
          <w:sz w:val="16"/>
          <w:szCs w:val="16"/>
          <w:color w:val="212529"/>
        </w:rPr>
        <w:t>Change” (as defined in the 2026 Exchangeable Notes Indenture) occurred with respect to any 2026 Exchangeable Note and the exchange date for the exchange of such 2026 Exchangeable Note occurred during the related “Make-Whole Fundamental Change Exchange Period” (as defined in the 2026 Exchangeable Notes Indenture), then, subject to the provisions set forth in the 2026 Exchangeable Notes Indenture, the exchange rate applicable to such exchange would have been increased by a number of shares set forth in the table contained in the 2026 Exchangeable Notes Indenture, based on a function of the time since origination and our stock price on the date of the occurrence of such Make-Whole Fundamental Change.</w:t>
      </w:r>
    </w:p>
    <w:p>
      <w:pPr>
        <w:spacing w:after="0" w:line="6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Debt issuance costs are amortized over the contractual life of the Exchangeable Notes through interest expense, within our results from continuing operations. The effective interest rate at June 30, 2025 was 8.82% for the 2026 Exchangeable Notes. The effective interest rates at June 30, 2024 were 4.78% and 8.82% for the 2025 Exchangeable Notes and the 2026 Exchangeable Notes, respectively.</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carrying value of the Exchangeable Notes as of June 30, 2025 and December 31,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left="224"/>
              <w:spacing w:after="0"/>
              <w:rPr>
                <w:sz w:val="20"/>
                <w:szCs w:val="20"/>
                <w:color w:val="auto"/>
              </w:rPr>
            </w:pPr>
            <w:r>
              <w:rPr>
                <w:rFonts w:ascii="Arial" w:cs="Arial" w:eastAsia="Arial" w:hAnsi="Arial"/>
                <w:sz w:val="13"/>
                <w:szCs w:val="13"/>
                <w:b w:val="1"/>
                <w:bCs w:val="1"/>
                <w:color w:val="auto"/>
                <w:w w:val="96"/>
              </w:rPr>
              <w:t>June 30, 2025</w:t>
            </w: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3"/>
                <w:szCs w:val="13"/>
                <w:b w:val="1"/>
                <w:bCs w:val="1"/>
                <w:color w:val="auto"/>
              </w:rPr>
              <w:t>December 31, 2024</w:t>
            </w:r>
          </w:p>
        </w:tc>
        <w:tc>
          <w:tcPr>
            <w:tcW w:w="900" w:type="dxa"/>
            <w:vAlign w:val="bottom"/>
            <w:tcBorders>
              <w:bottom w:val="single" w:sz="8" w:color="auto"/>
            </w:tcBorders>
          </w:tcPr>
          <w:p>
            <w:pPr>
              <w:spacing w:after="0"/>
              <w:rPr>
                <w:sz w:val="15"/>
                <w:szCs w:val="15"/>
                <w:color w:val="auto"/>
              </w:rPr>
            </w:pPr>
          </w:p>
        </w:tc>
      </w:tr>
      <w:tr>
        <w:trPr>
          <w:trHeight w:val="173"/>
        </w:trPr>
        <w:tc>
          <w:tcPr>
            <w:tcW w:w="4300" w:type="dxa"/>
            <w:vAlign w:val="bottom"/>
            <w:shd w:val="clear" w:color="auto" w:fill="CCEEFF"/>
          </w:tcPr>
          <w:p>
            <w:pPr>
              <w:spacing w:after="0"/>
              <w:rPr>
                <w:sz w:val="15"/>
                <w:szCs w:val="15"/>
                <w:color w:val="auto"/>
              </w:rPr>
            </w:pPr>
          </w:p>
        </w:tc>
        <w:tc>
          <w:tcPr>
            <w:tcW w:w="3400" w:type="dxa"/>
            <w:vAlign w:val="bottom"/>
            <w:gridSpan w:val="3"/>
            <w:shd w:val="clear" w:color="auto" w:fill="CCEEFF"/>
          </w:tcPr>
          <w:p>
            <w:pPr>
              <w:jc w:val="center"/>
              <w:spacing w:after="0"/>
              <w:rPr>
                <w:sz w:val="20"/>
                <w:szCs w:val="20"/>
                <w:color w:val="auto"/>
              </w:rPr>
            </w:pPr>
            <w:r>
              <w:rPr>
                <w:rFonts w:ascii="Arial" w:cs="Arial" w:eastAsia="Arial" w:hAnsi="Arial"/>
                <w:sz w:val="13"/>
                <w:szCs w:val="13"/>
                <w:b w:val="1"/>
                <w:bCs w:val="1"/>
                <w:color w:val="auto"/>
                <w:w w:val="99"/>
              </w:rPr>
              <w:t>2025 Exchangeable Notes  2026 Exchangeable Notes</w:t>
            </w:r>
          </w:p>
        </w:tc>
        <w:tc>
          <w:tcPr>
            <w:tcW w:w="1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2025 Exchangeable Notes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2026 Exchangeable Notes</w:t>
            </w: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Principal</w:t>
            </w:r>
          </w:p>
        </w:tc>
        <w:tc>
          <w:tcPr>
            <w:tcW w:w="700" w:type="dxa"/>
            <w:vAlign w:val="bottom"/>
          </w:tcPr>
          <w:p>
            <w:pPr>
              <w:jc w:val="right"/>
              <w:ind w:right="525"/>
              <w:spacing w:after="0"/>
              <w:rPr>
                <w:sz w:val="20"/>
                <w:szCs w:val="20"/>
                <w:color w:val="auto"/>
              </w:rPr>
            </w:pPr>
            <w:r>
              <w:rPr>
                <w:rFonts w:ascii="Arial" w:cs="Arial" w:eastAsia="Arial" w:hAnsi="Arial"/>
                <w:sz w:val="16"/>
                <w:szCs w:val="16"/>
                <w:color w:val="auto"/>
                <w:w w:val="89"/>
              </w:rPr>
              <w:t>$</w:t>
            </w:r>
          </w:p>
        </w:tc>
        <w:tc>
          <w:tcPr>
            <w:tcW w:w="1720" w:type="dxa"/>
            <w:vAlign w:val="bottom"/>
          </w:tcPr>
          <w:p>
            <w:pPr>
              <w:ind w:left="76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140" w:type="dxa"/>
            <w:vAlign w:val="bottom"/>
          </w:tcPr>
          <w:p>
            <w:pPr>
              <w:spacing w:after="0"/>
              <w:rPr>
                <w:sz w:val="18"/>
                <w:szCs w:val="18"/>
                <w:color w:val="auto"/>
              </w:rPr>
            </w:pPr>
          </w:p>
        </w:tc>
        <w:tc>
          <w:tcPr>
            <w:tcW w:w="580" w:type="dxa"/>
            <w:vAlign w:val="bottom"/>
          </w:tcPr>
          <w:p>
            <w:pPr>
              <w:jc w:val="right"/>
              <w:ind w:right="405"/>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183,220</w:t>
            </w:r>
          </w:p>
        </w:tc>
        <w:tc>
          <w:tcPr>
            <w:tcW w:w="820" w:type="dxa"/>
            <w:vAlign w:val="bottom"/>
          </w:tcPr>
          <w:p>
            <w:pPr>
              <w:jc w:val="right"/>
              <w:ind w:right="625"/>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150,000</w:t>
            </w: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7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8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r>
      <w:tr>
        <w:trPr>
          <w:trHeight w:val="210"/>
        </w:trPr>
        <w:tc>
          <w:tcPr>
            <w:tcW w:w="4300" w:type="dxa"/>
            <w:vAlign w:val="bottom"/>
          </w:tcPr>
          <w:p>
            <w:pPr>
              <w:ind w:left="20"/>
              <w:spacing w:after="0"/>
              <w:rPr>
                <w:sz w:val="20"/>
                <w:szCs w:val="20"/>
                <w:color w:val="auto"/>
              </w:rPr>
            </w:pPr>
            <w:r>
              <w:rPr>
                <w:rFonts w:ascii="Arial" w:cs="Arial" w:eastAsia="Arial" w:hAnsi="Arial"/>
                <w:sz w:val="16"/>
                <w:szCs w:val="16"/>
                <w:color w:val="auto"/>
              </w:rPr>
              <w:t>Net carrying value</w:t>
            </w:r>
          </w:p>
        </w:tc>
        <w:tc>
          <w:tcPr>
            <w:tcW w:w="70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147,686</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182,806</w:t>
            </w:r>
          </w:p>
        </w:tc>
        <w:tc>
          <w:tcPr>
            <w:tcW w:w="820" w:type="dxa"/>
            <w:vAlign w:val="bottom"/>
            <w:tcBorders>
              <w:bottom w:val="single" w:sz="8" w:color="auto"/>
            </w:tcBorders>
          </w:tcPr>
          <w:p>
            <w:pPr>
              <w:jc w:val="right"/>
              <w:ind w:right="625"/>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146,689</w:t>
            </w:r>
          </w:p>
        </w:tc>
      </w:tr>
      <w:tr>
        <w:trPr>
          <w:trHeight w:val="21"/>
        </w:trPr>
        <w:tc>
          <w:tcPr>
            <w:tcW w:w="4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 sets forth interest expense recognized related to the Exchangeable Notes for the three and six months ended June 30, 2025 and 2024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7"/>
              </w:rPr>
              <w:t>Three Months Ended June 30,</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3"/>
                <w:szCs w:val="13"/>
                <w:b w:val="1"/>
                <w:bCs w:val="1"/>
                <w:color w:val="auto"/>
              </w:rPr>
              <w:t>Six Months Ended June 30,</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71"/>
        </w:trPr>
        <w:tc>
          <w:tcPr>
            <w:tcW w:w="2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880" w:type="dxa"/>
            <w:vAlign w:val="bottom"/>
            <w:tcBorders>
              <w:bottom w:val="single" w:sz="8" w:color="auto"/>
            </w:tcBorders>
          </w:tcPr>
          <w:p>
            <w:pPr>
              <w:spacing w:after="0"/>
              <w:rPr>
                <w:sz w:val="14"/>
                <w:szCs w:val="14"/>
                <w:color w:val="auto"/>
              </w:rPr>
            </w:pPr>
          </w:p>
        </w:tc>
      </w:tr>
      <w:tr>
        <w:trPr>
          <w:trHeight w:val="104"/>
        </w:trPr>
        <w:tc>
          <w:tcPr>
            <w:tcW w:w="2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jc w:val="center"/>
              <w:ind w:right="36"/>
              <w:spacing w:after="0" w:line="104" w:lineRule="exact"/>
              <w:rPr>
                <w:sz w:val="20"/>
                <w:szCs w:val="20"/>
                <w:color w:val="auto"/>
              </w:rPr>
            </w:pPr>
            <w:r>
              <w:rPr>
                <w:rFonts w:ascii="Arial" w:cs="Arial" w:eastAsia="Arial" w:hAnsi="Arial"/>
                <w:sz w:val="11"/>
                <w:szCs w:val="11"/>
                <w:b w:val="1"/>
                <w:bCs w:val="1"/>
                <w:color w:val="auto"/>
                <w:w w:val="97"/>
              </w:rPr>
              <w:t>2025</w:t>
            </w: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96"/>
              <w:spacing w:after="0" w:line="104" w:lineRule="exact"/>
              <w:rPr>
                <w:sz w:val="20"/>
                <w:szCs w:val="20"/>
                <w:color w:val="auto"/>
              </w:rPr>
            </w:pPr>
            <w:r>
              <w:rPr>
                <w:rFonts w:ascii="Arial" w:cs="Arial" w:eastAsia="Arial" w:hAnsi="Arial"/>
                <w:sz w:val="11"/>
                <w:szCs w:val="11"/>
                <w:b w:val="1"/>
                <w:bCs w:val="1"/>
                <w:color w:val="auto"/>
                <w:w w:val="97"/>
              </w:rPr>
              <w:t>2026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56"/>
              <w:spacing w:after="0" w:line="104" w:lineRule="exact"/>
              <w:rPr>
                <w:sz w:val="20"/>
                <w:szCs w:val="20"/>
                <w:color w:val="auto"/>
              </w:rPr>
            </w:pPr>
            <w:r>
              <w:rPr>
                <w:rFonts w:ascii="Arial" w:cs="Arial" w:eastAsia="Arial" w:hAnsi="Arial"/>
                <w:sz w:val="11"/>
                <w:szCs w:val="11"/>
                <w:b w:val="1"/>
                <w:bCs w:val="1"/>
                <w:color w:val="auto"/>
                <w:w w:val="97"/>
              </w:rPr>
              <w:t>2025</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55"/>
              <w:spacing w:after="0" w:line="104" w:lineRule="exact"/>
              <w:rPr>
                <w:sz w:val="20"/>
                <w:szCs w:val="20"/>
                <w:color w:val="auto"/>
              </w:rPr>
            </w:pPr>
            <w:r>
              <w:rPr>
                <w:rFonts w:ascii="Arial" w:cs="Arial" w:eastAsia="Arial" w:hAnsi="Arial"/>
                <w:sz w:val="11"/>
                <w:szCs w:val="11"/>
                <w:b w:val="1"/>
                <w:bCs w:val="1"/>
                <w:color w:val="auto"/>
                <w:w w:val="97"/>
              </w:rPr>
              <w:t>2026</w:t>
            </w:r>
          </w:p>
        </w:tc>
        <w:tc>
          <w:tcPr>
            <w:tcW w:w="100" w:type="dxa"/>
            <w:vAlign w:val="bottom"/>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16"/>
              <w:spacing w:after="0" w:line="104" w:lineRule="exact"/>
              <w:rPr>
                <w:sz w:val="20"/>
                <w:szCs w:val="20"/>
                <w:color w:val="auto"/>
              </w:rPr>
            </w:pPr>
            <w:r>
              <w:rPr>
                <w:rFonts w:ascii="Arial" w:cs="Arial" w:eastAsia="Arial" w:hAnsi="Arial"/>
                <w:sz w:val="11"/>
                <w:szCs w:val="11"/>
                <w:b w:val="1"/>
                <w:bCs w:val="1"/>
                <w:color w:val="auto"/>
                <w:w w:val="97"/>
              </w:rPr>
              <w:t>2025</w:t>
            </w: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96"/>
              <w:spacing w:after="0" w:line="104" w:lineRule="exact"/>
              <w:rPr>
                <w:sz w:val="20"/>
                <w:szCs w:val="20"/>
                <w:color w:val="auto"/>
              </w:rPr>
            </w:pPr>
            <w:r>
              <w:rPr>
                <w:rFonts w:ascii="Arial" w:cs="Arial" w:eastAsia="Arial" w:hAnsi="Arial"/>
                <w:sz w:val="11"/>
                <w:szCs w:val="11"/>
                <w:b w:val="1"/>
                <w:bCs w:val="1"/>
                <w:color w:val="auto"/>
                <w:w w:val="97"/>
              </w:rPr>
              <w:t>2026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jc w:val="center"/>
              <w:ind w:right="36"/>
              <w:spacing w:after="0" w:line="104" w:lineRule="exact"/>
              <w:rPr>
                <w:sz w:val="20"/>
                <w:szCs w:val="20"/>
                <w:color w:val="auto"/>
              </w:rPr>
            </w:pPr>
            <w:r>
              <w:rPr>
                <w:rFonts w:ascii="Arial" w:cs="Arial" w:eastAsia="Arial" w:hAnsi="Arial"/>
                <w:sz w:val="11"/>
                <w:szCs w:val="11"/>
                <w:b w:val="1"/>
                <w:bCs w:val="1"/>
                <w:color w:val="auto"/>
                <w:w w:val="97"/>
              </w:rPr>
              <w:t>2025</w:t>
            </w: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95"/>
              <w:spacing w:after="0" w:line="104" w:lineRule="exact"/>
              <w:rPr>
                <w:sz w:val="20"/>
                <w:szCs w:val="20"/>
                <w:color w:val="auto"/>
              </w:rPr>
            </w:pPr>
            <w:r>
              <w:rPr>
                <w:rFonts w:ascii="Arial" w:cs="Arial" w:eastAsia="Arial" w:hAnsi="Arial"/>
                <w:sz w:val="11"/>
                <w:szCs w:val="11"/>
                <w:b w:val="1"/>
                <w:bCs w:val="1"/>
                <w:color w:val="auto"/>
                <w:w w:val="97"/>
              </w:rPr>
              <w:t>2026</w:t>
            </w:r>
          </w:p>
        </w:tc>
      </w:tr>
      <w:tr>
        <w:trPr>
          <w:trHeight w:val="108"/>
        </w:trPr>
        <w:tc>
          <w:tcPr>
            <w:tcW w:w="2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jc w:val="center"/>
              <w:ind w:right="36"/>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1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center"/>
              <w:ind w:right="260"/>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56"/>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75"/>
              <w:spacing w:after="0" w:line="108" w:lineRule="exact"/>
              <w:rPr>
                <w:sz w:val="20"/>
                <w:szCs w:val="20"/>
                <w:color w:val="auto"/>
              </w:rPr>
            </w:pPr>
            <w:r>
              <w:rPr>
                <w:rFonts w:ascii="Arial" w:cs="Arial" w:eastAsia="Arial" w:hAnsi="Arial"/>
                <w:sz w:val="11"/>
                <w:szCs w:val="11"/>
                <w:b w:val="1"/>
                <w:bCs w:val="1"/>
                <w:color w:val="auto"/>
                <w:w w:val="99"/>
              </w:rPr>
              <w:t>Exchangeable</w:t>
            </w:r>
          </w:p>
        </w:tc>
        <w:tc>
          <w:tcPr>
            <w:tcW w:w="100" w:type="dxa"/>
            <w:vAlign w:val="bottom"/>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36"/>
              <w:spacing w:after="0" w:line="108" w:lineRule="exact"/>
              <w:rPr>
                <w:sz w:val="20"/>
                <w:szCs w:val="20"/>
                <w:color w:val="auto"/>
              </w:rPr>
            </w:pPr>
            <w:r>
              <w:rPr>
                <w:rFonts w:ascii="Arial" w:cs="Arial" w:eastAsia="Arial" w:hAnsi="Arial"/>
                <w:sz w:val="11"/>
                <w:szCs w:val="11"/>
                <w:b w:val="1"/>
                <w:bCs w:val="1"/>
                <w:color w:val="auto"/>
                <w:w w:val="99"/>
              </w:rPr>
              <w:t>Exchangeable</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jc w:val="center"/>
              <w:ind w:right="36"/>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95"/>
              <w:spacing w:after="0" w:line="108" w:lineRule="exact"/>
              <w:rPr>
                <w:sz w:val="20"/>
                <w:szCs w:val="20"/>
                <w:color w:val="auto"/>
              </w:rPr>
            </w:pPr>
            <w:r>
              <w:rPr>
                <w:rFonts w:ascii="Arial" w:cs="Arial" w:eastAsia="Arial" w:hAnsi="Arial"/>
                <w:sz w:val="11"/>
                <w:szCs w:val="11"/>
                <w:b w:val="1"/>
                <w:bCs w:val="1"/>
                <w:color w:val="auto"/>
                <w:w w:val="97"/>
              </w:rPr>
              <w:t>Exchangeable</w:t>
            </w:r>
          </w:p>
        </w:tc>
      </w:tr>
      <w:tr>
        <w:trPr>
          <w:trHeight w:val="162"/>
        </w:trPr>
        <w:tc>
          <w:tcPr>
            <w:tcW w:w="2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16"/>
              <w:spacing w:after="0"/>
              <w:rPr>
                <w:sz w:val="20"/>
                <w:szCs w:val="20"/>
                <w:color w:val="auto"/>
              </w:rPr>
            </w:pPr>
            <w:r>
              <w:rPr>
                <w:rFonts w:ascii="Arial" w:cs="Arial" w:eastAsia="Arial" w:hAnsi="Arial"/>
                <w:sz w:val="11"/>
                <w:szCs w:val="11"/>
                <w:b w:val="1"/>
                <w:bCs w:val="1"/>
                <w:color w:val="auto"/>
                <w:w w:val="98"/>
              </w:rPr>
              <w:t>Notes</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w w:val="98"/>
              </w:rPr>
              <w:t>Notes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right="36"/>
              <w:spacing w:after="0"/>
              <w:rPr>
                <w:sz w:val="20"/>
                <w:szCs w:val="20"/>
                <w:color w:val="auto"/>
              </w:rPr>
            </w:pPr>
            <w:r>
              <w:rPr>
                <w:rFonts w:ascii="Arial" w:cs="Arial" w:eastAsia="Arial" w:hAnsi="Arial"/>
                <w:sz w:val="11"/>
                <w:szCs w:val="11"/>
                <w:b w:val="1"/>
                <w:bCs w:val="1"/>
                <w:color w:val="auto"/>
                <w:w w:val="98"/>
              </w:rPr>
              <w:t>Notes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right="75"/>
              <w:spacing w:after="0"/>
              <w:rPr>
                <w:sz w:val="20"/>
                <w:szCs w:val="20"/>
                <w:color w:val="auto"/>
              </w:rPr>
            </w:pPr>
            <w:r>
              <w:rPr>
                <w:rFonts w:ascii="Arial" w:cs="Arial" w:eastAsia="Arial" w:hAnsi="Arial"/>
                <w:sz w:val="11"/>
                <w:szCs w:val="11"/>
                <w:b w:val="1"/>
                <w:bCs w:val="1"/>
                <w:color w:val="auto"/>
                <w:w w:val="98"/>
              </w:rPr>
              <w:t>Notes</w:t>
            </w:r>
          </w:p>
        </w:tc>
        <w:tc>
          <w:tcPr>
            <w:tcW w:w="10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right="36"/>
              <w:spacing w:after="0"/>
              <w:rPr>
                <w:sz w:val="20"/>
                <w:szCs w:val="20"/>
                <w:color w:val="auto"/>
              </w:rPr>
            </w:pPr>
            <w:r>
              <w:rPr>
                <w:rFonts w:ascii="Arial" w:cs="Arial" w:eastAsia="Arial" w:hAnsi="Arial"/>
                <w:sz w:val="11"/>
                <w:szCs w:val="11"/>
                <w:b w:val="1"/>
                <w:bCs w:val="1"/>
                <w:color w:val="auto"/>
                <w:w w:val="98"/>
              </w:rPr>
              <w:t>Notes</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1"/>
                <w:szCs w:val="11"/>
                <w:b w:val="1"/>
                <w:bCs w:val="1"/>
                <w:color w:val="auto"/>
                <w:w w:val="98"/>
              </w:rPr>
              <w:t>Notes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56"/>
              <w:spacing w:after="0"/>
              <w:rPr>
                <w:sz w:val="20"/>
                <w:szCs w:val="20"/>
                <w:color w:val="auto"/>
              </w:rPr>
            </w:pPr>
            <w:r>
              <w:rPr>
                <w:rFonts w:ascii="Arial" w:cs="Arial" w:eastAsia="Arial" w:hAnsi="Arial"/>
                <w:sz w:val="11"/>
                <w:szCs w:val="11"/>
                <w:b w:val="1"/>
                <w:bCs w:val="1"/>
                <w:color w:val="auto"/>
                <w:w w:val="98"/>
              </w:rPr>
              <w:t>Notes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right="75"/>
              <w:spacing w:after="0"/>
              <w:rPr>
                <w:sz w:val="20"/>
                <w:szCs w:val="20"/>
                <w:color w:val="auto"/>
              </w:rPr>
            </w:pPr>
            <w:r>
              <w:rPr>
                <w:rFonts w:ascii="Arial" w:cs="Arial" w:eastAsia="Arial" w:hAnsi="Arial"/>
                <w:sz w:val="11"/>
                <w:szCs w:val="11"/>
                <w:b w:val="1"/>
                <w:bCs w:val="1"/>
                <w:color w:val="auto"/>
                <w:w w:val="98"/>
              </w:rPr>
              <w:t>Notes</w:t>
            </w: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Contractual interest expense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6"/>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1,832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6"/>
              <w:spacing w:after="0"/>
              <w:rPr>
                <w:sz w:val="20"/>
                <w:szCs w:val="20"/>
                <w:color w:val="auto"/>
              </w:rPr>
            </w:pPr>
            <w:r>
              <w:rPr>
                <w:rFonts w:ascii="Arial" w:cs="Arial" w:eastAsia="Arial" w:hAnsi="Arial"/>
                <w:sz w:val="16"/>
                <w:szCs w:val="16"/>
                <w:color w:val="auto"/>
              </w:rPr>
              <w:t>5,490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5"/>
              <w:spacing w:after="0"/>
              <w:rPr>
                <w:sz w:val="20"/>
                <w:szCs w:val="20"/>
                <w:color w:val="auto"/>
              </w:rPr>
            </w:pPr>
            <w:r>
              <w:rPr>
                <w:rFonts w:ascii="Arial" w:cs="Arial" w:eastAsia="Arial" w:hAnsi="Arial"/>
                <w:sz w:val="16"/>
                <w:szCs w:val="16"/>
                <w:color w:val="auto"/>
              </w:rPr>
              <w:t>3,111</w:t>
            </w:r>
          </w:p>
        </w:tc>
      </w:tr>
      <w:tr>
        <w:trPr>
          <w:trHeight w:val="21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issuance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rPr>
              <w:t>996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522</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Derivatives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 managed by using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is interest rate risk. Interest rate swaps are entered into to manage interest rate risk associated with our floating-rate borrowings.</w:t>
      </w:r>
    </w:p>
    <w:p>
      <w:pPr>
        <w:spacing w:after="0" w:line="3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In accordance with authoritative guidance on accounting for derivatives and hedging, we designate interest rate swaps as cash flow hedges of floating-rate borrowings.</w:t>
      </w:r>
    </w:p>
    <w:p>
      <w:pPr>
        <w:spacing w:after="0" w:line="33"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i w:val="1"/>
          <w:iCs w:val="1"/>
          <w:color w:val="auto"/>
        </w:rPr>
        <w:t>Cash Flow Hedging Strategy</w:t>
      </w:r>
      <w:r>
        <w:rPr>
          <w:rFonts w:ascii="Arial" w:cs="Arial" w:eastAsia="Arial" w:hAnsi="Arial"/>
          <w:sz w:val="16"/>
          <w:szCs w:val="16"/>
          <w:color w:val="auto"/>
        </w:rPr>
        <w:t>—We enter into interest rate swap agreements to manage interest rate risk exposure. The interest rate swap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6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portions and ineffective portions of the gain or loss on the derivative instruments are reported as a component of other comprehensive income (loss) (“OCI”) and reclassified into earnings in the same line item associated with the forecasted transaction and in the same period or periods during which the hedged transaction affects earnings. As of June 30, 2025, we did not have any hedge components excluded from the assessment of effectiveness. Cash flow hedges are classified in the same category in the consolidated statements of cash flows as the items being hedged and gains and losses on the derivative financial instruments are reported in cash provided by (used in) operating activities within the consolidated statements of cash flows. Derivatives not designated as hedging instruments are carried at fair value with changes in fair value reflected in Other, net in the consolidated statements of operations.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during the six months ended June 30, 2025 and 2024,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vMerge w:val="restart"/>
          </w:tcPr>
          <w:p>
            <w:pPr>
              <w:ind w:left="580"/>
              <w:spacing w:after="0"/>
              <w:rPr>
                <w:sz w:val="20"/>
                <w:szCs w:val="20"/>
                <w:color w:val="auto"/>
              </w:rPr>
            </w:pPr>
            <w:r>
              <w:rPr>
                <w:rFonts w:ascii="Arial" w:cs="Arial" w:eastAsia="Arial" w:hAnsi="Arial"/>
                <w:sz w:val="13"/>
                <w:szCs w:val="13"/>
                <w:b w:val="1"/>
                <w:bCs w:val="1"/>
                <w:color w:val="auto"/>
              </w:rPr>
              <w:t>Notional Amount</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3"/>
                <w:szCs w:val="13"/>
                <w:color w:val="auto"/>
              </w:rPr>
            </w:pPr>
          </w:p>
        </w:tc>
        <w:tc>
          <w:tcPr>
            <w:tcW w:w="226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Interest Rate Paid</w:t>
            </w:r>
          </w:p>
        </w:tc>
        <w:tc>
          <w:tcPr>
            <w:tcW w:w="2260" w:type="dxa"/>
            <w:vAlign w:val="bottom"/>
            <w:gridSpan w:val="2"/>
            <w:vMerge w:val="restart"/>
          </w:tcPr>
          <w:p>
            <w:pPr>
              <w:ind w:left="660"/>
              <w:spacing w:after="0"/>
              <w:rPr>
                <w:sz w:val="20"/>
                <w:szCs w:val="20"/>
                <w:color w:val="auto"/>
              </w:rPr>
            </w:pPr>
            <w:r>
              <w:rPr>
                <w:rFonts w:ascii="Arial" w:cs="Arial" w:eastAsia="Arial" w:hAnsi="Arial"/>
                <w:sz w:val="13"/>
                <w:szCs w:val="13"/>
                <w:b w:val="1"/>
                <w:bCs w:val="1"/>
                <w:color w:val="auto"/>
              </w:rPr>
              <w:t>Effective Date</w:t>
            </w:r>
          </w:p>
        </w:tc>
        <w:tc>
          <w:tcPr>
            <w:tcW w:w="218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8"/>
              </w:rPr>
              <w:t>Received</w:t>
            </w:r>
          </w:p>
        </w:tc>
        <w:tc>
          <w:tcPr>
            <w:tcW w:w="100" w:type="dxa"/>
            <w:vAlign w:val="bottom"/>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Borders>
              <w:top w:val="single" w:sz="8" w:color="auto"/>
              <w:bottom w:val="single" w:sz="8" w:color="auto"/>
            </w:tcBorders>
            <w:gridSpan w:val="2"/>
            <w:shd w:val="clear" w:color="auto" w:fill="CCEEFF"/>
          </w:tcPr>
          <w:p>
            <w:pPr>
              <w:ind w:left="118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$250 million</w:t>
            </w:r>
          </w:p>
        </w:tc>
        <w:tc>
          <w:tcPr>
            <w:tcW w:w="2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 month SOFR</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4.72%</w:t>
            </w:r>
          </w:p>
        </w:tc>
        <w:tc>
          <w:tcPr>
            <w:tcW w:w="25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June 30, 2023</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June 30, 2026</w:t>
            </w:r>
          </w:p>
        </w:tc>
      </w:tr>
      <w:tr>
        <w:trPr>
          <w:trHeight w:val="216"/>
        </w:trPr>
        <w:tc>
          <w:tcPr>
            <w:tcW w:w="2140" w:type="dxa"/>
            <w:vAlign w:val="bottom"/>
          </w:tcPr>
          <w:p>
            <w:pPr>
              <w:ind w:left="660"/>
              <w:spacing w:after="0"/>
              <w:rPr>
                <w:sz w:val="20"/>
                <w:szCs w:val="20"/>
                <w:color w:val="auto"/>
              </w:rPr>
            </w:pPr>
            <w:r>
              <w:rPr>
                <w:rFonts w:ascii="Arial" w:cs="Arial" w:eastAsia="Arial" w:hAnsi="Arial"/>
                <w:sz w:val="16"/>
                <w:szCs w:val="16"/>
                <w:color w:val="auto"/>
              </w:rPr>
              <w:t>$250 million</w:t>
            </w:r>
          </w:p>
        </w:tc>
        <w:tc>
          <w:tcPr>
            <w:tcW w:w="2540" w:type="dxa"/>
            <w:vAlign w:val="bottom"/>
          </w:tcPr>
          <w:p>
            <w:pPr>
              <w:ind w:left="620"/>
              <w:spacing w:after="0" w:line="216" w:lineRule="exact"/>
              <w:rPr>
                <w:sz w:val="20"/>
                <w:szCs w:val="20"/>
                <w:color w:val="auto"/>
              </w:rPr>
            </w:pPr>
            <w:r>
              <w:rPr>
                <w:rFonts w:ascii="Arial" w:cs="Arial" w:eastAsia="Arial" w:hAnsi="Arial"/>
                <w:sz w:val="16"/>
                <w:szCs w:val="16"/>
                <w:color w:val="auto"/>
              </w:rPr>
              <w:t>1 month SOFR</w:t>
            </w:r>
            <w:r>
              <w:rPr>
                <w:rFonts w:ascii="Arial" w:cs="Arial" w:eastAsia="Arial" w:hAnsi="Arial"/>
                <w:sz w:val="21"/>
                <w:szCs w:val="21"/>
                <w:color w:val="auto"/>
                <w:vertAlign w:val="superscript"/>
              </w:rPr>
              <w:t>(1)</w:t>
            </w:r>
          </w:p>
        </w:tc>
        <w:tc>
          <w:tcPr>
            <w:tcW w:w="1820" w:type="dxa"/>
            <w:vAlign w:val="bottom"/>
          </w:tcPr>
          <w:p>
            <w:pPr>
              <w:jc w:val="right"/>
              <w:ind w:right="579"/>
              <w:spacing w:after="0"/>
              <w:rPr>
                <w:sz w:val="20"/>
                <w:szCs w:val="20"/>
                <w:color w:val="auto"/>
              </w:rPr>
            </w:pPr>
            <w:r>
              <w:rPr>
                <w:rFonts w:ascii="Arial" w:cs="Arial" w:eastAsia="Arial" w:hAnsi="Arial"/>
                <w:sz w:val="16"/>
                <w:szCs w:val="16"/>
                <w:color w:val="auto"/>
              </w:rPr>
              <w:t>3.88%</w:t>
            </w:r>
          </w:p>
        </w:tc>
        <w:tc>
          <w:tcPr>
            <w:tcW w:w="2520" w:type="dxa"/>
            <w:vAlign w:val="bottom"/>
          </w:tcPr>
          <w:p>
            <w:pPr>
              <w:jc w:val="center"/>
              <w:ind w:left="139"/>
              <w:spacing w:after="0"/>
              <w:rPr>
                <w:sz w:val="20"/>
                <w:szCs w:val="20"/>
                <w:color w:val="auto"/>
              </w:rPr>
            </w:pPr>
            <w:r>
              <w:rPr>
                <w:rFonts w:ascii="Arial" w:cs="Arial" w:eastAsia="Arial" w:hAnsi="Arial"/>
                <w:sz w:val="16"/>
                <w:szCs w:val="16"/>
                <w:color w:val="auto"/>
              </w:rPr>
              <w:t>December 31, 2023</w:t>
            </w:r>
          </w:p>
        </w:tc>
        <w:tc>
          <w:tcPr>
            <w:tcW w:w="2220" w:type="dxa"/>
            <w:vAlign w:val="bottom"/>
          </w:tcPr>
          <w:p>
            <w:pPr>
              <w:jc w:val="center"/>
              <w:spacing w:after="0"/>
              <w:rPr>
                <w:sz w:val="20"/>
                <w:szCs w:val="20"/>
                <w:color w:val="auto"/>
              </w:rPr>
            </w:pPr>
            <w:r>
              <w:rPr>
                <w:rFonts w:ascii="Arial" w:cs="Arial" w:eastAsia="Arial" w:hAnsi="Arial"/>
                <w:sz w:val="16"/>
                <w:szCs w:val="16"/>
                <w:color w:val="auto"/>
              </w:rPr>
              <w:t>December 31, 2024</w:t>
            </w:r>
          </w:p>
        </w:tc>
      </w:tr>
      <w:tr>
        <w:trPr>
          <w:trHeight w:val="216"/>
        </w:trPr>
        <w:tc>
          <w:tcPr>
            <w:tcW w:w="2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$250 million</w:t>
            </w:r>
          </w:p>
        </w:tc>
        <w:tc>
          <w:tcPr>
            <w:tcW w:w="2540" w:type="dxa"/>
            <w:vAlign w:val="bottom"/>
            <w:shd w:val="clear" w:color="auto" w:fill="CCEEFF"/>
          </w:tcPr>
          <w:p>
            <w:pPr>
              <w:ind w:left="620"/>
              <w:spacing w:after="0" w:line="216" w:lineRule="exact"/>
              <w:rPr>
                <w:sz w:val="20"/>
                <w:szCs w:val="20"/>
                <w:color w:val="auto"/>
              </w:rPr>
            </w:pPr>
            <w:r>
              <w:rPr>
                <w:rFonts w:ascii="Arial" w:cs="Arial" w:eastAsia="Arial" w:hAnsi="Arial"/>
                <w:sz w:val="16"/>
                <w:szCs w:val="16"/>
                <w:color w:val="auto"/>
              </w:rPr>
              <w:t>1 month SOFR</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4.37%</w:t>
            </w:r>
          </w:p>
        </w:tc>
        <w:tc>
          <w:tcPr>
            <w:tcW w:w="25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January 16, 2024</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January 31, 2026</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92"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Subject to a 0.5% floor.</w:t>
      </w:r>
    </w:p>
    <w:p>
      <w:pPr>
        <w:spacing w:after="0" w:line="196"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6"/>
          <w:szCs w:val="16"/>
          <w:color w:val="auto"/>
        </w:rPr>
        <w:t>In February 2023, we entered into a forward-starting interest rate swap to hedge the first interest payments associated with $250 million of certain of our term loans under our Amended and Restated Credit Agreement for the year ended 2024. In June 2023, we entered into an interest rate swap to hedge the first interest payments associated with $250 million of certain of our term loans under our Amended and Restated Credit Agreement for the periods through June 2026. In January 2024, we entered into an interest rate swap to hedge the first interest payments associated with $250 million of certain of our term loans under our Amended and Restated Credit Agreement related to the years 2024 and 2025. We designated these swaps as cash flow hedges. For the three and six months ended June 30, 2025, we recognized an immaterial cash flow impact related to our interest rate swaps, which is reported as cash provided by operating activities within our consolidated statements of cash flows. As of June 30, 2025, we estimate that $2 million in losses will be reclassified from other comprehensive (loss) income to earnings over the next 12 months.</w:t>
      </w:r>
    </w:p>
    <w:p>
      <w:pPr>
        <w:spacing w:after="0" w:line="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estimated fair values of our derivatives designated as hedging instruments as of June 30, 2025 and December 31, 2024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3"/>
                <w:szCs w:val="13"/>
                <w:b w:val="1"/>
                <w:bCs w:val="1"/>
                <w:color w:val="auto"/>
              </w:rPr>
              <w:t>Derivative Assets</w:t>
            </w:r>
          </w:p>
        </w:tc>
        <w:tc>
          <w:tcPr>
            <w:tcW w:w="1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69"/>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jc w:val="right"/>
              <w:ind w:right="1104"/>
              <w:spacing w:after="0"/>
              <w:rPr>
                <w:sz w:val="20"/>
                <w:szCs w:val="20"/>
                <w:color w:val="auto"/>
              </w:rPr>
            </w:pPr>
            <w:r>
              <w:rPr>
                <w:rFonts w:ascii="Arial" w:cs="Arial" w:eastAsia="Arial" w:hAnsi="Arial"/>
                <w:sz w:val="13"/>
                <w:szCs w:val="13"/>
                <w:b w:val="1"/>
                <w:bCs w:val="1"/>
                <w:color w:val="auto"/>
              </w:rPr>
              <w:t>Fair Value as of</w:t>
            </w:r>
          </w:p>
        </w:tc>
      </w:tr>
      <w:tr>
        <w:trPr>
          <w:trHeight w:val="171"/>
        </w:trPr>
        <w:tc>
          <w:tcPr>
            <w:tcW w:w="374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26"/>
              <w:spacing w:after="0"/>
              <w:rPr>
                <w:sz w:val="20"/>
                <w:szCs w:val="20"/>
                <w:color w:val="auto"/>
              </w:rPr>
            </w:pPr>
            <w:r>
              <w:rPr>
                <w:rFonts w:ascii="Arial" w:cs="Arial" w:eastAsia="Arial" w:hAnsi="Arial"/>
                <w:sz w:val="13"/>
                <w:szCs w:val="13"/>
                <w:b w:val="1"/>
                <w:bCs w:val="1"/>
                <w:color w:val="auto"/>
              </w:rPr>
              <w:t>June 30, 2025</w:t>
            </w:r>
          </w:p>
        </w:tc>
        <w:tc>
          <w:tcPr>
            <w:tcW w:w="200" w:type="dxa"/>
            <w:vAlign w:val="bottom"/>
          </w:tcPr>
          <w:p>
            <w:pPr>
              <w:spacing w:after="0"/>
              <w:rPr>
                <w:sz w:val="14"/>
                <w:szCs w:val="14"/>
                <w:color w:val="auto"/>
              </w:rPr>
            </w:pPr>
          </w:p>
        </w:tc>
        <w:tc>
          <w:tcPr>
            <w:tcW w:w="1460" w:type="dxa"/>
            <w:vAlign w:val="bottom"/>
          </w:tcPr>
          <w:p>
            <w:pPr>
              <w:jc w:val="right"/>
              <w:ind w:right="184"/>
              <w:spacing w:after="0"/>
              <w:rPr>
                <w:sz w:val="20"/>
                <w:szCs w:val="20"/>
                <w:color w:val="auto"/>
              </w:rPr>
            </w:pPr>
            <w:r>
              <w:rPr>
                <w:rFonts w:ascii="Arial" w:cs="Arial" w:eastAsia="Arial" w:hAnsi="Arial"/>
                <w:sz w:val="13"/>
                <w:szCs w:val="13"/>
                <w:b w:val="1"/>
                <w:bCs w:val="1"/>
                <w:color w:val="auto"/>
              </w:rPr>
              <w:t>December 31, 2024</w:t>
            </w: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r>
      <w:tr>
        <w:trPr>
          <w:trHeight w:val="234"/>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7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effects of derivative instruments, net of taxes, on OCI for the three and six months ended June 30, 2025 and 2024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80" w:type="dxa"/>
            <w:vAlign w:val="bottom"/>
            <w:gridSpan w:val="15"/>
          </w:tcPr>
          <w:p>
            <w:pPr>
              <w:ind w:left="780"/>
              <w:spacing w:after="0"/>
              <w:rPr>
                <w:sz w:val="20"/>
                <w:szCs w:val="20"/>
                <w:color w:val="auto"/>
              </w:rPr>
            </w:pPr>
            <w:r>
              <w:rPr>
                <w:rFonts w:ascii="Arial" w:cs="Arial" w:eastAsia="Arial" w:hAnsi="Arial"/>
                <w:sz w:val="13"/>
                <w:szCs w:val="13"/>
                <w:b w:val="1"/>
                <w:bCs w:val="1"/>
                <w:color w:val="auto"/>
                <w:w w:val="99"/>
              </w:rPr>
              <w:t>Amount of Gains (Losses) Recognized in OCI on Derivative,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Effective Portion</w:t>
            </w: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Derivatives in Cash Flow Hedging Relationships</w:t>
            </w:r>
          </w:p>
        </w:tc>
        <w:tc>
          <w:tcPr>
            <w:tcW w:w="2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ind w:left="280"/>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485"/>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9"/>
        </w:trPr>
        <w:tc>
          <w:tcPr>
            <w:tcW w:w="296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w w:val="89"/>
              </w:rPr>
              <w:t>587</w:t>
            </w:r>
          </w:p>
        </w:tc>
        <w:tc>
          <w:tcPr>
            <w:tcW w:w="4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center"/>
              <w:ind w:left="345"/>
              <w:spacing w:after="0"/>
              <w:rPr>
                <w:sz w:val="20"/>
                <w:szCs w:val="20"/>
                <w:color w:val="auto"/>
              </w:rPr>
            </w:pPr>
            <w:r>
              <w:rPr>
                <w:rFonts w:ascii="Arial" w:cs="Arial" w:eastAsia="Arial" w:hAnsi="Arial"/>
                <w:sz w:val="16"/>
                <w:szCs w:val="16"/>
                <w:color w:val="auto"/>
                <w:w w:val="99"/>
              </w:rPr>
              <w:t>9,333</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Total</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gridSpan w:val="2"/>
          </w:tcPr>
          <w:p>
            <w:pPr>
              <w:ind w:left="780"/>
              <w:spacing w:after="0"/>
              <w:rPr>
                <w:sz w:val="20"/>
                <w:szCs w:val="20"/>
                <w:color w:val="auto"/>
              </w:rPr>
            </w:pPr>
            <w:r>
              <w:rPr>
                <w:rFonts w:ascii="Arial" w:cs="Arial" w:eastAsia="Arial" w:hAnsi="Arial"/>
                <w:sz w:val="16"/>
                <w:szCs w:val="16"/>
                <w:color w:val="auto"/>
                <w:w w:val="89"/>
              </w:rPr>
              <w:t>587</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2,586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center"/>
              <w:ind w:left="345"/>
              <w:spacing w:after="0"/>
              <w:rPr>
                <w:sz w:val="20"/>
                <w:szCs w:val="20"/>
                <w:color w:val="auto"/>
              </w:rPr>
            </w:pPr>
            <w:r>
              <w:rPr>
                <w:rFonts w:ascii="Arial" w:cs="Arial" w:eastAsia="Arial" w:hAnsi="Arial"/>
                <w:sz w:val="16"/>
                <w:szCs w:val="16"/>
                <w:color w:val="auto"/>
                <w:w w:val="99"/>
              </w:rPr>
              <w:t>9,333</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4"/>
        </w:trPr>
        <w:tc>
          <w:tcPr>
            <w:tcW w:w="2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17"/>
          </w:tcPr>
          <w:p>
            <w:pPr>
              <w:jc w:val="right"/>
              <w:ind w:right="105"/>
              <w:spacing w:after="0"/>
              <w:rPr>
                <w:sz w:val="20"/>
                <w:szCs w:val="20"/>
                <w:color w:val="auto"/>
              </w:rPr>
            </w:pPr>
            <w:r>
              <w:rPr>
                <w:rFonts w:ascii="Arial" w:cs="Arial" w:eastAsia="Arial" w:hAnsi="Arial"/>
                <w:sz w:val="13"/>
                <w:szCs w:val="13"/>
                <w:b w:val="1"/>
                <w:bCs w:val="1"/>
                <w:color w:val="auto"/>
                <w:w w:val="97"/>
              </w:rPr>
              <w:t>Amount of Losses (Gains) Reclassified from Accumulated OCI into Income, Effective Portion</w:t>
            </w:r>
          </w:p>
        </w:tc>
        <w:tc>
          <w:tcPr>
            <w:tcW w:w="0" w:type="dxa"/>
            <w:vAlign w:val="bottom"/>
          </w:tcPr>
          <w:p>
            <w:pPr>
              <w:spacing w:after="0"/>
              <w:rPr>
                <w:sz w:val="1"/>
                <w:szCs w:val="1"/>
                <w:color w:val="auto"/>
              </w:rPr>
            </w:pPr>
          </w:p>
        </w:tc>
      </w:tr>
      <w:tr>
        <w:trPr>
          <w:trHeight w:val="288"/>
        </w:trPr>
        <w:tc>
          <w:tcPr>
            <w:tcW w:w="2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7"/>
          </w:tcPr>
          <w:p>
            <w:pPr>
              <w:ind w:left="100"/>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gridSpan w:val="6"/>
          </w:tcPr>
          <w:p>
            <w:pPr>
              <w:jc w:val="right"/>
              <w:ind w:right="545"/>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17"/>
        </w:trPr>
        <w:tc>
          <w:tcPr>
            <w:tcW w:w="2960" w:type="dxa"/>
            <w:vAlign w:val="bottom"/>
          </w:tcPr>
          <w:p>
            <w:pPr>
              <w:ind w:left="20"/>
              <w:spacing w:after="0" w:line="117" w:lineRule="exact"/>
              <w:rPr>
                <w:sz w:val="20"/>
                <w:szCs w:val="20"/>
                <w:color w:val="auto"/>
              </w:rPr>
            </w:pPr>
            <w:r>
              <w:rPr>
                <w:rFonts w:ascii="Arial" w:cs="Arial" w:eastAsia="Arial" w:hAnsi="Arial"/>
                <w:sz w:val="13"/>
                <w:szCs w:val="13"/>
                <w:b w:val="1"/>
                <w:bCs w:val="1"/>
                <w:color w:val="auto"/>
              </w:rPr>
              <w:t>Derivatives in Cash Flow Hedging</w:t>
            </w:r>
          </w:p>
        </w:tc>
        <w:tc>
          <w:tcPr>
            <w:tcW w:w="23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Income Statement Location</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487"/>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488"/>
              <w:spacing w:after="0"/>
              <w:rPr>
                <w:sz w:val="20"/>
                <w:szCs w:val="20"/>
                <w:color w:val="auto"/>
              </w:rPr>
            </w:pPr>
            <w:r>
              <w:rPr>
                <w:rFonts w:ascii="Arial" w:cs="Arial" w:eastAsia="Arial" w:hAnsi="Arial"/>
                <w:sz w:val="13"/>
                <w:szCs w:val="13"/>
                <w:b w:val="1"/>
                <w:bCs w:val="1"/>
                <w:color w:val="auto"/>
                <w:w w:val="96"/>
              </w:rPr>
              <w:t>2025</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485"/>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Relationships</w:t>
            </w:r>
          </w:p>
        </w:tc>
        <w:tc>
          <w:tcPr>
            <w:tcW w:w="23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Interest expense, net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152</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294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center"/>
              <w:ind w:left="345"/>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Total</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center"/>
              <w:ind w:left="345"/>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9. Fair Value Measurements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1—Inputs are unadjusted quoted prices that are available in active markets for identical assets or liabilities.</w:t>
      </w:r>
    </w:p>
    <w:p>
      <w:pPr>
        <w:spacing w:after="0" w:line="113"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and Liabilities that are Measured at Fair Value on a Recurring Basis</w:t>
      </w:r>
    </w:p>
    <w:p>
      <w:pPr>
        <w:spacing w:after="0" w:line="1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is estimated using a combined income and market-based valuation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Level 2 inputs, including credit ratings and forward interest rate yield curves obtained from independent pricing services.</w:t>
      </w:r>
    </w:p>
    <w:p>
      <w:pPr>
        <w:spacing w:after="0" w:line="48"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Money market funds</w:t>
      </w:r>
      <w:r>
        <w:rPr>
          <w:rFonts w:ascii="Arial" w:cs="Arial" w:eastAsia="Arial" w:hAnsi="Arial"/>
          <w:sz w:val="16"/>
          <w:szCs w:val="16"/>
          <w:color w:val="auto"/>
        </w:rPr>
        <w:t>—Our valuation technique used to measure the fair values of our money market funds was derived from quoted market prices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active markets for these instruments that exist.</w:t>
      </w:r>
    </w:p>
    <w:p>
      <w:pPr>
        <w:spacing w:after="0" w:line="3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Time deposits</w:t>
      </w:r>
      <w:r>
        <w:rPr>
          <w:rFonts w:ascii="Arial" w:cs="Arial" w:eastAsia="Arial" w:hAnsi="Arial"/>
          <w:sz w:val="16"/>
          <w:szCs w:val="16"/>
          <w:color w:val="auto"/>
        </w:rPr>
        <w:t>—Our valuation technique used to measure the fair values of our time deposit instruments was derived from the following: non-binding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consensus prices that were corroborated by observable market data and quoted market prices for similar instruments.</w:t>
      </w:r>
    </w:p>
    <w:p>
      <w:pPr>
        <w:spacing w:after="0" w:line="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Investment in securities—</w:t>
      </w:r>
      <w:r>
        <w:rPr>
          <w:rFonts w:ascii="Arial" w:cs="Arial" w:eastAsia="Arial" w:hAnsi="Arial"/>
          <w:sz w:val="16"/>
          <w:szCs w:val="16"/>
          <w:color w:val="auto"/>
        </w:rPr>
        <w:t>In May 2022, we acquired 8 million shares of Class A Common Stock, par value of $0.0001 per share, of Global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Travel Group, Inc. (“GBT”) for an aggregate purchase price of $80 million, which was included in prepaid expenses and other current assets in our consolidated balance sheets. The terms of these shares did not contain any restrictions that would impact our ability to sell the shares in the future. The fair value of our investment in GBT was based on its share price, a Level 1 input, as the stock is publicly traded on the New York Stock Exchange under the symbol GBTG. In the third quarter of 2024, we sold all 8 million shares of our investment for $55 million and recognized a net gain of $3 million for the year ended December 31, 2024. Unrealized losses recognized during the three and six months ended June 30, 2024 from our investments in securities totaled $5 million and $1 million, respectively, which is recorded to Other, net within our results from continuing operations.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our assets (liabilities) that are required to be measured at fair value on a recurring basis as of June 30, 2025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2024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2025</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147,652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147,652</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30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25,655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25,655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173,755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148,100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25,655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0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2024</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425,407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425,407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504,557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425,962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0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07" w:lineRule="exact"/>
        <w:rPr>
          <w:sz w:val="20"/>
          <w:szCs w:val="20"/>
          <w:color w:val="auto"/>
        </w:rPr>
      </w:pPr>
    </w:p>
    <w:p>
      <w:pPr>
        <w:ind w:left="480" w:hanging="148"/>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See Note 8. Derivatives for further detail.</w:t>
      </w:r>
    </w:p>
    <w:p>
      <w:pPr>
        <w:spacing w:after="0" w:line="361" w:lineRule="exact"/>
        <w:rPr>
          <w:sz w:val="20"/>
          <w:szCs w:val="20"/>
          <w:color w:val="auto"/>
        </w:rPr>
      </w:pPr>
    </w:p>
    <w:p>
      <w:pPr>
        <w:ind w:left="500" w:right="1460"/>
        <w:spacing w:after="0" w:line="396" w:lineRule="auto"/>
        <w:rPr>
          <w:sz w:val="20"/>
          <w:szCs w:val="20"/>
          <w:color w:val="auto"/>
        </w:rPr>
      </w:pPr>
      <w:r>
        <w:rPr>
          <w:rFonts w:ascii="Arial" w:cs="Arial" w:eastAsia="Arial" w:hAnsi="Arial"/>
          <w:sz w:val="16"/>
          <w:szCs w:val="16"/>
          <w:color w:val="auto"/>
        </w:rPr>
        <w:t xml:space="preserve">There were no transfers between Levels 1 and 2 within the fair value hierarchy for the three and six months ended June 30, 2025. </w:t>
      </w:r>
      <w:r>
        <w:rPr>
          <w:rFonts w:ascii="Arial" w:cs="Arial" w:eastAsia="Arial" w:hAnsi="Arial"/>
          <w:sz w:val="16"/>
          <w:szCs w:val="16"/>
          <w:b w:val="1"/>
          <w:bCs w:val="1"/>
          <w:i w:val="1"/>
          <w:iCs w:val="1"/>
          <w:color w:val="auto"/>
        </w:rPr>
        <w:t>Other Financial Instruments</w:t>
      </w:r>
    </w:p>
    <w:p>
      <w:pPr>
        <w:jc w:val="both"/>
        <w:ind w:firstLine="486"/>
        <w:spacing w:after="0" w:line="261" w:lineRule="auto"/>
        <w:rPr>
          <w:sz w:val="20"/>
          <w:szCs w:val="20"/>
          <w:color w:val="auto"/>
        </w:rPr>
      </w:pPr>
      <w:r>
        <w:rPr>
          <w:rFonts w:ascii="Arial" w:cs="Arial" w:eastAsia="Arial" w:hAnsi="Arial"/>
          <w:sz w:val="16"/>
          <w:szCs w:val="16"/>
          <w:color w:val="auto"/>
        </w:rPr>
        <w:t>The carrying value of our financial instruments including cash and cash equivalents, restricted cash and accounts receivable approximates their fair values due to the short term nature of these instruments. The fair values of our 2025 Exchangeable Notes and 2026 Exchangeable Notes, senior secured notes due 2025, 2027, 2029 and 2030 and term loans under our Amended and Restated Credit Agreement are determined based on quoted market prices for a similar liability when traded as an asset in an active market, a Level 2 input. The fair value of the Senior Secured Term Loan Due 2028 and FILO Facility were determined using a valuation model that includes certain assumptions and Level 3 inputs. The outstanding principal balances of our AR Facility and FILO Facility approximated their fair value as of June 30, 2025.</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and carrying value of our senior notes and borrowings under our senior secured credit facilities as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June 30, 2025 and December 31, 2024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20" w:type="dxa"/>
            <w:vAlign w:val="bottom"/>
            <w:gridSpan w:val="5"/>
          </w:tcPr>
          <w:p>
            <w:pPr>
              <w:ind w:left="800"/>
              <w:spacing w:after="0"/>
              <w:rPr>
                <w:sz w:val="20"/>
                <w:szCs w:val="20"/>
                <w:color w:val="auto"/>
              </w:rPr>
            </w:pPr>
            <w:r>
              <w:rPr>
                <w:rFonts w:ascii="Arial" w:cs="Arial" w:eastAsia="Arial" w:hAnsi="Arial"/>
                <w:sz w:val="13"/>
                <w:szCs w:val="13"/>
                <w:b w:val="1"/>
                <w:bCs w:val="1"/>
                <w:color w:val="auto"/>
              </w:rPr>
              <w:t>As of June 30, 2025</w:t>
            </w:r>
          </w:p>
        </w:tc>
        <w:tc>
          <w:tcPr>
            <w:tcW w:w="320" w:type="dxa"/>
            <w:vAlign w:val="bottom"/>
          </w:tcPr>
          <w:p>
            <w:pPr>
              <w:spacing w:after="0"/>
              <w:rPr>
                <w:sz w:val="15"/>
                <w:szCs w:val="15"/>
                <w:color w:val="auto"/>
              </w:rPr>
            </w:pPr>
          </w:p>
        </w:tc>
        <w:tc>
          <w:tcPr>
            <w:tcW w:w="3100" w:type="dxa"/>
            <w:vAlign w:val="bottom"/>
            <w:gridSpan w:val="4"/>
          </w:tcPr>
          <w:p>
            <w:pPr>
              <w:jc w:val="right"/>
              <w:ind w:right="880"/>
              <w:spacing w:after="0"/>
              <w:rPr>
                <w:sz w:val="20"/>
                <w:szCs w:val="20"/>
                <w:color w:val="auto"/>
              </w:rPr>
            </w:pPr>
            <w:r>
              <w:rPr>
                <w:rFonts w:ascii="Arial" w:cs="Arial" w:eastAsia="Arial" w:hAnsi="Arial"/>
                <w:sz w:val="13"/>
                <w:szCs w:val="13"/>
                <w:b w:val="1"/>
                <w:bCs w:val="1"/>
                <w:color w:val="auto"/>
              </w:rPr>
              <w:t>As of December 31, 2024</w:t>
            </w:r>
          </w:p>
        </w:tc>
      </w:tr>
      <w:tr>
        <w:trPr>
          <w:trHeight w:val="175"/>
        </w:trPr>
        <w:tc>
          <w:tcPr>
            <w:tcW w:w="418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Financial Instrument</w:t>
            </w: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Fair Value</w:t>
            </w: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60"/>
              <w:spacing w:after="0" w:line="175" w:lineRule="exact"/>
              <w:rPr>
                <w:sz w:val="20"/>
                <w:szCs w:val="20"/>
                <w:color w:val="auto"/>
              </w:rPr>
            </w:pPr>
            <w:r>
              <w:rPr>
                <w:rFonts w:ascii="Arial" w:cs="Arial" w:eastAsia="Arial" w:hAnsi="Arial"/>
                <w:sz w:val="13"/>
                <w:szCs w:val="13"/>
                <w:b w:val="1"/>
                <w:bCs w:val="1"/>
                <w:color w:val="auto"/>
              </w:rPr>
              <w:t>Carrying Value</w:t>
            </w:r>
            <w:r>
              <w:rPr>
                <w:rFonts w:ascii="Arial" w:cs="Arial" w:eastAsia="Arial" w:hAnsi="Arial"/>
                <w:sz w:val="16"/>
                <w:szCs w:val="16"/>
                <w:b w:val="1"/>
                <w:bCs w:val="1"/>
                <w:color w:val="auto"/>
                <w:vertAlign w:val="superscript"/>
              </w:rPr>
              <w:t>(1)</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60"/>
              <w:spacing w:after="0" w:line="175" w:lineRule="exact"/>
              <w:rPr>
                <w:sz w:val="20"/>
                <w:szCs w:val="20"/>
                <w:color w:val="auto"/>
              </w:rPr>
            </w:pPr>
            <w:r>
              <w:rPr>
                <w:rFonts w:ascii="Arial" w:cs="Arial" w:eastAsia="Arial" w:hAnsi="Arial"/>
                <w:sz w:val="13"/>
                <w:szCs w:val="13"/>
                <w:b w:val="1"/>
                <w:bCs w:val="1"/>
                <w:color w:val="auto"/>
              </w:rPr>
              <w:t>Carrying Value</w:t>
            </w:r>
            <w:r>
              <w:rPr>
                <w:rFonts w:ascii="Arial" w:cs="Arial" w:eastAsia="Arial" w:hAnsi="Arial"/>
                <w:sz w:val="16"/>
                <w:szCs w:val="16"/>
                <w:b w:val="1"/>
                <w:bCs w:val="1"/>
                <w:color w:val="auto"/>
                <w:vertAlign w:val="superscript"/>
              </w:rPr>
              <w:t>(1)</w:t>
            </w:r>
          </w:p>
        </w:tc>
      </w:tr>
      <w:tr>
        <w:trPr>
          <w:trHeight w:val="210"/>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 Term Loan B-1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308,538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312,494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303,643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314,453</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2021 Term Loan B-2</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361,243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364,852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356,665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364,600</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Term Loan B-1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376,415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379,617</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2022 Term Loan B-2</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411,114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402,477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407,228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400,748</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Term Loan B-1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696,500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687,007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712,250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689,655</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2024 Term Loan B-2</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74,625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74,535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76,313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74,902</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Term Loan Due 2028</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906,020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853,788</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9.25% senior secured notes due 2025</w:t>
            </w:r>
          </w:p>
        </w:tc>
        <w:tc>
          <w:tcPr>
            <w:tcW w:w="3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10,510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10,416</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7.375% senior secured notes due 2025</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4.00% senior exchangeable notes due 2025</w:t>
            </w:r>
          </w:p>
        </w:tc>
        <w:tc>
          <w:tcPr>
            <w:tcW w:w="3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181,322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183,220</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7.32% senior exchangeable notes due 2026</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166,287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8.625% senior secured notes due 2027</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339,913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331,783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649,105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656,783</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11.25% senior secured notes due 2027</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47,733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45,253</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10.75% senior secured notes due 2029</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848,870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778,214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853,220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774,332</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11.125% senior secured notes due 2030</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1,388,083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7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Excludes net unamortized debt issuance costs.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that are Measured at Fair Value on a Nonrecurring Basis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assess goodwill and other intangible assets with indefinite lives for impairment annually or more frequently if indicators arise. We continually monitor events and changes in circumstances such as changes in market conditions, near and long-term demand and other relevant factors, that could indicate that the fair value of any one of our reporting units may more likely than not have fallen below its respective carrying amount. We have not identified any triggering events or changes in circumstances since the performance of our annual goodwill impairment test that would require us to perform another goodwill impairment test. We did not record any goodwill impairment charges for the three and six months ended June 30, 2025.</w:t>
      </w:r>
    </w:p>
    <w:p>
      <w:pPr>
        <w:sectPr>
          <w:pgSz w:w="11900" w:h="16838" w:orient="portrait"/>
          <w:cols w:equalWidth="0" w:num="1">
            <w:col w:w="11240"/>
          </w:cols>
          <w:pgMar w:left="320" w:top="1094"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10. Accumulated Other Comprehensive Loss</w:t>
      </w:r>
    </w:p>
    <w:p>
      <w:pPr>
        <w:spacing w:after="0" w:line="11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As of June 30, 2025 and December 31, 2024, the components of accumulated other comprehensive loss, net of related deferred income taxes,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2025</w:t>
            </w:r>
          </w:p>
        </w:tc>
        <w:tc>
          <w:tcPr>
            <w:tcW w:w="240" w:type="dxa"/>
            <w:vAlign w:val="bottom"/>
          </w:tcPr>
          <w:p>
            <w:pPr>
              <w:spacing w:after="0"/>
              <w:rPr>
                <w:sz w:val="15"/>
                <w:szCs w:val="15"/>
                <w:color w:val="auto"/>
              </w:rPr>
            </w:pPr>
          </w:p>
        </w:tc>
        <w:tc>
          <w:tcPr>
            <w:tcW w:w="1640" w:type="dxa"/>
            <w:vAlign w:val="bottom"/>
          </w:tcPr>
          <w:p>
            <w:pPr>
              <w:jc w:val="right"/>
              <w:ind w:right="302"/>
              <w:spacing w:after="0"/>
              <w:rPr>
                <w:sz w:val="20"/>
                <w:szCs w:val="20"/>
                <w:color w:val="auto"/>
              </w:rPr>
            </w:pPr>
            <w:r>
              <w:rPr>
                <w:rFonts w:ascii="Arial" w:cs="Arial" w:eastAsia="Arial" w:hAnsi="Arial"/>
                <w:sz w:val="13"/>
                <w:szCs w:val="13"/>
                <w:b w:val="1"/>
                <w:bCs w:val="1"/>
                <w:color w:val="auto"/>
              </w:rPr>
              <w:t>December 31, 2024</w:t>
            </w:r>
          </w:p>
        </w:tc>
      </w:tr>
      <w:tr>
        <w:trPr>
          <w:trHeight w:val="214"/>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Defined benefit pension and other postretirement benefit plans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(76,510)</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Unrealized foreign currency translation gain</w:t>
            </w:r>
          </w:p>
        </w:tc>
        <w:tc>
          <w:tcPr>
            <w:tcW w:w="28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14,422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8,196</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interest rate swaps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w:t>
            </w:r>
          </w:p>
        </w:tc>
      </w:tr>
      <w:tr>
        <w:trPr>
          <w:trHeight w:val="21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of other comprehensive loss of equity method investments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net of tax</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amortization of actuarial losses and periodic service credits associated with our retirement-related benefit plans is primarily included in Other, net in the consolidated statements of operations. As of June 30, 2025, we have contributed $12 million to our defined benefit pension plan in 2025. Based on current assumptions, we expect to make additional contributions of up to $4 million in 2025 to our defined benefit pension plan. See Note 8. Derivatives, for information on the income statement line items affected as the result of reclassification adjustments associated with derivatives.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 and Stockholders' Equity</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On March 16, 2020, we announced the suspension of share repurchases under the Share Repurchase Program in conjunction with certain cash management measures we undertook as a result of the market conditions caused by COVID-19. During the six months ended June 30, 2025, we did not repurchase any shares pursuant to the Share Repurchase Program. As of June 30, 2025, the Share Repurchase Program remains suspended and approximately $287 million remains authorized for repurchases.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 xml:space="preserve">On April 17, 2020, we issued $345 million aggregate principal amount of 2025 Exchangeable Notes. </w:t>
      </w:r>
      <w:r>
        <w:rPr>
          <w:rFonts w:ascii="Arial" w:cs="Arial" w:eastAsia="Arial" w:hAnsi="Arial"/>
          <w:sz w:val="16"/>
          <w:szCs w:val="16"/>
          <w:color w:val="212529"/>
        </w:rPr>
        <w:t>On March 19, 2024, Sabre GLBL exchanged</w:t>
      </w:r>
      <w:r>
        <w:rPr>
          <w:rFonts w:ascii="Arial" w:cs="Arial" w:eastAsia="Arial" w:hAnsi="Arial"/>
          <w:sz w:val="16"/>
          <w:szCs w:val="16"/>
          <w:color w:val="auto"/>
        </w:rPr>
        <w:t xml:space="preserve"> </w:t>
      </w:r>
      <w:r>
        <w:rPr>
          <w:rFonts w:ascii="Arial" w:cs="Arial" w:eastAsia="Arial" w:hAnsi="Arial"/>
          <w:sz w:val="16"/>
          <w:szCs w:val="16"/>
          <w:color w:val="212529"/>
        </w:rPr>
        <w:t xml:space="preserve">$150 million aggregate principal amount of our then-outstanding 2025 Exchangeable Notes for $150 million aggregate principal amount of the 2026 Exchangeable Notes and approximately $30 million of cash. Under the terms of the Exchangeable Notes Indentures, the Exchangeable Notes are exchangeable into our common stock under specified circumstances, at our election. As of </w:t>
      </w:r>
      <w:r>
        <w:rPr>
          <w:rFonts w:ascii="Arial" w:cs="Arial" w:eastAsia="Arial" w:hAnsi="Arial"/>
          <w:sz w:val="16"/>
          <w:szCs w:val="16"/>
          <w:color w:val="000000"/>
        </w:rPr>
        <w:t>June 30, 2025, we had</w:t>
      </w:r>
      <w:r>
        <w:rPr>
          <w:rFonts w:ascii="Arial" w:cs="Arial" w:eastAsia="Arial" w:hAnsi="Arial"/>
          <w:sz w:val="16"/>
          <w:szCs w:val="16"/>
          <w:color w:val="212529"/>
        </w:rPr>
        <w:t xml:space="preserve"> $150 million </w:t>
      </w:r>
      <w:r>
        <w:rPr>
          <w:rFonts w:ascii="Arial" w:cs="Arial" w:eastAsia="Arial" w:hAnsi="Arial"/>
          <w:sz w:val="16"/>
          <w:szCs w:val="16"/>
          <w:color w:val="000000"/>
        </w:rPr>
        <w:t>aggregate principal amount</w:t>
      </w:r>
      <w:r>
        <w:rPr>
          <w:rFonts w:ascii="Arial" w:cs="Arial" w:eastAsia="Arial" w:hAnsi="Arial"/>
          <w:sz w:val="16"/>
          <w:szCs w:val="16"/>
          <w:color w:val="212529"/>
        </w:rPr>
        <w:t xml:space="preserve"> </w:t>
      </w:r>
      <w:r>
        <w:rPr>
          <w:rFonts w:ascii="Arial" w:cs="Arial" w:eastAsia="Arial" w:hAnsi="Arial"/>
          <w:sz w:val="16"/>
          <w:szCs w:val="16"/>
          <w:color w:val="000000"/>
        </w:rPr>
        <w:t xml:space="preserve">of 2026 Exchangeable Notes outstanding. </w:t>
      </w:r>
      <w:r>
        <w:rPr>
          <w:rFonts w:ascii="Arial" w:cs="Arial" w:eastAsia="Arial" w:hAnsi="Arial"/>
          <w:sz w:val="16"/>
          <w:szCs w:val="16"/>
          <w:color w:val="212529"/>
        </w:rPr>
        <w:t>The 2025 Exchangeable Notes matured on April 15, 2025, and were settled with cash</w:t>
      </w:r>
      <w:r>
        <w:rPr>
          <w:rFonts w:ascii="Arial" w:cs="Arial" w:eastAsia="Arial" w:hAnsi="Arial"/>
          <w:sz w:val="16"/>
          <w:szCs w:val="16"/>
          <w:color w:val="000000"/>
        </w:rPr>
        <w:t>. See Note 7. Debt for further details. Until the 2026 Exchangeable Notes mature, we expect to settle the principal amount of the outstanding 2026 Exchangeable Notes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12. Earnings Per Share</w:t>
      </w:r>
    </w:p>
    <w:p>
      <w:pPr>
        <w:spacing w:after="0" w:line="113" w:lineRule="exact"/>
        <w:rPr>
          <w:sz w:val="20"/>
          <w:szCs w:val="20"/>
          <w:color w:val="auto"/>
        </w:rPr>
      </w:pPr>
    </w:p>
    <w:p>
      <w:pPr>
        <w:ind w:right="20" w:firstLine="486"/>
        <w:spacing w:after="0" w:line="304" w:lineRule="auto"/>
        <w:rPr>
          <w:sz w:val="20"/>
          <w:szCs w:val="20"/>
          <w:color w:val="auto"/>
        </w:rPr>
      </w:pPr>
      <w:r>
        <w:rPr>
          <w:rFonts w:ascii="Arial" w:cs="Arial" w:eastAsia="Arial" w:hAnsi="Arial"/>
          <w:sz w:val="16"/>
          <w:szCs w:val="16"/>
          <w:color w:val="auto"/>
        </w:rPr>
        <w:t>The following table reconciles the numerators and denominators used in the computations of basic and diluted earnings per share from continuing operations (in thousands, except per share data):</w:t>
      </w:r>
    </w:p>
    <w:p>
      <w:pPr>
        <w:sectPr>
          <w:pgSz w:w="11900" w:h="16838" w:orient="portrait"/>
          <w:cols w:equalWidth="0" w:num="1">
            <w:col w:w="11240"/>
          </w:cols>
          <w:pgMar w:left="320" w:top="1165" w:right="339" w:bottom="1440" w:gutter="0" w:footer="0" w:header="0"/>
        </w:sectPr>
      </w:pPr>
    </w:p>
    <w:p>
      <w:pPr>
        <w:spacing w:after="0" w:line="70" w:lineRule="exact"/>
        <w:rPr>
          <w:sz w:val="20"/>
          <w:szCs w:val="20"/>
          <w:color w:val="auto"/>
        </w:rPr>
      </w:pPr>
    </w:p>
    <w:p>
      <w:pPr>
        <w:jc w:val="center"/>
        <w:ind w:left="60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26670</wp:posOffset>
            </wp:positionV>
            <wp:extent cx="1654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1" w:lineRule="exact"/>
        <w:rPr>
          <w:sz w:val="20"/>
          <w:szCs w:val="20"/>
          <w:color w:val="auto"/>
        </w:rPr>
      </w:pPr>
    </w:p>
    <w:p>
      <w:pPr>
        <w:ind w:left="6400"/>
        <w:spacing w:after="0"/>
        <w:tabs>
          <w:tab w:leader="none" w:pos="7740" w:val="left"/>
        </w:tabs>
        <w:rPr>
          <w:sz w:val="20"/>
          <w:szCs w:val="20"/>
          <w:color w:val="auto"/>
        </w:rPr>
      </w:pPr>
      <w:r>
        <w:rPr>
          <w:rFonts w:ascii="Arial" w:cs="Arial" w:eastAsia="Arial" w:hAnsi="Arial"/>
          <w:sz w:val="13"/>
          <w:szCs w:val="13"/>
          <w:b w:val="1"/>
          <w:bCs w:val="1"/>
          <w:color w:val="auto"/>
        </w:rPr>
        <w:t>2025</w:t>
      </w:r>
      <w:r>
        <w:rPr>
          <w:sz w:val="20"/>
          <w:szCs w:val="20"/>
          <w:color w:val="auto"/>
        </w:rPr>
        <w:tab/>
      </w:r>
      <w:r>
        <w:rPr>
          <w:rFonts w:ascii="Arial" w:cs="Arial" w:eastAsia="Arial" w:hAnsi="Arial"/>
          <w:sz w:val="13"/>
          <w:szCs w:val="13"/>
          <w:b w:val="1"/>
          <w:bCs w:val="1"/>
          <w:color w:val="auto"/>
        </w:rPr>
        <w:t>2024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26670</wp:posOffset>
            </wp:positionV>
            <wp:extent cx="1663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1"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2025</w:t>
      </w:r>
      <w:r>
        <w:rPr>
          <w:sz w:val="20"/>
          <w:szCs w:val="20"/>
          <w:color w:val="auto"/>
        </w:rPr>
        <w:tab/>
      </w:r>
      <w:r>
        <w:rPr>
          <w:rFonts w:ascii="Arial" w:cs="Arial" w:eastAsia="Arial" w:hAnsi="Arial"/>
          <w:sz w:val="12"/>
          <w:szCs w:val="12"/>
          <w:b w:val="1"/>
          <w:bCs w:val="1"/>
          <w:color w:val="auto"/>
        </w:rPr>
        <w:t>2024</w:t>
      </w:r>
    </w:p>
    <w:p>
      <w:pPr>
        <w:spacing w:after="0" w:line="33" w:lineRule="exact"/>
        <w:rPr>
          <w:sz w:val="20"/>
          <w:szCs w:val="20"/>
          <w:color w:val="auto"/>
        </w:rPr>
      </w:pPr>
    </w:p>
    <w:p>
      <w:pPr>
        <w:sectPr>
          <w:pgSz w:w="11900" w:h="16838" w:orient="portrait"/>
          <w:cols w:equalWidth="0" w:num="2">
            <w:col w:w="8380" w:space="720"/>
            <w:col w:w="2140"/>
          </w:cols>
          <w:pgMar w:left="320" w:top="1165"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6"/>
                <w:szCs w:val="16"/>
                <w:color w:val="auto"/>
              </w:rPr>
              <w:t>Loss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(201,018)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(69,731)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(204,395)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(136,821)</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Net (loss)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142"/>
        </w:trPr>
        <w:tc>
          <w:tcPr>
            <w:tcW w:w="5900" w:type="dxa"/>
            <w:vAlign w:val="bottom"/>
          </w:tcPr>
          <w:p>
            <w:pPr>
              <w:ind w:left="520"/>
              <w:spacing w:after="0" w:line="142" w:lineRule="exact"/>
              <w:rPr>
                <w:sz w:val="20"/>
                <w:szCs w:val="20"/>
                <w:color w:val="auto"/>
              </w:rPr>
            </w:pPr>
            <w:r>
              <w:rPr>
                <w:rFonts w:ascii="Arial" w:cs="Arial" w:eastAsia="Arial" w:hAnsi="Arial"/>
                <w:sz w:val="16"/>
                <w:szCs w:val="16"/>
                <w:color w:val="auto"/>
              </w:rPr>
              <w:t>Net loss from continuing operations available to common stockholders,</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(200,850)</w:t>
            </w:r>
          </w:p>
        </w:tc>
        <w:tc>
          <w:tcPr>
            <w:tcW w:w="12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(70,006)</w:t>
            </w:r>
          </w:p>
        </w:tc>
        <w:tc>
          <w:tcPr>
            <w:tcW w:w="10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(204,440)</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(137,474)</w:t>
            </w:r>
          </w:p>
        </w:tc>
        <w:tc>
          <w:tcPr>
            <w:tcW w:w="0" w:type="dxa"/>
            <w:vAlign w:val="bottom"/>
          </w:tcPr>
          <w:p>
            <w:pPr>
              <w:spacing w:after="0"/>
              <w:rPr>
                <w:sz w:val="1"/>
                <w:szCs w:val="1"/>
                <w:color w:val="auto"/>
              </w:rPr>
            </w:pPr>
          </w:p>
        </w:tc>
      </w:tr>
      <w:tr>
        <w:trPr>
          <w:trHeight w:val="194"/>
        </w:trPr>
        <w:tc>
          <w:tcPr>
            <w:tcW w:w="5900" w:type="dxa"/>
            <w:vAlign w:val="bottom"/>
          </w:tcPr>
          <w:p>
            <w:pPr>
              <w:ind w:left="5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6"/>
                <w:szCs w:val="16"/>
                <w:color w:val="auto"/>
              </w:rPr>
              <w:t>Basic weighted-average common shares outstanding</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390,905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383,506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388,601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381,640</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 weighted-average common shares outstanding</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388,601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381,640</w:t>
            </w: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Loss per share from continuing operations: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(0.53)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Basic earnings per share is computed by dividing net income from continuing operations available to common stockholders by the weighted-average number of common shares outstanding during each period. Diluted earnings per share is computed by dividing net income from continuing operations available to common stockholders by the weighted-average number of common shares outstanding plus the effect of all dilutive common stock equivalents during each period. The diluted weighted-average common shares outstanding calculation excludes 3 million and 8 million of dilutive stock options and restricted stock awards for the three and six months ended June 30, 2025, respectively, and 1 million and 3 million of dilutive stock options and restricted stock awards for the three and six months ended June 30, 2024, respectively, as their effect would be anti-dilutive given the net loss incurred in the period. The calculation of diluted weighted-average shares excludes the impact of 2 million of anti-dilutive common stock equivalents for the three months ended June 30, 2025, and 4 million and 3 million of anti-dilutive common stock equivalents for the three and six months ended June 30, 2024, respectively. The impact of anti-dilutive common stock equivalents for the six months ended June 30, 2025 is not material.</w:t>
      </w:r>
    </w:p>
    <w:p>
      <w:pPr>
        <w:spacing w:after="0" w:line="6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 xml:space="preserve">We have used the if-converted method for calculating any potential dilutive effect of the Exchangeable Notes on our diluted net income per share. Under the if-converted method, the 2025 </w:t>
      </w:r>
      <w:r>
        <w:rPr>
          <w:rFonts w:ascii="Arial" w:cs="Arial" w:eastAsia="Arial" w:hAnsi="Arial"/>
          <w:sz w:val="16"/>
          <w:szCs w:val="16"/>
          <w:color w:val="212529"/>
        </w:rPr>
        <w:t>Exchangeable Notes</w:t>
      </w:r>
      <w:r>
        <w:rPr>
          <w:rFonts w:ascii="Arial" w:cs="Arial" w:eastAsia="Arial" w:hAnsi="Arial"/>
          <w:sz w:val="16"/>
          <w:szCs w:val="16"/>
          <w:color w:val="auto"/>
        </w:rPr>
        <w:t xml:space="preserve"> are assumed to be converted at the beginning of each period and the </w:t>
      </w:r>
      <w:r>
        <w:rPr>
          <w:rFonts w:ascii="Arial" w:cs="Arial" w:eastAsia="Arial" w:hAnsi="Arial"/>
          <w:sz w:val="16"/>
          <w:szCs w:val="16"/>
          <w:color w:val="212529"/>
        </w:rPr>
        <w:t>2026 Exchangeable</w:t>
      </w:r>
      <w:r>
        <w:rPr>
          <w:rFonts w:ascii="Arial" w:cs="Arial" w:eastAsia="Arial" w:hAnsi="Arial"/>
          <w:sz w:val="16"/>
          <w:szCs w:val="16"/>
          <w:color w:val="auto"/>
        </w:rPr>
        <w:t xml:space="preserve"> </w:t>
      </w:r>
      <w:r>
        <w:rPr>
          <w:rFonts w:ascii="Arial" w:cs="Arial" w:eastAsia="Arial" w:hAnsi="Arial"/>
          <w:sz w:val="16"/>
          <w:szCs w:val="16"/>
          <w:color w:val="212529"/>
        </w:rPr>
        <w:t xml:space="preserve">Notes </w:t>
      </w:r>
      <w:r>
        <w:rPr>
          <w:rFonts w:ascii="Arial" w:cs="Arial" w:eastAsia="Arial" w:hAnsi="Arial"/>
          <w:sz w:val="16"/>
          <w:szCs w:val="16"/>
          <w:color w:val="000000"/>
        </w:rPr>
        <w:t>are assumed to be converted at the beginning of the 2025 period and at the issuance date of</w:t>
      </w:r>
      <w:r>
        <w:rPr>
          <w:rFonts w:ascii="Arial" w:cs="Arial" w:eastAsia="Arial" w:hAnsi="Arial"/>
          <w:sz w:val="16"/>
          <w:szCs w:val="16"/>
          <w:color w:val="212529"/>
        </w:rPr>
        <w:t xml:space="preserve"> March 19, 2024 for the 2024 period. T</w:t>
      </w:r>
      <w:r>
        <w:rPr>
          <w:rFonts w:ascii="Arial" w:cs="Arial" w:eastAsia="Arial" w:hAnsi="Arial"/>
          <w:sz w:val="16"/>
          <w:szCs w:val="16"/>
          <w:color w:val="000000"/>
        </w:rPr>
        <w:t>he resulting</w:t>
      </w:r>
      <w:r>
        <w:rPr>
          <w:rFonts w:ascii="Arial" w:cs="Arial" w:eastAsia="Arial" w:hAnsi="Arial"/>
          <w:sz w:val="16"/>
          <w:szCs w:val="16"/>
          <w:color w:val="212529"/>
        </w:rPr>
        <w:t xml:space="preserve"> </w:t>
      </w:r>
      <w:r>
        <w:rPr>
          <w:rFonts w:ascii="Arial" w:cs="Arial" w:eastAsia="Arial" w:hAnsi="Arial"/>
          <w:sz w:val="16"/>
          <w:szCs w:val="16"/>
          <w:color w:val="000000"/>
        </w:rPr>
        <w:t>common shares are included in the denominator of the diluted earnings per share calculation for the entire period being presented and interest expense, net of tax, recorded in connection with the Exchangeable Notes is added back to the numerator, only in the periods in which such effect is dilutive. The approximately 37 million and 47 million resulting common shares related to the Exchangeable Notes for the three and six months ended June 30, 2025, respectively, and approximately 57 million resulting common shares related to the Exchangeable Notes for each of the three and six months ended June 30, 2024, are not included in the dilutive weighted-average common shares outstanding calculation as their effect would be anti-dilutive given the net loss incurred in the period.</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Contingencies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Legal Proceedings</w:t>
      </w:r>
    </w:p>
    <w:p>
      <w:pPr>
        <w:spacing w:after="0" w:line="12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amounts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amount of the accrual may change in the future due to new information or developments in each matter or changes in approach such as a change in settlement strategy in dealing with these matters.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11"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We are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The DIT later issued further tax assessments for assessment years ending March 2000 through March 2006. The DIT has continued to issue tax assessments on a similar basis for subsequent years. We appealed the tax assessments for assessment years ending March 1998 through March 2006 and those years are now closed,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22" w:name="page23"/>
    <w:bookmarkEnd w:id="22"/>
    <w:p>
      <w:pPr>
        <w:jc w:val="both"/>
        <w:spacing w:after="0" w:line="286" w:lineRule="auto"/>
        <w:rPr>
          <w:sz w:val="20"/>
          <w:szCs w:val="20"/>
          <w:color w:val="auto"/>
        </w:rPr>
      </w:pPr>
      <w:r>
        <w:rPr>
          <w:rFonts w:ascii="Arial" w:cs="Arial" w:eastAsia="Arial" w:hAnsi="Arial"/>
          <w:sz w:val="16"/>
          <w:szCs w:val="16"/>
          <w:color w:val="auto"/>
        </w:rPr>
        <w:t>in our favor. In addition, we have appealed assessment years ended March 2021 through March 2023 with the Income Tax Appellate Tribunal ("ITAT"); no trial date has been set for these items.</w:t>
      </w:r>
    </w:p>
    <w:p>
      <w:pPr>
        <w:spacing w:after="0" w:line="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Sabre Asia Pacific Pte Ltd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Bombay High Court and our case is pending before that court; the High Court dismissed the case for assessment years ending March 2001 through March 2004. The DIT also assessed taxes on a similar basis plus some additional issues for assessment years ending March 2005 through March 2021. Appeals for assessment years ending March 2005 through March 2021 are pending before the ITAT or the High Court, depending on the year.</w:t>
      </w:r>
    </w:p>
    <w:p>
      <w:pPr>
        <w:spacing w:after="0" w:line="7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If the DIT were to fully prevail on every claim against us, including SAPPL and other group companies, we could be subject to taxes, interest and penalties of approximately $25 million as of June 30, 2025. We intend to continue to aggressively defend against each of the foregoing claims. Although we do not believe that the outcome of the proceedings will result in a material impact on our business or financial condition, litigation is by its nature uncertain. We do not believe a negative outcome is more likely than not and therefore have not made any provisions or recorded any liability for the potential resolution of any of these claims.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Service Tax Litigation</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Other</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Tax Matters</w:t>
      </w:r>
    </w:p>
    <w:p>
      <w:pPr>
        <w:spacing w:after="0" w:line="1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determine it is probable that amounts will be owed to the taxing authorities and such amounts are estimable. For example, in most countries we pay and collect Value Added Tax (“VAT”) when procuring goods and services, or providing services, within the normal course of business. VAT receivables are established in jurisdictions where VAT paid exceeds VAT collected and are recoverable through the filing of refund claims. We intend to vigorously defend our positions against any claims that are not insignificant, including through litigation when necessary. As of June 30, 2025, we have accrued $4 million associated with these other tax matters in our consolidated balance sheets. We will continue to monitor and update this estimate as additional information becomes available. We may incur expenses in future periods related to such matters, including litigation costs and possible pre-payment of a portion of any assessed tax amount to defend our position, and if our positions are ultimately rejected, it could have a material impact to our results from continuing operations.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Debt paydown related to the sale of Hospitality Solutions business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 xml:space="preserve">Following the closing of the Hospitality Solutions Sale on July 3, 2025, we used the net proceeds primarily to repay a portion of our outstanding indebtedness under our 2021 Term Loan B-2 in the amount of $157 million, 2022 Term Loan B-1 in the amount of $164 million, 2022 Term Loan B-2 in the amount of $178 million, and 2024 Term Loan B-1 in the amount of $299 million, in accordance with the terms of the Amended and Restated Credit Agreement. In addition, receivables related to the Hospitality Solutions business were removed from the </w:t>
      </w:r>
      <w:r>
        <w:rPr>
          <w:rFonts w:ascii="Arial" w:cs="Arial" w:eastAsia="Arial" w:hAnsi="Arial"/>
          <w:sz w:val="16"/>
          <w:szCs w:val="16"/>
          <w:color w:val="212529"/>
        </w:rPr>
        <w:t>Securitization Facility</w:t>
      </w:r>
      <w:r>
        <w:rPr>
          <w:rFonts w:ascii="Arial" w:cs="Arial" w:eastAsia="Arial" w:hAnsi="Arial"/>
          <w:sz w:val="16"/>
          <w:szCs w:val="16"/>
          <w:color w:val="auto"/>
        </w:rPr>
        <w:t xml:space="preserve"> on July 3, 2025, and we repaid $23 million of the outstanding balance on our </w:t>
      </w:r>
      <w:r>
        <w:rPr>
          <w:rFonts w:ascii="Arial" w:cs="Arial" w:eastAsia="Arial" w:hAnsi="Arial"/>
          <w:sz w:val="16"/>
          <w:szCs w:val="16"/>
          <w:color w:val="212529"/>
        </w:rPr>
        <w:t>Securitization Facility</w:t>
      </w:r>
      <w:r>
        <w:rPr>
          <w:rFonts w:ascii="Arial" w:cs="Arial" w:eastAsia="Arial" w:hAnsi="Arial"/>
          <w:sz w:val="16"/>
          <w:szCs w:val="16"/>
          <w:color w:val="auto"/>
        </w:rPr>
        <w:t>. Interest expense associated with the principal indebtedness that was repaid is classified as discontinued operations within our results of operations.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US tax reform</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July 4, 2025, tax legislation commonly referred to as the One Big Beautiful Bill Act (“OBBBA”) was enacted in the U.S.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ind w:right="2280"/>
        <w:spacing w:after="0" w:line="396"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Forward-Looking Statements</w:t>
      </w:r>
    </w:p>
    <w:p>
      <w:pPr>
        <w:jc w:val="both"/>
        <w:ind w:firstLine="486"/>
        <w:spacing w:after="0" w:line="256" w:lineRule="auto"/>
        <w:rPr>
          <w:sz w:val="20"/>
          <w:szCs w:val="20"/>
          <w:color w:val="auto"/>
        </w:rPr>
      </w:pPr>
      <w:r>
        <w:rPr>
          <w:rFonts w:ascii="Arial" w:cs="Arial" w:eastAsia="Arial" w:hAnsi="Arial"/>
          <w:sz w:val="16"/>
          <w:szCs w:val="16"/>
          <w:color w:val="auto"/>
        </w:rPr>
        <w:t>This Quarterly Report on Form 10-Q, including this “Management’s Discussion and Analysis of Financial Condition and Results of Operations” in Part I, Item 2,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continuing operations, our prospects and strategies for future growth, the development and introduction of new products, expectations regarding cost reductions, and the implementation of our marketing and branding strategies. In many cases, you can identify forward-</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looking statements by terms such as </w:t>
      </w:r>
      <w:r>
        <w:rPr>
          <w:rFonts w:ascii="Arial" w:cs="Arial" w:eastAsia="Arial" w:hAnsi="Arial"/>
          <w:sz w:val="16"/>
          <w:szCs w:val="16"/>
          <w:i w:val="1"/>
          <w:iCs w:val="1"/>
          <w:color w:val="auto"/>
        </w:rPr>
        <w:t>“expects,” “outlook,” "intends," "will," "may," "believes," “pro forma,” “plans,” “predicts,” “potential,” “estimates,” “intends,”</w:t>
      </w:r>
      <w:r>
        <w:rPr>
          <w:rFonts w:ascii="Arial" w:cs="Arial" w:eastAsia="Arial" w:hAnsi="Arial"/>
          <w:sz w:val="16"/>
          <w:szCs w:val="16"/>
          <w:color w:val="auto"/>
        </w:rPr>
        <w:t xml:space="preserve"> </w:t>
      </w:r>
      <w:r>
        <w:rPr>
          <w:rFonts w:ascii="Arial" w:cs="Arial" w:eastAsia="Arial" w:hAnsi="Arial"/>
          <w:sz w:val="16"/>
          <w:szCs w:val="16"/>
          <w:i w:val="1"/>
          <w:iCs w:val="1"/>
          <w:color w:val="auto"/>
        </w:rPr>
        <w:t>“should,” “could,” “anticipates,” “likely,” “commit,” “guidance,” “anticipate,” “incremental,” “provisional,” “preliminary,” “forecast,” “continue,” “strategy,”</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“confidence,” “objective,” “project,” </w:t>
      </w:r>
      <w:r>
        <w:rPr>
          <w:rFonts w:ascii="Arial" w:cs="Arial" w:eastAsia="Arial" w:hAnsi="Arial"/>
          <w:sz w:val="16"/>
          <w:szCs w:val="16"/>
          <w:color w:val="auto"/>
        </w:rPr>
        <w:t>or the negative of these terms or other comparable terminology. The forward-looking statements are based on our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Certain of these risks, uncertainties and changes in circumstances are described in the “Risk Factors” section of this Quarterly Report on Form 10-Q and in the “Risk Factors” and “Forward-Looking Statements” sections included in our Annual Report on Form 10-K filed with the SEC on February 20, 2025.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the Company undertakes no obligation to publicly update or revise any forward-looking statements to reflect circumstances or events after the date they are made.</w:t>
      </w:r>
    </w:p>
    <w:p>
      <w:pPr>
        <w:spacing w:after="0" w:line="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following discussion and analysis should be read in conjunction with our consolidated financial statements and related notes contained elsewhere in this Quarterly Report on Form 10-Q and our Annual Report on Form 10-K filed with the SEC on February 20,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At Sabre, we make travel happen. We are a technology company that, after the classification of our Hospitality Solutions business as discontinued operations in the second quarter of 2025, manages and reports our business in one reportable segment that constitutes consolidated results, consisting of our global business-to-business travel marketplace for travel suppliers and travel buyers, including a broad portfolio of software technology products and solutions for airlines.</w:t>
      </w:r>
    </w:p>
    <w:p>
      <w:pPr>
        <w:spacing w:after="0" w:line="7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We generate revenue from our distribution activities through transaction fees for bookings on our GDS, and from our IT solutions through recurring usage-based fees for the use of our SaaS and hosted systems, as well as upfront fees and professional services fees.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Affecting our Results of Operations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Sale of Hospitality Solutions Business</w:t>
      </w:r>
    </w:p>
    <w:p>
      <w:pPr>
        <w:spacing w:after="0" w:line="1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April 27, 2025, we entered into a definitive purchase agreement with an affiliate of TPG (the “Buyer") pursuant to which the Buyer agreed to purchase our Hospitality Solutions business, an extensive suite of leading software solutions for hoteliers. On July 3, 2025, we closed the transaction (the “Hospitality Solutions Sale”), resulting in estimated cash proceeds of $960 million to $980 million, net, which was used primarily to repay our outstanding indebtedness. See "Liquidity and Capital Resources—Capital Resources." Estimated cash proceeds are net of estimated taxes and fees, cash acquired by the Buyer and customary closing adjustments. The assets and liabilities associated with the Hospitality Solutions business are presented as held for sale on our consolidated balance sheets as of June 30, 2025 and December 31, 2024, and the operating results of our Hospitality Solutions business are presented as discontinued operations on our consolidated statements of operations for all periods presented. The presentation of discontinued operations excludes general corporate overhead and other costs that do not meet the requirements to be presented as discontinued operations. In addition to the purchase agreement described above, we entered into transition services agreements with the Buyer, under which we will provide transition services following closing to help provide for an orderly transition and facilitate the ongoing operations of the Hospitality Solutions business following the close in return for compensation from the Buyer with respect to costs incurred. Additionally, at the time of sale, Hospitality Solutions entered into a long-term agreement with us to continue to utilize our GDS for bookings which generates revenue for us. See Note 3. Discontinued Operations and Dispositions for further details. All amounts reference results from continuing operations unless otherwise indicated.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Travel Industry and Liquidity Outlook</w:t>
      </w:r>
    </w:p>
    <w:p>
      <w:pPr>
        <w:spacing w:after="0" w:line="111"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Recent industry air distribution volume growth has generally leveled off, which may continue into the future and could impact our rate of growth. Passengers boarded for IT solutions has been negatively impacted by de-migrations from carriers who de-migrated prior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6"/>
          <w:szCs w:val="16"/>
          <w:color w:val="auto"/>
        </w:rPr>
        <w:t>to 2024; however, we expect revenue growth for IT solutions beginning in the third quarter of 2025 following the anniversary of the impact of these de-migrations on our revenue.</w:t>
      </w:r>
    </w:p>
    <w:p>
      <w:pPr>
        <w:spacing w:after="0" w:line="6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believe that we have resources to sufficiently fund our liquidity requirements over at least the next twelve months; however, given the uncertain economic environment and the leveling off of industry air distribution volume growth, we will continue to monitor our liquidity levels and take additional steps should we determine they are necessary. See “—Recent Events Impacting Our Liquidity and Capital Resources” and “—Senior Secured Credit Facilities.” During 2023, 2024 and 2025, we refinanced portions of our debt which resulted in higher interest rates than prior years, increasing our current and future interest expense. Currently approximately 32% of our debt, net of cash and hedging impacts from interest rates swaps, is variable and impacted by changes in interest rates. See “Risk Factors—We are exposed to interest rate fluctuations.”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Results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to the “—Recent Developments Affecting our Results of Operations” above, a discussion of trends that we believe are the most significant opportunities and challenges currently impacting our business and industry is included in the section entitled “Management’s Discussion and Analysis of Financial Condition and Results of Operations—Factors Affecting our Results” in our Annual Report on Form 10-K filed with the SEC on February 20, 2025.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“Forward-Looking Statements” included in this Quarterly Report on Form 10-Q and in our Annual Report on Form 10-K filed with the SEC on February 20, 2025.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Revenues and Expenses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generate revenue from distribution activities through direct billable bookings processed on our GDS, adjusted for estimated cancellations of those bookings. We also generate revenue from IT solutions activities from our product offerings including reservation systems for full-service and low-cost carriers, commercial and operations products, professional services, agency solutions and booking data. Additionally, we generate revenue through software licensing and maintenance fees. Recognition of license fees upon delivery has previously resulted and will continue to result in periodic fluctuations in revenue recognized.</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 excluding technology costs</w:t>
      </w:r>
    </w:p>
    <w:p>
      <w:pPr>
        <w:spacing w:after="0" w:line="11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Cost of revenue, excluding technology costs, consists primarily of costs associated with the delivery and distribution of our products and services and includes employee-related costs for our delivery, customer operations and call center teams as well as allocated overhead such as facilities and other support costs. Cost of revenue, excluding technology costs, also includes incentive consideration expense representing payments or other consideration to travel agencies for reservations made on our GDS which accrue on a monthly basis, amortization of upfront incentive consideration representing upfront payments or other consideration provided to travel agencies for reservations made on our GDS which are capitalized and amortized over the expected life of the contract and costs such as stock-based compensation and restructuring charges (in applicable periods). Depreciation and amortization included in cost of revenue, excluding technology costs, is associated with capitalized implementation costs and intangible assets associated with contracts, supplier and distributor agreements acquired through acquisitions. The technology costs excluded from Cost of revenue, excluding technology costs, are presented separately below.</w:t>
      </w:r>
    </w:p>
    <w:p>
      <w:pPr>
        <w:spacing w:after="0" w:line="2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Costs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Technology costs consist of expenses related to third-party providers and employee-related costs to operate technology operations including hosting, third-party software, and other costs associated with the maintenance and minor enhancement of our technology. Technology costs also include costs associated with our technology transformation efforts. Technology costs are less variable in nature and therefore may not correlate with related changes in revenue. Technology costs also include certain expenses such as stock-based compensation and restructuring charges (in applicable periods). Depreciation and amortization included in technology costs is associated with software developed for internal use that supports our products, assets supporting our technology platform, businesses and systems and intangible assets for technology purchased through acquisitions.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Selling, general and administrative expenses consist of professional service fees, certain settlement charges or reimbursements, costs to defend legal disputes, provision for expected credit losses, non-recoverable taxes, indirect taxes, other overhead costs, and personnel-related expenses, including stock-based compensation, for employees engaged in sales, sales support, account management and who administratively support the business in finance, legal, human resources, information technology and communications. Depreciation and amortization included in selling, general and administrative expenses is associated with property and equipment, acquired customer relationships, trademarks and brand names purchased through acquisitions or established through the take private transaction in 2007, which includes a remaining useful life of 12 years as of June 30, 2025 for trademarks and brand names.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Metrics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“Direct billable bookings” and “passengers boarded” are the primary metrics we utilize to measure operating performance. We generate distribution revenue for each direct billable booking, which includes bookings made through our GDS (e.g., Air, and Lodging, Ground and Sea (“LGS”)) and through our equity method investments in cases where we are paid directly by the travel supplier. Air bookings are presented net of bookings cancelled within the period presented. We also recognize IT solutions revenue from recurring usage-based fees for passengers boarded. These key metrics allow management to analyze customer volume over time for each of our product lines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these key metrics for the periods indicated (in thousands):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2160" w:type="dxa"/>
            <w:vAlign w:val="bottom"/>
            <w:gridSpan w:val="4"/>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4"/>
          </w:tcPr>
          <w:p>
            <w:pPr>
              <w:ind w:left="200"/>
              <w:spacing w:after="0"/>
              <w:rPr>
                <w:sz w:val="20"/>
                <w:szCs w:val="20"/>
                <w:color w:val="auto"/>
              </w:rPr>
            </w:pPr>
            <w:r>
              <w:rPr>
                <w:rFonts w:ascii="Arial" w:cs="Arial" w:eastAsia="Arial" w:hAnsi="Arial"/>
                <w:sz w:val="13"/>
                <w:szCs w:val="13"/>
                <w:b w:val="1"/>
                <w:bCs w:val="1"/>
                <w:color w:val="auto"/>
              </w:rPr>
              <w:t>Six Months Ended June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44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Change</w:t>
            </w: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980" w:type="dxa"/>
            <w:vAlign w:val="bottom"/>
          </w:tcPr>
          <w:p>
            <w:pPr>
              <w:jc w:val="right"/>
              <w:ind w:right="26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980" w:type="dxa"/>
            <w:vAlign w:val="bottom"/>
          </w:tcPr>
          <w:p>
            <w:pPr>
              <w:jc w:val="right"/>
              <w:ind w:right="26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jc w:val="right"/>
              <w:ind w:right="26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960" w:type="dxa"/>
            <w:vAlign w:val="bottom"/>
          </w:tcPr>
          <w:p>
            <w:pPr>
              <w:jc w:val="right"/>
              <w:ind w:right="26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Air</w:t>
            </w: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75,534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76,225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157,972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161,395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4400" w:type="dxa"/>
            <w:vAlign w:val="bottom"/>
          </w:tcPr>
          <w:p>
            <w:pPr>
              <w:ind w:left="220"/>
              <w:spacing w:after="0"/>
              <w:rPr>
                <w:sz w:val="20"/>
                <w:szCs w:val="20"/>
                <w:color w:val="auto"/>
              </w:rPr>
            </w:pPr>
            <w:r>
              <w:rPr>
                <w:rFonts w:ascii="Arial" w:cs="Arial" w:eastAsia="Arial" w:hAnsi="Arial"/>
                <w:sz w:val="16"/>
                <w:szCs w:val="16"/>
                <w:color w:val="auto"/>
              </w:rPr>
              <w:t>Direct Billable Bookings - LGS</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14,764</w:t>
            </w:r>
          </w:p>
        </w:tc>
        <w:tc>
          <w:tcPr>
            <w:tcW w:w="1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14,755</w:t>
            </w:r>
          </w:p>
        </w:tc>
        <w:tc>
          <w:tcPr>
            <w:tcW w:w="100" w:type="dxa"/>
            <w:vAlign w:val="bottom"/>
          </w:tcPr>
          <w:p>
            <w:pPr>
              <w:spacing w:after="0"/>
              <w:rPr>
                <w:sz w:val="18"/>
                <w:szCs w:val="18"/>
                <w:color w:val="auto"/>
              </w:rPr>
            </w:pPr>
          </w:p>
        </w:tc>
        <w:tc>
          <w:tcPr>
            <w:tcW w:w="880" w:type="dxa"/>
            <w:vAlign w:val="bottom"/>
          </w:tcPr>
          <w:p>
            <w:pPr>
              <w:jc w:val="right"/>
              <w:ind w:right="183"/>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28,682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28,044</w:t>
            </w:r>
          </w:p>
        </w:tc>
        <w:tc>
          <w:tcPr>
            <w:tcW w:w="100" w:type="dxa"/>
            <w:vAlign w:val="bottom"/>
          </w:tcPr>
          <w:p>
            <w:pPr>
              <w:spacing w:after="0"/>
              <w:rPr>
                <w:sz w:val="18"/>
                <w:szCs w:val="18"/>
                <w:color w:val="auto"/>
              </w:rPr>
            </w:pPr>
          </w:p>
        </w:tc>
        <w:tc>
          <w:tcPr>
            <w:tcW w:w="860" w:type="dxa"/>
            <w:vAlign w:val="bottom"/>
          </w:tcPr>
          <w:p>
            <w:pPr>
              <w:jc w:val="right"/>
              <w:ind w:right="163"/>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Total Direct Billable Bookings</w:t>
            </w: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90,298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90,980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186,654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189,439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IT Solutions Passengers Boarded</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171,353</w:t>
            </w:r>
          </w:p>
        </w:tc>
        <w:tc>
          <w:tcPr>
            <w:tcW w:w="1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168,906</w:t>
            </w:r>
          </w:p>
        </w:tc>
        <w:tc>
          <w:tcPr>
            <w:tcW w:w="100" w:type="dxa"/>
            <w:vAlign w:val="bottom"/>
          </w:tcPr>
          <w:p>
            <w:pPr>
              <w:spacing w:after="0"/>
              <w:rPr>
                <w:sz w:val="18"/>
                <w:szCs w:val="18"/>
                <w:color w:val="auto"/>
              </w:rPr>
            </w:pPr>
          </w:p>
        </w:tc>
        <w:tc>
          <w:tcPr>
            <w:tcW w:w="880" w:type="dxa"/>
            <w:vAlign w:val="bottom"/>
          </w:tcPr>
          <w:p>
            <w:pPr>
              <w:jc w:val="right"/>
              <w:ind w:right="18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337,179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336,832</w:t>
            </w:r>
          </w:p>
        </w:tc>
        <w:tc>
          <w:tcPr>
            <w:tcW w:w="100" w:type="dxa"/>
            <w:vAlign w:val="bottom"/>
          </w:tcPr>
          <w:p>
            <w:pPr>
              <w:spacing w:after="0"/>
              <w:rPr>
                <w:sz w:val="18"/>
                <w:szCs w:val="18"/>
                <w:color w:val="auto"/>
              </w:rPr>
            </w:pPr>
          </w:p>
        </w:tc>
        <w:tc>
          <w:tcPr>
            <w:tcW w:w="860" w:type="dxa"/>
            <w:vAlign w:val="bottom"/>
          </w:tcPr>
          <w:p>
            <w:pPr>
              <w:jc w:val="right"/>
              <w:ind w:right="163"/>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 of Non-GAAP Financial Measures</w:t>
      </w:r>
    </w:p>
    <w:p>
      <w:pPr>
        <w:spacing w:after="0" w:line="113" w:lineRule="exact"/>
        <w:rPr>
          <w:sz w:val="20"/>
          <w:szCs w:val="20"/>
          <w:color w:val="auto"/>
        </w:rPr>
      </w:pPr>
    </w:p>
    <w:p>
      <w:pPr>
        <w:jc w:val="both"/>
        <w:ind w:right="20" w:firstLine="486"/>
        <w:spacing w:after="0" w:line="284" w:lineRule="auto"/>
        <w:rPr>
          <w:sz w:val="20"/>
          <w:szCs w:val="20"/>
          <w:color w:val="auto"/>
        </w:rPr>
      </w:pPr>
      <w:r>
        <w:rPr>
          <w:rFonts w:ascii="Arial" w:cs="Arial" w:eastAsia="Arial" w:hAnsi="Arial"/>
          <w:sz w:val="16"/>
          <w:szCs w:val="16"/>
          <w:color w:val="auto"/>
        </w:rPr>
        <w:t>We have included both financial measures compiled in accordance with GAAP and certain non-GAAP financial measures in this Quarterly Report on Form 10-Q, including Adjusted Net Loss from continuing operations (“Adjusted Net Loss”), Adjusted EBITDA, Free Cash Flow and ratios based on these financial measures.</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define Adjusted Net Loss as net loss attributable to common stockholders adjusted for loss (income) from discontinued operations, net of tax, net income (loss) attributable to noncontrolling interests, acquisition-related amortization, restructuring and other costs, loss on extinguishment of debt, other, net, acquisition-related costs, indirect tax matters, stock-based compensation, and the tax impact of adjustments.</w:t>
      </w:r>
    </w:p>
    <w:p>
      <w:pPr>
        <w:spacing w:after="0" w:line="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define Adjusted EBITDA as loss from continuing operations adjusted for depreciation and amortization of property and equipment, amortization of capitalized implementation costs, acquisition-related amortization, restructuring and other costs, interest expense, net, other, net, loss on extinguishment of debt, acquisition-related costs, indirect tax matters, stock-based compensation and the provision for income taxes.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define Free Cash Flow as cash used in operating activities less cash used in additions to property and equipment.</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Adjusted Net Loss from continuing operations per share as Adjusted Net Loss divided by diluted weighted-average common shares outstanding.</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7" w:name="page28"/>
    <w:bookmarkEnd w:id="27"/>
    <w:p>
      <w:pPr>
        <w:jc w:val="both"/>
        <w:ind w:firstLine="486"/>
        <w:spacing w:after="0" w:line="259" w:lineRule="auto"/>
        <w:rPr>
          <w:sz w:val="20"/>
          <w:szCs w:val="20"/>
          <w:color w:val="auto"/>
        </w:rPr>
      </w:pPr>
      <w:r>
        <w:rPr>
          <w:rFonts w:ascii="Arial" w:cs="Arial" w:eastAsia="Arial" w:hAnsi="Arial"/>
          <w:sz w:val="16"/>
          <w:szCs w:val="16"/>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fund our investments in technology transformation, and meet working capital requirements. We also believe that Adjusted Net Loss and Adjusted EBITDA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Adjusted Net Loss, Adjusted EBITDA,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68" w:lineRule="exact"/>
        <w:rPr>
          <w:sz w:val="20"/>
          <w:szCs w:val="20"/>
          <w:color w:val="auto"/>
        </w:rPr>
      </w:pPr>
    </w:p>
    <w:p>
      <w:pPr>
        <w:ind w:left="820" w:hanging="326"/>
        <w:spacing w:after="0" w:line="304"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non-GAAP financial measures exclude certain recurring, non-cash charges such as stock-based compensation expense and amortization of acquired intangible assets;</w:t>
      </w:r>
    </w:p>
    <w:p>
      <w:pPr>
        <w:spacing w:after="0" w:line="3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requirements for such replacements;</w:t>
      </w:r>
    </w:p>
    <w:p>
      <w:pPr>
        <w:spacing w:after="0" w:line="33"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amortization of capitalized implementation costs associated with our revenue contracts, which may require future working capital or cash needs in the future;</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Net Loss and Adjusted EBITDA do not reflect changes in, or cash requirements for, our working capital needs;</w:t>
      </w:r>
    </w:p>
    <w:p>
      <w:pPr>
        <w:spacing w:after="0" w:line="11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w:t>
      </w:r>
    </w:p>
    <w:p>
      <w:pPr>
        <w:spacing w:after="0" w:line="11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3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Net Loss, Adjusted EBITDA or Free Cash Flow differently, which reduces their usefulness as comparative measures.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ind w:right="20" w:firstLine="648"/>
        <w:spacing w:after="0" w:line="286" w:lineRule="auto"/>
        <w:rPr>
          <w:sz w:val="20"/>
          <w:szCs w:val="20"/>
          <w:color w:val="auto"/>
        </w:rPr>
      </w:pPr>
      <w:r>
        <w:rPr>
          <w:rFonts w:ascii="Arial" w:cs="Arial" w:eastAsia="Arial" w:hAnsi="Arial"/>
          <w:sz w:val="16"/>
          <w:szCs w:val="16"/>
          <w:color w:val="auto"/>
        </w:rPr>
        <w:t>The following table sets forth the reconciliation of Net loss attributable to common stockholders to Adjusted Net Loss from continuing operations and Loss from continuing operations to Adjusted EBITDA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tcPr>
          <w:p>
            <w:pPr>
              <w:spacing w:after="0"/>
              <w:rPr>
                <w:sz w:val="15"/>
                <w:szCs w:val="15"/>
                <w:color w:val="auto"/>
              </w:rPr>
            </w:pPr>
          </w:p>
        </w:tc>
        <w:tc>
          <w:tcPr>
            <w:tcW w:w="250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Six Months Ended June 30,</w:t>
            </w:r>
          </w:p>
        </w:tc>
      </w:tr>
      <w:tr>
        <w:trPr>
          <w:trHeight w:val="196"/>
        </w:trPr>
        <w:tc>
          <w:tcPr>
            <w:tcW w:w="54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2024</w:t>
            </w:r>
          </w:p>
        </w:tc>
      </w:tr>
      <w:tr>
        <w:trPr>
          <w:trHeight w:val="21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(141,243)</w:t>
            </w:r>
          </w:p>
        </w:tc>
      </w:tr>
      <w:tr>
        <w:trPr>
          <w:trHeight w:val="215"/>
        </w:trPr>
        <w:tc>
          <w:tcPr>
            <w:tcW w:w="5480" w:type="dxa"/>
            <w:vAlign w:val="bottom"/>
          </w:tcPr>
          <w:p>
            <w:pPr>
              <w:ind w:left="220"/>
              <w:spacing w:after="0"/>
              <w:rPr>
                <w:sz w:val="20"/>
                <w:szCs w:val="20"/>
                <w:color w:val="auto"/>
              </w:rPr>
            </w:pPr>
            <w:r>
              <w:rPr>
                <w:rFonts w:ascii="Arial" w:cs="Arial" w:eastAsia="Arial" w:hAnsi="Arial"/>
                <w:sz w:val="16"/>
                <w:szCs w:val="16"/>
                <w:color w:val="auto"/>
              </w:rPr>
              <w:t>Loss (income) from discontinued operations, net of tax</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55,514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3,769</w:t>
            </w:r>
          </w:p>
        </w:tc>
      </w:tr>
      <w:tr>
        <w:trPr>
          <w:trHeight w:val="244"/>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income attributable to noncontrolling interests</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(204,395)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(136,821)</w:t>
            </w: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480" w:type="dxa"/>
            <w:vAlign w:val="bottom"/>
          </w:tcPr>
          <w:p>
            <w:pPr>
              <w:ind w:left="22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8,257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16,516</w:t>
            </w:r>
          </w:p>
        </w:tc>
      </w:tr>
      <w:tr>
        <w:trPr>
          <w:trHeight w:val="216"/>
        </w:trPr>
        <w:tc>
          <w:tcPr>
            <w:tcW w:w="54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10,439</w:t>
            </w:r>
          </w:p>
        </w:tc>
      </w:tr>
      <w:tr>
        <w:trPr>
          <w:trHeight w:val="215"/>
        </w:trPr>
        <w:tc>
          <w:tcPr>
            <w:tcW w:w="54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85,182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37,994</w:t>
            </w:r>
          </w:p>
        </w:tc>
      </w:tr>
      <w:tr>
        <w:trPr>
          <w:trHeight w:val="244"/>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43"/>
        </w:trPr>
        <w:tc>
          <w:tcPr>
            <w:tcW w:w="5480" w:type="dxa"/>
            <w:vAlign w:val="bottom"/>
          </w:tcPr>
          <w:p>
            <w:pPr>
              <w:ind w:left="2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(5)</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863</w:t>
            </w:r>
          </w:p>
        </w:tc>
      </w:tr>
      <w:tr>
        <w:trPr>
          <w:trHeight w:val="216"/>
        </w:trPr>
        <w:tc>
          <w:tcPr>
            <w:tcW w:w="54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7,710</w:t>
            </w:r>
          </w:p>
        </w:tc>
      </w:tr>
      <w:tr>
        <w:trPr>
          <w:trHeight w:val="215"/>
        </w:trPr>
        <w:tc>
          <w:tcPr>
            <w:tcW w:w="54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10,845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23,364</w:t>
            </w:r>
          </w:p>
        </w:tc>
      </w:tr>
      <w:tr>
        <w:trPr>
          <w:trHeight w:val="244"/>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(7)</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94,180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82,044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11,915</w:t>
            </w: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(22,224)</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(27,484)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Loss from continuing operations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Adjusted diluted weighted-average common shares outstanding</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390,905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383,506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388,601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381,640</w:t>
            </w:r>
          </w:p>
        </w:tc>
      </w:tr>
      <w:tr>
        <w:trPr>
          <w:trHeight w:val="217"/>
        </w:trPr>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(201,018)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(69,731)</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(204,395)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(136,821)</w:t>
            </w: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480" w:type="dxa"/>
            <w:vAlign w:val="bottom"/>
          </w:tcPr>
          <w:p>
            <w:pPr>
              <w:ind w:left="22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(2b)</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15,142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31,941</w:t>
            </w:r>
          </w:p>
        </w:tc>
      </w:tr>
      <w:tr>
        <w:trPr>
          <w:trHeight w:val="243"/>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(2c)</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6,440</w:t>
            </w:r>
          </w:p>
        </w:tc>
      </w:tr>
      <w:tr>
        <w:trPr>
          <w:trHeight w:val="216"/>
        </w:trPr>
        <w:tc>
          <w:tcPr>
            <w:tcW w:w="5480" w:type="dxa"/>
            <w:vAlign w:val="bottom"/>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16,516</w:t>
            </w:r>
          </w:p>
        </w:tc>
      </w:tr>
      <w:tr>
        <w:trPr>
          <w:trHeight w:val="216"/>
        </w:trPr>
        <w:tc>
          <w:tcPr>
            <w:tcW w:w="54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10,439</w:t>
            </w:r>
          </w:p>
        </w:tc>
      </w:tr>
      <w:tr>
        <w:trPr>
          <w:trHeight w:val="215"/>
        </w:trPr>
        <w:tc>
          <w:tcPr>
            <w:tcW w:w="548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111,244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116,428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221,034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228,309</w:t>
            </w:r>
          </w:p>
        </w:tc>
      </w:tr>
      <w:tr>
        <w:trPr>
          <w:trHeight w:val="217"/>
        </w:trPr>
        <w:tc>
          <w:tcPr>
            <w:tcW w:w="54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15"/>
        </w:trPr>
        <w:tc>
          <w:tcPr>
            <w:tcW w:w="54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85,182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37,994</w:t>
            </w:r>
          </w:p>
        </w:tc>
      </w:tr>
      <w:tr>
        <w:trPr>
          <w:trHeight w:val="217"/>
        </w:trPr>
        <w:tc>
          <w:tcPr>
            <w:tcW w:w="54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16"/>
        </w:trPr>
        <w:tc>
          <w:tcPr>
            <w:tcW w:w="5480" w:type="dxa"/>
            <w:vAlign w:val="bottom"/>
          </w:tcPr>
          <w:p>
            <w:pPr>
              <w:ind w:left="22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7,710</w:t>
            </w: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23,364</w:t>
            </w:r>
          </w:p>
        </w:tc>
      </w:tr>
      <w:tr>
        <w:trPr>
          <w:trHeight w:val="215"/>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91,262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9,328</w:t>
            </w: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110,335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236,619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following tables present information from our statements of cash flows and set forth the reconciliation of Free Cash Flow to cash used in operating activities, the most directly comparable GAAP measure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Six Months Ended June 30,</w:t>
            </w:r>
          </w:p>
        </w:tc>
        <w:tc>
          <w:tcPr>
            <w:tcW w:w="1480" w:type="dxa"/>
            <w:vAlign w:val="bottom"/>
            <w:tcBorders>
              <w:bottom w:val="single" w:sz="8" w:color="auto"/>
            </w:tcBorders>
          </w:tcPr>
          <w:p>
            <w:pPr>
              <w:spacing w:after="0"/>
              <w:rPr>
                <w:sz w:val="15"/>
                <w:szCs w:val="15"/>
                <w:color w:val="auto"/>
              </w:rPr>
            </w:pPr>
          </w:p>
        </w:tc>
      </w:tr>
      <w:tr>
        <w:trPr>
          <w:trHeight w:val="178"/>
        </w:trPr>
        <w:tc>
          <w:tcPr>
            <w:tcW w:w="6320" w:type="dxa"/>
            <w:vAlign w:val="bottom"/>
          </w:tcPr>
          <w:p>
            <w:pPr>
              <w:spacing w:after="0"/>
              <w:rPr>
                <w:sz w:val="15"/>
                <w:szCs w:val="15"/>
                <w:color w:val="auto"/>
              </w:rPr>
            </w:pPr>
          </w:p>
        </w:tc>
        <w:tc>
          <w:tcPr>
            <w:tcW w:w="1480" w:type="dxa"/>
            <w:vAlign w:val="bottom"/>
          </w:tcPr>
          <w:p>
            <w:pPr>
              <w:jc w:val="right"/>
              <w:ind w:right="86"/>
              <w:spacing w:after="0"/>
              <w:rPr>
                <w:sz w:val="20"/>
                <w:szCs w:val="20"/>
                <w:color w:val="auto"/>
              </w:rPr>
            </w:pPr>
            <w:r>
              <w:rPr>
                <w:rFonts w:ascii="Arial" w:cs="Arial" w:eastAsia="Arial" w:hAnsi="Arial"/>
                <w:sz w:val="13"/>
                <w:szCs w:val="13"/>
                <w:b w:val="1"/>
                <w:bCs w:val="1"/>
                <w:color w:val="auto"/>
              </w:rPr>
              <w:t>2025</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jc w:val="right"/>
              <w:ind w:right="984"/>
              <w:spacing w:after="0"/>
              <w:rPr>
                <w:sz w:val="20"/>
                <w:szCs w:val="20"/>
                <w:color w:val="auto"/>
              </w:rPr>
            </w:pPr>
            <w:r>
              <w:rPr>
                <w:rFonts w:ascii="Arial" w:cs="Arial" w:eastAsia="Arial" w:hAnsi="Arial"/>
                <w:sz w:val="13"/>
                <w:szCs w:val="13"/>
                <w:b w:val="1"/>
                <w:bCs w:val="1"/>
                <w:color w:val="auto"/>
              </w:rPr>
              <w:t>2024</w:t>
            </w: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480" w:type="dxa"/>
            <w:vAlign w:val="bottom"/>
            <w:shd w:val="clear" w:color="auto" w:fill="CCEEFF"/>
          </w:tcPr>
          <w:p>
            <w:pPr>
              <w:jc w:val="right"/>
              <w:ind w:right="1306"/>
              <w:spacing w:after="0"/>
              <w:rPr>
                <w:sz w:val="20"/>
                <w:szCs w:val="20"/>
                <w:color w:val="auto"/>
              </w:rPr>
            </w:pPr>
            <w:r>
              <w:rPr>
                <w:rFonts w:ascii="Arial" w:cs="Arial" w:eastAsia="Arial" w:hAnsi="Arial"/>
                <w:sz w:val="16"/>
                <w:szCs w:val="16"/>
                <w:color w:val="242424"/>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(281,841)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242424"/>
              </w:rPr>
              <w:t>$</w:t>
            </w:r>
          </w:p>
        </w:tc>
        <w:tc>
          <w:tcPr>
            <w:tcW w:w="1480" w:type="dxa"/>
            <w:vAlign w:val="bottom"/>
            <w:shd w:val="clear" w:color="auto" w:fill="CCEEFF"/>
          </w:tcPr>
          <w:p>
            <w:pPr>
              <w:jc w:val="center"/>
              <w:ind w:left="744"/>
              <w:spacing w:after="0"/>
              <w:rPr>
                <w:sz w:val="20"/>
                <w:szCs w:val="20"/>
                <w:color w:val="auto"/>
              </w:rPr>
            </w:pPr>
            <w:r>
              <w:rPr>
                <w:rFonts w:ascii="Arial" w:cs="Arial" w:eastAsia="Arial" w:hAnsi="Arial"/>
                <w:sz w:val="16"/>
                <w:szCs w:val="16"/>
                <w:color w:val="242424"/>
              </w:rPr>
              <w:t>(29,856)</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42424"/>
              </w:rPr>
              <w:t>(30,083)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jc w:val="center"/>
              <w:ind w:left="744"/>
              <w:spacing w:after="0"/>
              <w:rPr>
                <w:sz w:val="20"/>
                <w:szCs w:val="20"/>
                <w:color w:val="auto"/>
              </w:rPr>
            </w:pPr>
            <w:r>
              <w:rPr>
                <w:rFonts w:ascii="Arial" w:cs="Arial" w:eastAsia="Arial" w:hAnsi="Arial"/>
                <w:sz w:val="16"/>
                <w:szCs w:val="16"/>
                <w:color w:val="242424"/>
              </w:rPr>
              <w:t>(45,850)</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financing activities</w:t>
            </w:r>
          </w:p>
        </w:tc>
        <w:tc>
          <w:tcPr>
            <w:tcW w:w="1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764"/>
              <w:spacing w:after="0"/>
              <w:rPr>
                <w:sz w:val="20"/>
                <w:szCs w:val="20"/>
                <w:color w:val="auto"/>
              </w:rPr>
            </w:pPr>
            <w:r>
              <w:rPr>
                <w:rFonts w:ascii="Arial" w:cs="Arial" w:eastAsia="Arial" w:hAnsi="Arial"/>
                <w:sz w:val="16"/>
                <w:szCs w:val="16"/>
                <w:color w:val="auto"/>
                <w:w w:val="98"/>
              </w:rPr>
              <w:t>54,124</w:t>
            </w:r>
          </w:p>
        </w:tc>
      </w:tr>
      <w:tr>
        <w:trPr>
          <w:trHeight w:val="441"/>
        </w:trPr>
        <w:tc>
          <w:tcPr>
            <w:tcW w:w="63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Six Months Ended June 30,</w:t>
            </w:r>
          </w:p>
        </w:tc>
        <w:tc>
          <w:tcPr>
            <w:tcW w:w="1480" w:type="dxa"/>
            <w:vAlign w:val="bottom"/>
            <w:tcBorders>
              <w:bottom w:val="single" w:sz="8" w:color="auto"/>
            </w:tcBorders>
          </w:tcPr>
          <w:p>
            <w:pPr>
              <w:spacing w:after="0"/>
              <w:rPr>
                <w:sz w:val="24"/>
                <w:szCs w:val="24"/>
                <w:color w:val="auto"/>
              </w:rPr>
            </w:pPr>
          </w:p>
        </w:tc>
      </w:tr>
      <w:tr>
        <w:trPr>
          <w:trHeight w:val="179"/>
        </w:trPr>
        <w:tc>
          <w:tcPr>
            <w:tcW w:w="6320" w:type="dxa"/>
            <w:vAlign w:val="bottom"/>
          </w:tcPr>
          <w:p>
            <w:pPr>
              <w:spacing w:after="0"/>
              <w:rPr>
                <w:sz w:val="15"/>
                <w:szCs w:val="15"/>
                <w:color w:val="auto"/>
              </w:rPr>
            </w:pPr>
          </w:p>
        </w:tc>
        <w:tc>
          <w:tcPr>
            <w:tcW w:w="1480" w:type="dxa"/>
            <w:vAlign w:val="bottom"/>
          </w:tcPr>
          <w:p>
            <w:pPr>
              <w:jc w:val="right"/>
              <w:ind w:right="86"/>
              <w:spacing w:after="0"/>
              <w:rPr>
                <w:sz w:val="20"/>
                <w:szCs w:val="20"/>
                <w:color w:val="auto"/>
              </w:rPr>
            </w:pPr>
            <w:r>
              <w:rPr>
                <w:rFonts w:ascii="Arial" w:cs="Arial" w:eastAsia="Arial" w:hAnsi="Arial"/>
                <w:sz w:val="13"/>
                <w:szCs w:val="13"/>
                <w:b w:val="1"/>
                <w:bCs w:val="1"/>
                <w:color w:val="auto"/>
              </w:rPr>
              <w:t>2025</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jc w:val="right"/>
              <w:ind w:right="984"/>
              <w:spacing w:after="0"/>
              <w:rPr>
                <w:sz w:val="20"/>
                <w:szCs w:val="20"/>
                <w:color w:val="auto"/>
              </w:rPr>
            </w:pPr>
            <w:r>
              <w:rPr>
                <w:rFonts w:ascii="Arial" w:cs="Arial" w:eastAsia="Arial" w:hAnsi="Arial"/>
                <w:sz w:val="13"/>
                <w:szCs w:val="13"/>
                <w:b w:val="1"/>
                <w:bCs w:val="1"/>
                <w:color w:val="auto"/>
              </w:rPr>
              <w:t>2024</w:t>
            </w: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480" w:type="dxa"/>
            <w:vAlign w:val="bottom"/>
            <w:shd w:val="clear" w:color="auto" w:fill="CCEEFF"/>
          </w:tcPr>
          <w:p>
            <w:pPr>
              <w:jc w:val="right"/>
              <w:ind w:right="1306"/>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(281,841)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center"/>
              <w:ind w:left="744"/>
              <w:spacing w:after="0"/>
              <w:rPr>
                <w:sz w:val="20"/>
                <w:szCs w:val="20"/>
                <w:color w:val="auto"/>
              </w:rPr>
            </w:pPr>
            <w:r>
              <w:rPr>
                <w:rFonts w:ascii="Arial" w:cs="Arial" w:eastAsia="Arial" w:hAnsi="Arial"/>
                <w:sz w:val="16"/>
                <w:szCs w:val="16"/>
                <w:color w:val="auto"/>
              </w:rPr>
              <w:t>(29,856)</w:t>
            </w:r>
          </w:p>
        </w:tc>
      </w:tr>
      <w:tr>
        <w:trPr>
          <w:trHeight w:val="215"/>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Additions to property and equipment</w:t>
            </w:r>
          </w:p>
        </w:tc>
        <w:tc>
          <w:tcPr>
            <w:tcW w:w="1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744"/>
              <w:spacing w:after="0"/>
              <w:rPr>
                <w:sz w:val="20"/>
                <w:szCs w:val="20"/>
                <w:color w:val="auto"/>
              </w:rPr>
            </w:pPr>
            <w:r>
              <w:rPr>
                <w:rFonts w:ascii="Arial" w:cs="Arial" w:eastAsia="Arial" w:hAnsi="Arial"/>
                <w:sz w:val="16"/>
                <w:szCs w:val="16"/>
                <w:color w:val="auto"/>
              </w:rPr>
              <w:t>(45,550)</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480" w:type="dxa"/>
            <w:vAlign w:val="bottom"/>
            <w:tcBorders>
              <w:bottom w:val="single" w:sz="8" w:color="auto"/>
            </w:tcBorders>
            <w:shd w:val="clear" w:color="auto" w:fill="CCEEFF"/>
          </w:tcPr>
          <w:p>
            <w:pPr>
              <w:jc w:val="right"/>
              <w:ind w:right="1306"/>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(320,991)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center"/>
              <w:ind w:left="744"/>
              <w:spacing w:after="0"/>
              <w:rPr>
                <w:sz w:val="20"/>
                <w:szCs w:val="20"/>
                <w:color w:val="auto"/>
              </w:rPr>
            </w:pPr>
            <w:r>
              <w:rPr>
                <w:rFonts w:ascii="Arial" w:cs="Arial" w:eastAsia="Arial" w:hAnsi="Arial"/>
                <w:sz w:val="16"/>
                <w:szCs w:val="16"/>
                <w:color w:val="auto"/>
              </w:rPr>
              <w:t>(75,406)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w:t>
      </w:r>
    </w:p>
    <w:p>
      <w:pPr>
        <w:spacing w:after="0" w:line="243" w:lineRule="exact"/>
        <w:rPr>
          <w:sz w:val="20"/>
          <w:szCs w:val="20"/>
          <w:color w:val="auto"/>
        </w:rPr>
      </w:pPr>
    </w:p>
    <w:p>
      <w:pPr>
        <w:jc w:val="both"/>
        <w:ind w:left="340" w:hanging="251"/>
        <w:spacing w:after="0" w:line="275" w:lineRule="auto"/>
        <w:tabs>
          <w:tab w:leader="none" w:pos="318"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income (loss) attributable to noncontrolling interests represents an adjustment to include earnings allocated to noncontrolling interests held in (i) Sabre Travel Network Middle East of 40%, (ii) Sabre Seyahat Dagitim Sistemleri A.S. of 40%, (iii) Sabre Travel Network Lanka (Pte) Ltd of 40%, (iv) Sabre Bulgaria of 40%, and (v) FERMR Holdings Limited (the direct parent of Conferma Limited) of 19%.</w:t>
      </w:r>
    </w:p>
    <w:p>
      <w:pPr>
        <w:ind w:left="300" w:hanging="211"/>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Depreciation and amortization expenses:</w:t>
      </w:r>
    </w:p>
    <w:p>
      <w:pPr>
        <w:spacing w:after="0" w:line="55" w:lineRule="exact"/>
        <w:rPr>
          <w:rFonts w:ascii="Arial" w:cs="Arial" w:eastAsia="Arial" w:hAnsi="Arial"/>
          <w:sz w:val="14"/>
          <w:szCs w:val="14"/>
          <w:color w:val="auto"/>
        </w:rPr>
      </w:pPr>
    </w:p>
    <w:p>
      <w:pPr>
        <w:ind w:left="580" w:hanging="248"/>
        <w:spacing w:after="0" w:line="281" w:lineRule="auto"/>
        <w:tabs>
          <w:tab w:leader="none" w:pos="555" w:val="left"/>
        </w:tabs>
        <w:numPr>
          <w:ilvl w:val="1"/>
          <w:numId w:val="11"/>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spacing w:after="0" w:line="1" w:lineRule="exact"/>
        <w:rPr>
          <w:rFonts w:ascii="Arial" w:cs="Arial" w:eastAsia="Arial" w:hAnsi="Arial"/>
          <w:sz w:val="14"/>
          <w:szCs w:val="14"/>
          <w:color w:val="auto"/>
        </w:rPr>
      </w:pPr>
    </w:p>
    <w:p>
      <w:pPr>
        <w:ind w:left="540" w:hanging="208"/>
        <w:spacing w:after="0"/>
        <w:tabs>
          <w:tab w:leader="none" w:pos="5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9" w:name="page30"/>
    <w:bookmarkEnd w:id="29"/>
    <w:p>
      <w:pPr>
        <w:ind w:left="580" w:right="20" w:hanging="248"/>
        <w:spacing w:after="0" w:line="272" w:lineRule="auto"/>
        <w:tabs>
          <w:tab w:leader="none" w:pos="558" w:val="left"/>
        </w:tabs>
        <w:numPr>
          <w:ilvl w:val="1"/>
          <w:numId w:val="12"/>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spacing w:after="0" w:line="195" w:lineRule="exact"/>
        <w:rPr>
          <w:rFonts w:ascii="Arial" w:cs="Arial" w:eastAsia="Arial" w:hAnsi="Arial"/>
          <w:sz w:val="14"/>
          <w:szCs w:val="14"/>
          <w:color w:val="auto"/>
        </w:rPr>
      </w:pPr>
    </w:p>
    <w:p>
      <w:pPr>
        <w:jc w:val="both"/>
        <w:ind w:left="340" w:hanging="251"/>
        <w:spacing w:after="0" w:line="275" w:lineRule="auto"/>
        <w:tabs>
          <w:tab w:leader="none" w:pos="3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net includes a gain on the sale of assets of $5 million recognized in the current year period, $1 million of non-operating gains recognized in the prior year and a fair value loss from our investments in securities of $1 million recognized in the prior year period. In addition, all periods presented include foreign exchange gains and losses related to the remeasurement of foreign currency denominated balances included in our consolidated balance sheets into the relevant functional currency.</w:t>
      </w:r>
    </w:p>
    <w:p>
      <w:pPr>
        <w:ind w:left="300" w:hanging="211"/>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Restructuring and other costs primarily represents adjustments to charges associated with the cost reduction plan we began implementing in the second quarter of 2023.</w:t>
      </w:r>
    </w:p>
    <w:p>
      <w:pPr>
        <w:spacing w:after="0" w:line="55" w:lineRule="exact"/>
        <w:rPr>
          <w:rFonts w:ascii="Arial" w:cs="Arial" w:eastAsia="Arial" w:hAnsi="Arial"/>
          <w:sz w:val="14"/>
          <w:szCs w:val="14"/>
          <w:color w:val="auto"/>
        </w:rPr>
      </w:pPr>
    </w:p>
    <w:p>
      <w:pPr>
        <w:ind w:left="300" w:hanging="211"/>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Acquisition-related costs represent fees and expenses incurred associated with acquisition and disposition-related activities.</w:t>
      </w:r>
    </w:p>
    <w:p>
      <w:pPr>
        <w:spacing w:after="0" w:line="41" w:lineRule="exact"/>
        <w:rPr>
          <w:rFonts w:ascii="Arial" w:cs="Arial" w:eastAsia="Arial" w:hAnsi="Arial"/>
          <w:sz w:val="14"/>
          <w:szCs w:val="14"/>
          <w:color w:val="auto"/>
        </w:rPr>
      </w:pPr>
    </w:p>
    <w:p>
      <w:pPr>
        <w:jc w:val="both"/>
        <w:ind w:left="340" w:hanging="251"/>
        <w:spacing w:after="0" w:line="275" w:lineRule="auto"/>
        <w:tabs>
          <w:tab w:leader="none" w:pos="33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Indirect tax matters represents charges associated with certain digital services taxes ("DST") related to historical periods, which may ultimately be settled in cash, and certain foreign non-income tax litigation matters. See detailed disclosures regarding these matters included in the Liquidity and Capital Resources and Risk Factors sections as well as Note 13. Contingencies, to our consolidated financial statements.</w:t>
      </w:r>
    </w:p>
    <w:p>
      <w:pPr>
        <w:ind w:left="340" w:hanging="251"/>
        <w:spacing w:after="0" w:line="305" w:lineRule="auto"/>
        <w:tabs>
          <w:tab w:leader="none" w:pos="315"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our consolidated statements of operations data for each of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80" w:type="dxa"/>
            <w:vAlign w:val="bottom"/>
            <w:gridSpan w:val="7"/>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gridSpan w:val="7"/>
          </w:tcPr>
          <w:p>
            <w:pPr>
              <w:jc w:val="center"/>
              <w:ind w:right="720"/>
              <w:spacing w:after="0"/>
              <w:rPr>
                <w:sz w:val="20"/>
                <w:szCs w:val="20"/>
                <w:color w:val="auto"/>
              </w:rPr>
            </w:pPr>
            <w:r>
              <w:rPr>
                <w:rFonts w:ascii="Arial" w:cs="Arial" w:eastAsia="Arial" w:hAnsi="Arial"/>
                <w:sz w:val="13"/>
                <w:szCs w:val="13"/>
                <w:b w:val="1"/>
                <w:bCs w:val="1"/>
                <w:color w:val="auto"/>
                <w:w w:val="97"/>
              </w:rPr>
              <w:t>Six Months Ended June 30,</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20" w:type="dxa"/>
            <w:vAlign w:val="bottom"/>
            <w:tcBorders>
              <w:top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right"/>
              <w:ind w:right="457"/>
              <w:spacing w:after="0"/>
              <w:rPr>
                <w:sz w:val="20"/>
                <w:szCs w:val="20"/>
                <w:color w:val="auto"/>
              </w:rPr>
            </w:pPr>
            <w:r>
              <w:rPr>
                <w:rFonts w:ascii="Arial" w:cs="Arial" w:eastAsia="Arial" w:hAnsi="Arial"/>
                <w:sz w:val="13"/>
                <w:szCs w:val="13"/>
                <w:b w:val="1"/>
                <w:bCs w:val="1"/>
                <w:color w:val="auto"/>
                <w:w w:val="96"/>
              </w:rPr>
              <w:t>2025</w:t>
            </w: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500"/>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6"/>
          </w:tcPr>
          <w:p>
            <w:pPr>
              <w:ind w:left="120"/>
              <w:spacing w:after="0"/>
              <w:rPr>
                <w:sz w:val="20"/>
                <w:szCs w:val="20"/>
                <w:color w:val="auto"/>
              </w:rPr>
            </w:pPr>
            <w:r>
              <w:rPr>
                <w:rFonts w:ascii="Arial" w:cs="Arial" w:eastAsia="Arial" w:hAnsi="Arial"/>
                <w:sz w:val="13"/>
                <w:szCs w:val="13"/>
                <w:color w:val="auto"/>
              </w:rPr>
              <w:t>(Amounts in thousands)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jc w:val="center"/>
              <w:ind w:right="820"/>
              <w:spacing w:after="0"/>
              <w:rPr>
                <w:sz w:val="20"/>
                <w:szCs w:val="20"/>
                <w:color w:val="auto"/>
              </w:rPr>
            </w:pPr>
            <w:r>
              <w:rPr>
                <w:rFonts w:ascii="Arial" w:cs="Arial" w:eastAsia="Arial" w:hAnsi="Arial"/>
                <w:sz w:val="13"/>
                <w:szCs w:val="13"/>
                <w:color w:val="auto"/>
                <w:w w:val="96"/>
              </w:rPr>
              <w:t>(Amounts in thousands)</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404"/>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687,149</w:t>
            </w:r>
          </w:p>
        </w:tc>
        <w:tc>
          <w:tcPr>
            <w:tcW w:w="66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695,050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1,389,275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38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6"/>
                <w:szCs w:val="16"/>
                <w:color w:val="auto"/>
              </w:rPr>
              <w:t>Cost of revenue, excluding technology costs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296,354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293,340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601,825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costs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172,494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199,050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347,801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129,167</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153,938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259,120</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89,134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48,722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180,529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(111,244)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(116,428)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(221,034)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(85,182)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6"/>
                <w:szCs w:val="16"/>
                <w:color w:val="auto"/>
              </w:rPr>
              <w:t>Equity method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1,403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Loss from continuing operations before income taxes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(109,756)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(63,811)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(124,781)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91,262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5,920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79,614</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Loss from continuing operations</w:t>
            </w:r>
          </w:p>
        </w:tc>
        <w:tc>
          <w:tcPr>
            <w:tcW w:w="58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(201,018)</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(69,731)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(204,395)</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center"/>
              <w:ind w:right="38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900" w:type="dxa"/>
            <w:vAlign w:val="bottom"/>
            <w:vMerge w:val="restart"/>
          </w:tcPr>
          <w:p>
            <w:pPr>
              <w:ind w:left="460"/>
              <w:spacing w:after="0"/>
              <w:rPr>
                <w:sz w:val="20"/>
                <w:szCs w:val="20"/>
                <w:color w:val="auto"/>
              </w:rPr>
            </w:pPr>
            <w:r>
              <w:rPr>
                <w:rFonts w:ascii="Arial" w:cs="Arial" w:eastAsia="Arial" w:hAnsi="Arial"/>
                <w:sz w:val="16"/>
                <w:szCs w:val="16"/>
                <w:b w:val="1"/>
                <w:bCs w:val="1"/>
                <w:i w:val="1"/>
                <w:iCs w:val="1"/>
                <w:color w:val="auto"/>
              </w:rPr>
              <w:t>Three Months Ended June 30, 2025 and 2024</w:t>
            </w: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5"/>
        </w:trPr>
        <w:tc>
          <w:tcPr>
            <w:tcW w:w="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4900" w:type="dxa"/>
            <w:vAlign w:val="bottom"/>
          </w:tcPr>
          <w:p>
            <w:pPr>
              <w:ind w:left="460"/>
              <w:spacing w:after="0"/>
              <w:rPr>
                <w:sz w:val="20"/>
                <w:szCs w:val="20"/>
                <w:color w:val="auto"/>
              </w:rPr>
            </w:pPr>
            <w:r>
              <w:rPr>
                <w:rFonts w:ascii="Arial" w:cs="Arial" w:eastAsia="Arial" w:hAnsi="Arial"/>
                <w:sz w:val="16"/>
                <w:szCs w:val="16"/>
                <w:i w:val="1"/>
                <w:iCs w:val="1"/>
                <w:color w:val="auto"/>
              </w:rPr>
              <w:t>Revenue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center"/>
              <w:ind w:left="463"/>
              <w:spacing w:after="0"/>
              <w:rPr>
                <w:sz w:val="20"/>
                <w:szCs w:val="20"/>
                <w:color w:val="auto"/>
              </w:rPr>
            </w:pPr>
            <w:r>
              <w:rPr>
                <w:rFonts w:ascii="Arial" w:cs="Arial" w:eastAsia="Arial" w:hAnsi="Arial"/>
                <w:sz w:val="13"/>
                <w:szCs w:val="13"/>
                <w:b w:val="1"/>
                <w:bCs w:val="1"/>
                <w:color w:val="auto"/>
                <w:w w:val="96"/>
              </w:rPr>
              <w:t>Three Months Ended June 30,</w:t>
            </w: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Change</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3"/>
                <w:szCs w:val="13"/>
                <w:color w:val="auto"/>
                <w:w w:val="97"/>
              </w:rPr>
              <w:t>(Amounts in thousands)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94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687,149</w:t>
            </w:r>
          </w:p>
        </w:tc>
        <w:tc>
          <w:tcPr>
            <w:tcW w:w="880" w:type="dxa"/>
            <w:vAlign w:val="bottom"/>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695,050</w:t>
            </w:r>
          </w:p>
        </w:tc>
        <w:tc>
          <w:tcPr>
            <w:tcW w:w="820" w:type="dxa"/>
            <w:vAlign w:val="bottom"/>
            <w:gridSpan w:val="3"/>
            <w:shd w:val="clear" w:color="auto" w:fill="CCEEFF"/>
          </w:tcPr>
          <w:p>
            <w:pPr>
              <w:jc w:val="right"/>
              <w:ind w:right="477"/>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center"/>
              <w:ind w:right="185"/>
              <w:spacing w:after="0"/>
              <w:rPr>
                <w:sz w:val="20"/>
                <w:szCs w:val="20"/>
                <w:color w:val="auto"/>
              </w:rPr>
            </w:pPr>
            <w:r>
              <w:rPr>
                <w:rFonts w:ascii="Arial" w:cs="Arial" w:eastAsia="Arial" w:hAnsi="Arial"/>
                <w:sz w:val="16"/>
                <w:szCs w:val="16"/>
                <w:color w:val="auto"/>
                <w:w w:val="98"/>
              </w:rPr>
              <w:t>(7,901)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decreased $8 million, or 1%, for the three months ended June 30, 2025 compared to the same period in the prior year, primarily due to:</w:t>
      </w:r>
    </w:p>
    <w:p>
      <w:pPr>
        <w:spacing w:after="0" w:line="127" w:lineRule="exact"/>
        <w:rPr>
          <w:sz w:val="20"/>
          <w:szCs w:val="20"/>
          <w:color w:val="auto"/>
        </w:rPr>
      </w:pPr>
    </w:p>
    <w:p>
      <w:pPr>
        <w:ind w:left="980" w:hanging="324"/>
        <w:spacing w:after="0" w:line="286" w:lineRule="auto"/>
        <w:tabs>
          <w:tab w:leader="none" w:pos="9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$5 million, or 1% decrease in transaction-based distribution revenue primarily due to a 1% decrease in direct billable bookings to 90 million; and</w:t>
      </w:r>
    </w:p>
    <w:p>
      <w:pPr>
        <w:spacing w:after="0" w:line="47" w:lineRule="exact"/>
        <w:rPr>
          <w:rFonts w:ascii="Arial" w:cs="Arial" w:eastAsia="Arial" w:hAnsi="Arial"/>
          <w:sz w:val="16"/>
          <w:szCs w:val="16"/>
          <w:color w:val="auto"/>
        </w:rPr>
      </w:pPr>
    </w:p>
    <w:p>
      <w:pPr>
        <w:jc w:val="both"/>
        <w:ind w:left="980" w:hanging="324"/>
        <w:spacing w:after="0" w:line="265" w:lineRule="auto"/>
        <w:tabs>
          <w:tab w:leader="none" w:pos="9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$3 million, or 2% decrease in IT solutions revenue driven by an $8 million decrease due to the impact of de-migrations from carriers who de-migrated prior to 2024. We expect revenue growth for IT solutions beginning in the third quarter of 2025 following the anniversary of the impact of these de-migrations on our revenue. This decrease was partially offset by a $3 million increase in license fee revenue and a $2 million increase in volume growth.</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6"/>
              </w:rPr>
              <w:t>Three Months Ended June 30,</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center"/>
              <w:ind w:left="43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4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293,340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88"/>
              <w:spacing w:after="0"/>
              <w:rPr>
                <w:sz w:val="20"/>
                <w:szCs w:val="20"/>
                <w:color w:val="auto"/>
              </w:rPr>
            </w:pPr>
            <w:r>
              <w:rPr>
                <w:rFonts w:ascii="Arial" w:cs="Arial" w:eastAsia="Arial" w:hAnsi="Arial"/>
                <w:sz w:val="16"/>
                <w:szCs w:val="16"/>
                <w:color w:val="auto"/>
              </w:rPr>
              <w:t>3,014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18"/>
                <w:szCs w:val="18"/>
                <w:color w:val="auto"/>
              </w:rPr>
            </w:pPr>
          </w:p>
        </w:tc>
      </w:tr>
      <w:tr>
        <w:trPr>
          <w:trHeight w:val="876"/>
        </w:trPr>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0" w:name="page31"/>
    <w:bookmarkEnd w:id="30"/>
    <w:p>
      <w:pPr>
        <w:jc w:val="both"/>
        <w:ind w:firstLine="486"/>
        <w:spacing w:after="0" w:line="286" w:lineRule="auto"/>
        <w:rPr>
          <w:sz w:val="20"/>
          <w:szCs w:val="20"/>
          <w:color w:val="auto"/>
        </w:rPr>
      </w:pPr>
      <w:r>
        <w:rPr>
          <w:rFonts w:ascii="Arial" w:cs="Arial" w:eastAsia="Arial" w:hAnsi="Arial"/>
          <w:sz w:val="16"/>
          <w:szCs w:val="16"/>
          <w:color w:val="auto"/>
        </w:rPr>
        <w:t>Cost of revenue, excluding technology costs, increased $3 million, or 1% for the three months ended June 30, 2025 compared to the same period in the prior year primarily due to a $3 million increase in incentive consideration primarily due to an increase in rates and transaction mix.</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6"/>
              </w:rPr>
              <w:t>Three Months Ended June 30,</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45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172,494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448"/>
              <w:spacing w:after="0"/>
              <w:rPr>
                <w:sz w:val="20"/>
                <w:szCs w:val="20"/>
                <w:color w:val="auto"/>
              </w:rPr>
            </w:pPr>
            <w:r>
              <w:rPr>
                <w:rFonts w:ascii="Arial" w:cs="Arial" w:eastAsia="Arial" w:hAnsi="Arial"/>
                <w:sz w:val="16"/>
                <w:szCs w:val="16"/>
                <w:color w:val="auto"/>
              </w:rPr>
              <w:t>(26,556)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Technology costs decreased $27 million, or 13%, for the three months ended June 30, 2025 compared to the same period in the prior year. The decrease was driven by a $21 million decrease in labor and professional services primarily due to the cost reduction plan we implemented in prior periods and a $6 million decrease in hosting costs due to cost savings related to our cloud migrations.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6"/>
              </w:rPr>
              <w:t>Three Months Ended June 30,</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45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129,167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448"/>
              <w:spacing w:after="0"/>
              <w:rPr>
                <w:sz w:val="20"/>
                <w:szCs w:val="20"/>
                <w:color w:val="auto"/>
              </w:rPr>
            </w:pPr>
            <w:r>
              <w:rPr>
                <w:rFonts w:ascii="Arial" w:cs="Arial" w:eastAsia="Arial" w:hAnsi="Arial"/>
                <w:sz w:val="16"/>
                <w:szCs w:val="16"/>
                <w:color w:val="auto"/>
              </w:rPr>
              <w:t>(24,771)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2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Selling, general and administrative expenses decreased $25 million, or 16%, for the three months ended June 30, 2025 compared to the same period in the prior year due to a $12 million decrease in tax litigation reserves as a result of final settlement, a $6 million decrease in digital services tax as a result of enacted legislation in Canada in the prior year, which was retroactive to 2022, a $3 million decrease due to savings related to our cloud migration, and a $2 million decrease in labor and professional services driven by the cost reduction plan we implemented in prior periods.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6"/>
              </w:rPr>
              <w:t>Three Months Ended June 30,</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66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473"/>
              <w:spacing w:after="0"/>
              <w:rPr>
                <w:sz w:val="20"/>
                <w:szCs w:val="20"/>
                <w:color w:val="auto"/>
              </w:rPr>
            </w:pPr>
            <w:r>
              <w:rPr>
                <w:rFonts w:ascii="Arial" w:cs="Arial" w:eastAsia="Arial" w:hAnsi="Arial"/>
                <w:sz w:val="13"/>
                <w:szCs w:val="13"/>
                <w:color w:val="auto"/>
                <w:w w:val="97"/>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(111,244)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5,184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bl>
    <w:p>
      <w:pPr>
        <w:spacing w:after="0" w:line="200" w:lineRule="exact"/>
        <w:rPr>
          <w:sz w:val="20"/>
          <w:szCs w:val="20"/>
          <w:color w:val="auto"/>
        </w:rPr>
      </w:pPr>
    </w:p>
    <w:p>
      <w:pPr>
        <w:spacing w:after="0" w:line="31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Interest expense decreased $5 million, or 4%, during the three months ended June 30, 2025 compared to the same period in the prior year primarily due to lower interest incurred in connection with our debt. See Note 7. Debt for further details.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2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recognized a loss on extinguishment of debt of $85 million during the three months ended June 30, 2025 as a result of the refinancing activity that occurred in the second quarter of 2025. See Note 7. Debt for further details.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net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2600" w:type="dxa"/>
            <w:vAlign w:val="bottom"/>
            <w:tcBorders>
              <w:bottom w:val="single" w:sz="8" w:color="auto"/>
            </w:tcBorders>
            <w:gridSpan w:val="4"/>
          </w:tcPr>
          <w:p>
            <w:pPr>
              <w:jc w:val="center"/>
              <w:ind w:left="471"/>
              <w:spacing w:after="0"/>
              <w:rPr>
                <w:sz w:val="20"/>
                <w:szCs w:val="20"/>
                <w:color w:val="auto"/>
              </w:rPr>
            </w:pPr>
            <w:r>
              <w:rPr>
                <w:rFonts w:ascii="Arial" w:cs="Arial" w:eastAsia="Arial" w:hAnsi="Arial"/>
                <w:sz w:val="13"/>
                <w:szCs w:val="13"/>
                <w:b w:val="1"/>
                <w:bCs w:val="1"/>
                <w:color w:val="auto"/>
                <w:w w:val="96"/>
              </w:rPr>
              <w:t>Three Months Ended 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gridSpan w:val="3"/>
          </w:tcPr>
          <w:p>
            <w:pPr>
              <w:jc w:val="center"/>
              <w:ind w:right="268"/>
              <w:spacing w:after="0"/>
              <w:rPr>
                <w:sz w:val="20"/>
                <w:szCs w:val="20"/>
                <w:color w:val="auto"/>
              </w:rPr>
            </w:pPr>
            <w:r>
              <w:rPr>
                <w:rFonts w:ascii="Arial" w:cs="Arial" w:eastAsia="Arial" w:hAnsi="Arial"/>
                <w:sz w:val="13"/>
                <w:szCs w:val="13"/>
                <w:color w:val="auto"/>
                <w:w w:val="96"/>
              </w:rPr>
              <w:t>(Amounts 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8"/>
              <w:spacing w:after="0"/>
              <w:rPr>
                <w:sz w:val="20"/>
                <w:szCs w:val="20"/>
                <w:color w:val="auto"/>
              </w:rPr>
            </w:pPr>
            <w:r>
              <w:rPr>
                <w:rFonts w:ascii="Arial" w:cs="Arial" w:eastAsia="Arial" w:hAnsi="Arial"/>
                <w:sz w:val="16"/>
                <w:szCs w:val="16"/>
                <w:color w:val="auto"/>
              </w:rPr>
              <w:t>(6,628)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bl>
    <w:p>
      <w:pPr>
        <w:spacing w:after="0" w:line="29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Other, net decreased $7 million for the three months ended June 30, 2025 compared to the same period in the prior year primarily due to a fair value loss from our investments in securities of $5 million recognized in the prior year period, and other non-operating gains recognized in the prior period of $1 million. See Note 9. Fair Value Measurements for further details regarding our investments in securities.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6"/>
              </w:rPr>
              <w:t>Three Months Ended June 30,</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center"/>
              <w:ind w:left="473"/>
              <w:spacing w:after="0"/>
              <w:rPr>
                <w:sz w:val="20"/>
                <w:szCs w:val="20"/>
                <w:color w:val="auto"/>
              </w:rPr>
            </w:pPr>
            <w:r>
              <w:rPr>
                <w:rFonts w:ascii="Arial" w:cs="Arial" w:eastAsia="Arial" w:hAnsi="Arial"/>
                <w:sz w:val="13"/>
                <w:szCs w:val="13"/>
                <w:color w:val="auto"/>
                <w:w w:val="96"/>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91,262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5,920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8"/>
              <w:spacing w:after="0"/>
              <w:rPr>
                <w:sz w:val="20"/>
                <w:szCs w:val="20"/>
                <w:color w:val="auto"/>
              </w:rPr>
            </w:pPr>
            <w:r>
              <w:rPr>
                <w:rFonts w:ascii="Arial" w:cs="Arial" w:eastAsia="Arial" w:hAnsi="Arial"/>
                <w:sz w:val="16"/>
                <w:szCs w:val="16"/>
                <w:color w:val="auto"/>
              </w:rPr>
              <w:t>85,342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1,442 %</w:t>
            </w:r>
          </w:p>
        </w:tc>
      </w:tr>
    </w:tbl>
    <w:p>
      <w:pPr>
        <w:spacing w:after="0" w:line="200" w:lineRule="exact"/>
        <w:rPr>
          <w:sz w:val="20"/>
          <w:szCs w:val="20"/>
          <w:color w:val="auto"/>
        </w:rPr>
      </w:pPr>
    </w:p>
    <w:p>
      <w:pPr>
        <w:spacing w:after="0" w:line="33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212529"/>
        </w:rPr>
        <w:t xml:space="preserve">For the three months ended June 30, 2025, we recognized $91 million of income tax expense for continuing operations, compared to an income tax expense of $6 million for the three months ended June 30, 2024. The effective tax rate for the three months ended June 30, 2025 </w:t>
      </w:r>
      <w:r>
        <w:rPr>
          <w:rFonts w:ascii="Arial" w:cs="Arial" w:eastAsia="Arial" w:hAnsi="Arial"/>
          <w:sz w:val="16"/>
          <w:szCs w:val="16"/>
          <w:color w:val="000000"/>
        </w:rPr>
        <w:t>represents the rate</w:t>
      </w:r>
      <w:r>
        <w:rPr>
          <w:rFonts w:ascii="Arial" w:cs="Arial" w:eastAsia="Arial" w:hAnsi="Arial"/>
          <w:sz w:val="16"/>
          <w:szCs w:val="16"/>
          <w:color w:val="212529"/>
        </w:rPr>
        <w:t xml:space="preserve"> </w:t>
      </w:r>
      <w:r>
        <w:rPr>
          <w:rFonts w:ascii="Arial" w:cs="Arial" w:eastAsia="Arial" w:hAnsi="Arial"/>
          <w:sz w:val="16"/>
          <w:szCs w:val="16"/>
          <w:color w:val="000000"/>
        </w:rPr>
        <w:t>expected for the year applied to year to date earnings before tax and the impact of certain discrete items in the quarter. The effective tax rate is impacted by an increase in the valuation allowance due primarily to interest expense limitations, offset by loss utilization</w:t>
      </w:r>
      <w:r>
        <w:rPr>
          <w:rFonts w:ascii="Arial" w:cs="Arial" w:eastAsia="Arial" w:hAnsi="Arial"/>
          <w:sz w:val="16"/>
          <w:szCs w:val="16"/>
          <w:color w:val="212529"/>
        </w:rPr>
        <w:t>.</w:t>
      </w:r>
      <w:r>
        <w:rPr>
          <w:rFonts w:ascii="Arial" w:cs="Arial" w:eastAsia="Arial" w:hAnsi="Arial"/>
          <w:sz w:val="16"/>
          <w:szCs w:val="16"/>
          <w:color w:val="000000"/>
        </w:rPr>
        <w:t xml:space="preserve"> The </w:t>
      </w:r>
      <w:r>
        <w:rPr>
          <w:rFonts w:ascii="Arial" w:cs="Arial" w:eastAsia="Arial" w:hAnsi="Arial"/>
          <w:sz w:val="16"/>
          <w:szCs w:val="16"/>
          <w:color w:val="212529"/>
        </w:rPr>
        <w:t>difference between our effective tax rates</w:t>
      </w:r>
      <w:r>
        <w:rPr>
          <w:rFonts w:ascii="Arial" w:cs="Arial" w:eastAsia="Arial" w:hAnsi="Arial"/>
          <w:sz w:val="16"/>
          <w:szCs w:val="16"/>
          <w:color w:val="000000"/>
        </w:rPr>
        <w:t xml:space="preserve"> </w:t>
      </w:r>
      <w:r>
        <w:rPr>
          <w:rFonts w:ascii="Arial" w:cs="Arial" w:eastAsia="Arial" w:hAnsi="Arial"/>
          <w:sz w:val="16"/>
          <w:szCs w:val="16"/>
          <w:color w:val="212529"/>
        </w:rPr>
        <w:t xml:space="preserve">and the U.S. federal statutory income tax rate primarily results from </w:t>
      </w:r>
      <w:r>
        <w:rPr>
          <w:rFonts w:ascii="Arial" w:cs="Arial" w:eastAsia="Arial" w:hAnsi="Arial"/>
          <w:sz w:val="16"/>
          <w:szCs w:val="16"/>
          <w:color w:val="000000"/>
        </w:rPr>
        <w:t>the impact of changes in the valuation allowance</w:t>
      </w:r>
      <w:r>
        <w:rPr>
          <w:rFonts w:ascii="Arial" w:cs="Arial" w:eastAsia="Arial" w:hAnsi="Arial"/>
          <w:sz w:val="16"/>
          <w:szCs w:val="16"/>
          <w:color w:val="212529"/>
        </w:rPr>
        <w:t>, our geographic mix of taxable income in various tax jurisdictions, tax permanent differences and tax credits.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Six Months Ended June 30, 2025 and 2024</w:t>
      </w:r>
    </w:p>
    <w:p>
      <w:pPr>
        <w:spacing w:after="0" w:line="35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7"/>
              </w:rPr>
              <w:t>Six Months Ended June 30,</w:t>
            </w: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55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660" w:type="dxa"/>
            <w:vAlign w:val="bottom"/>
            <w:tcBorders>
              <w:bottom w:val="single" w:sz="8" w:color="auto"/>
            </w:tcBorders>
          </w:tcPr>
          <w:p>
            <w:pPr>
              <w:spacing w:after="0"/>
              <w:rPr>
                <w:sz w:val="17"/>
                <w:szCs w:val="17"/>
                <w:color w:val="auto"/>
              </w:rPr>
            </w:pPr>
          </w:p>
        </w:tc>
      </w:tr>
      <w:tr>
        <w:trPr>
          <w:trHeight w:val="213"/>
        </w:trPr>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left="473"/>
              <w:spacing w:after="0"/>
              <w:rPr>
                <w:sz w:val="20"/>
                <w:szCs w:val="20"/>
                <w:color w:val="auto"/>
              </w:rPr>
            </w:pPr>
            <w:r>
              <w:rPr>
                <w:rFonts w:ascii="Arial" w:cs="Arial" w:eastAsia="Arial" w:hAnsi="Arial"/>
                <w:sz w:val="13"/>
                <w:szCs w:val="13"/>
                <w:color w:val="auto"/>
                <w:w w:val="96"/>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1"/>
        </w:trPr>
        <w:tc>
          <w:tcPr>
            <w:tcW w:w="5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1,389,275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1,408,683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08"/>
              <w:spacing w:after="0"/>
              <w:rPr>
                <w:sz w:val="20"/>
                <w:szCs w:val="20"/>
                <w:color w:val="auto"/>
              </w:rPr>
            </w:pPr>
            <w:r>
              <w:rPr>
                <w:rFonts w:ascii="Arial" w:cs="Arial" w:eastAsia="Arial" w:hAnsi="Arial"/>
                <w:sz w:val="16"/>
                <w:szCs w:val="16"/>
                <w:color w:val="auto"/>
              </w:rPr>
              <w:t>(19,408)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Revenue decreased $19 million, or 1%, for the six months ended June 30, 2025 compared to the same period in the prior year, primarily due to:</w:t>
      </w:r>
    </w:p>
    <w:p>
      <w:pPr>
        <w:spacing w:after="0" w:line="127" w:lineRule="exact"/>
        <w:rPr>
          <w:sz w:val="20"/>
          <w:szCs w:val="20"/>
          <w:color w:val="auto"/>
        </w:rPr>
      </w:pPr>
    </w:p>
    <w:p>
      <w:pPr>
        <w:ind w:left="980" w:hanging="324"/>
        <w:spacing w:after="0" w:line="286"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$8 million, or 1%, decrease in transaction-based distribution revenue primarily due to a 2% decrease in direct billable bookings to 187 million, partially offset by favorable rate impacts; and</w:t>
      </w:r>
    </w:p>
    <w:p>
      <w:pPr>
        <w:spacing w:after="0" w:line="61" w:lineRule="exact"/>
        <w:rPr>
          <w:rFonts w:ascii="Arial" w:cs="Arial" w:eastAsia="Arial" w:hAnsi="Arial"/>
          <w:sz w:val="16"/>
          <w:szCs w:val="16"/>
          <w:color w:val="auto"/>
        </w:rPr>
      </w:pPr>
    </w:p>
    <w:p>
      <w:pPr>
        <w:jc w:val="both"/>
        <w:ind w:left="980" w:hanging="324"/>
        <w:spacing w:after="0" w:line="265" w:lineRule="auto"/>
        <w:tabs>
          <w:tab w:leader="none" w:pos="969"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an $11 million, or 4%, decrease in IT solutions revenue driven by a $15 million decrease due to the impact of de-migrations from carriers who de-migrated prior to 2024. We expect revenue growth for IT solutions beginning in the third quarter of 2025 following the anniversary of the impact of these de-migrations on our revenue. This decrease was partially offset by a $3 million increase in volume growth and a $1 million increase in license fee revenue.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7"/>
              </w:rPr>
              <w:t>Six Months Ended June 30,</w:t>
            </w: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45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601,825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586,050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88"/>
              <w:spacing w:after="0"/>
              <w:rPr>
                <w:sz w:val="20"/>
                <w:szCs w:val="20"/>
                <w:color w:val="auto"/>
              </w:rPr>
            </w:pPr>
            <w:r>
              <w:rPr>
                <w:rFonts w:ascii="Arial" w:cs="Arial" w:eastAsia="Arial" w:hAnsi="Arial"/>
                <w:sz w:val="16"/>
                <w:szCs w:val="16"/>
                <w:color w:val="auto"/>
              </w:rPr>
              <w:t>15,775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bl>
    <w:p>
      <w:pPr>
        <w:spacing w:after="0" w:line="188"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Cost of revenue, excluding technology costs, increased $16 million, or 3%, for the six months ended June 30, 2025 compared to the same period in the prior year, primarily due to a $16 million increase in incentive consideration due to an increase in rates and transaction mix.</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7"/>
              </w:rPr>
              <w:t>Six Months Ended June 30,</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45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347,801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448"/>
              <w:spacing w:after="0"/>
              <w:rPr>
                <w:sz w:val="20"/>
                <w:szCs w:val="20"/>
                <w:color w:val="auto"/>
              </w:rPr>
            </w:pPr>
            <w:r>
              <w:rPr>
                <w:rFonts w:ascii="Arial" w:cs="Arial" w:eastAsia="Arial" w:hAnsi="Arial"/>
                <w:sz w:val="16"/>
                <w:szCs w:val="16"/>
                <w:color w:val="auto"/>
              </w:rPr>
              <w:t>(52,833)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Technology costs decreased $53 million, or 13%, for the six months ended June 30, 2025 compared to the same period in the prior year due to a $34 million decrease in labor and professional services primarily due to the cost reduction plan we implemented in prior periods, a $15 million decrease in hosting costs due to cost savings related to our cloud migrations, and a $3 million decrease in depreciation and amortization primarily due to the completion of amortization of certain capitalized internal use software.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2" w:name="page33"/>
    <w:bookmarkEnd w:id="32"/>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7"/>
              </w:rPr>
              <w:t>Six Months Ended June 30,</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45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259,120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(24,962)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bl>
    <w:p>
      <w:pPr>
        <w:spacing w:after="0" w:line="32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Selling, general and administrative expenses decreased $25 million, or 9%, for the six months ended June 30, 2025 compared to the same period in the prior year primarily due to a $12 million decrease in tax litigation reserves as a result of final settlement, a $7 million decrease due to savings related to our cloud migration, a $6 million decrease in digital services tax as a result of enacted legislation in Canada in the prior year, which was retroactive to 2022, a $4 million decrease in the provision for credit losses, a $7 million decrease primarily due to a sales tax refund in 2025 related to prior tax periods, and a $2 million decrease in other ongoing business expenses. These decreases were partially offset by an $11 million increase in labor and professional services to support our growth initiatives.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7"/>
              </w:rPr>
              <w:t>Six Months Ended June 30,</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55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660" w:type="dxa"/>
            <w:vAlign w:val="bottom"/>
            <w:tcBorders>
              <w:bottom w:val="single" w:sz="8" w:color="auto"/>
            </w:tcBorders>
          </w:tcPr>
          <w:p>
            <w:pPr>
              <w:spacing w:after="0"/>
              <w:rPr>
                <w:sz w:val="17"/>
                <w:szCs w:val="17"/>
                <w:color w:val="auto"/>
              </w:rPr>
            </w:pPr>
          </w:p>
        </w:tc>
      </w:tr>
      <w:tr>
        <w:trPr>
          <w:trHeight w:val="213"/>
        </w:trPr>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left="473"/>
              <w:spacing w:after="0"/>
              <w:rPr>
                <w:sz w:val="20"/>
                <w:szCs w:val="20"/>
                <w:color w:val="auto"/>
              </w:rPr>
            </w:pPr>
            <w:r>
              <w:rPr>
                <w:rFonts w:ascii="Arial" w:cs="Arial" w:eastAsia="Arial" w:hAnsi="Arial"/>
                <w:sz w:val="13"/>
                <w:szCs w:val="13"/>
                <w:color w:val="auto"/>
                <w:w w:val="96"/>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1"/>
        </w:trPr>
        <w:tc>
          <w:tcPr>
            <w:tcW w:w="5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(221,034)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7,275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28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Interest expense decreased $7 million, or 3% during the six months ended June 30, 2025 compared to the same period in the prior year primarily due to lower interest incurred in connection with our debt. See Note 7. Debt for further details regarding these debt transactions.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23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We recognized a loss on extinguishment of debt of $85 million during the six months ended June 30, 2025 as a result of the refinancing activity that occurred in the second quarter of 2025. We recognized a loss on extinguishment of debt of $38 million during the six months ended June 30, 2024, as a result of the refinancing activity that occurred in the first quarter of 2024. See Note 7. Debt for further details.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net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2640" w:type="dxa"/>
            <w:vAlign w:val="bottom"/>
            <w:tcBorders>
              <w:bottom w:val="single" w:sz="8" w:color="auto"/>
            </w:tcBorders>
            <w:gridSpan w:val="4"/>
          </w:tcPr>
          <w:p>
            <w:pPr>
              <w:jc w:val="center"/>
              <w:ind w:left="451"/>
              <w:spacing w:after="0"/>
              <w:rPr>
                <w:sz w:val="20"/>
                <w:szCs w:val="20"/>
                <w:color w:val="auto"/>
              </w:rPr>
            </w:pPr>
            <w:r>
              <w:rPr>
                <w:rFonts w:ascii="Arial" w:cs="Arial" w:eastAsia="Arial" w:hAnsi="Arial"/>
                <w:sz w:val="13"/>
                <w:szCs w:val="13"/>
                <w:b w:val="1"/>
                <w:bCs w:val="1"/>
                <w:color w:val="auto"/>
                <w:w w:val="97"/>
              </w:rPr>
              <w:t>Six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gridSpan w:val="3"/>
          </w:tcPr>
          <w:p>
            <w:pPr>
              <w:jc w:val="center"/>
              <w:ind w:right="308"/>
              <w:spacing w:after="0"/>
              <w:rPr>
                <w:sz w:val="20"/>
                <w:szCs w:val="20"/>
                <w:color w:val="auto"/>
              </w:rPr>
            </w:pPr>
            <w:r>
              <w:rPr>
                <w:rFonts w:ascii="Arial" w:cs="Arial" w:eastAsia="Arial" w:hAnsi="Arial"/>
                <w:sz w:val="13"/>
                <w:szCs w:val="13"/>
                <w:color w:val="auto"/>
                <w:w w:val="96"/>
              </w:rPr>
              <w:t>(Amounts in 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68"/>
              <w:spacing w:after="0"/>
              <w:rPr>
                <w:sz w:val="20"/>
                <w:szCs w:val="20"/>
                <w:color w:val="auto"/>
              </w:rPr>
            </w:pPr>
            <w:r>
              <w:rPr>
                <w:rFonts w:ascii="Arial" w:cs="Arial" w:eastAsia="Arial" w:hAnsi="Arial"/>
                <w:sz w:val="16"/>
                <w:szCs w:val="16"/>
                <w:color w:val="auto"/>
              </w:rPr>
              <w:t>39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bl>
    <w:p>
      <w:pPr>
        <w:spacing w:after="0" w:line="2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Other, net remained flat for the six months ended June 30, 2025 compared to the same period in the prior year primarily due to a gain on the sale of assets of $5 million recognized in the current year period, offset by a $3 million decrease due to realized and unrealized foreign currency exchange losses in the current period, a $1 million decrease due to other non-operating gains recognized in the prior year and a fair value loss from our investments in securities of $1 million recognized in the prior year period. See Note 9. Fair Value Measurements for further details regarding our investments in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7"/>
              </w:rPr>
              <w:t>Six Months Ended June 30,</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center"/>
              <w:ind w:left="473"/>
              <w:spacing w:after="0"/>
              <w:rPr>
                <w:sz w:val="20"/>
                <w:szCs w:val="20"/>
                <w:color w:val="auto"/>
              </w:rPr>
            </w:pPr>
            <w:r>
              <w:rPr>
                <w:rFonts w:ascii="Arial" w:cs="Arial" w:eastAsia="Arial" w:hAnsi="Arial"/>
                <w:sz w:val="13"/>
                <w:szCs w:val="13"/>
                <w:color w:val="auto"/>
                <w:w w:val="96"/>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79,614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9,328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70,286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753 %</w:t>
            </w:r>
          </w:p>
        </w:tc>
      </w:tr>
    </w:tbl>
    <w:p>
      <w:pPr>
        <w:spacing w:after="0" w:line="296"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6"/>
          <w:szCs w:val="16"/>
          <w:color w:val="auto"/>
        </w:rPr>
        <w:t>For the six months ended June 30, 2025, we recognized $80 million of income tax expense for continuing operations, compared to an income tax expense of $9 million for the six months ended June 30, 2024. The effective tax rate decreased for the six months ended June 30, 2025 as compared to the same period in 2024 primarily due to an increase in valuation allowance recorded in the current period and various discrete items recorded in each of the respective six month periods. The difference between our effective tax rates and the U.S. federal statutory income tax rate primarily results from valuation allowances, our geographic mix of taxable income in various tax jurisdictions, tax permanent differences and tax credits.</w:t>
      </w:r>
    </w:p>
    <w:p>
      <w:pPr>
        <w:sectPr>
          <w:pgSz w:w="11900" w:h="16838" w:orient="portrait"/>
          <w:cols w:equalWidth="0" w:num="1">
            <w:col w:w="11240"/>
          </w:cols>
          <w:pgMar w:left="320" w:top="1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right="20" w:firstLine="486"/>
        <w:spacing w:after="0" w:line="304" w:lineRule="auto"/>
        <w:rPr>
          <w:sz w:val="20"/>
          <w:szCs w:val="20"/>
          <w:color w:val="auto"/>
        </w:rPr>
      </w:pPr>
      <w:r>
        <w:rPr>
          <w:rFonts w:ascii="Arial" w:cs="Arial" w:eastAsia="Arial" w:hAnsi="Arial"/>
          <w:sz w:val="16"/>
          <w:szCs w:val="16"/>
          <w:color w:val="auto"/>
        </w:rPr>
        <w:t>Our current principal source of liquidity is our cash and cash equivalents on hand. As of June 30, 2025 and December 31, 2024, our cash and cash equivalents and outstanding letters of credit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ind w:left="220"/>
              <w:spacing w:after="0"/>
              <w:rPr>
                <w:sz w:val="20"/>
                <w:szCs w:val="20"/>
                <w:color w:val="auto"/>
              </w:rPr>
            </w:pPr>
            <w:r>
              <w:rPr>
                <w:rFonts w:ascii="Arial" w:cs="Arial" w:eastAsia="Arial" w:hAnsi="Arial"/>
                <w:sz w:val="13"/>
                <w:szCs w:val="13"/>
                <w:b w:val="1"/>
                <w:bCs w:val="1"/>
                <w:color w:val="auto"/>
              </w:rPr>
              <w:t>June 30, 2025</w:t>
            </w:r>
          </w:p>
        </w:tc>
        <w:tc>
          <w:tcPr>
            <w:tcW w:w="22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2024</w:t>
            </w:r>
          </w:p>
        </w:tc>
      </w:tr>
      <w:tr>
        <w:trPr>
          <w:trHeight w:val="21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426,118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724,479</w:t>
            </w:r>
          </w:p>
        </w:tc>
      </w:tr>
      <w:tr>
        <w:trPr>
          <w:trHeight w:val="216"/>
        </w:trPr>
        <w:tc>
          <w:tcPr>
            <w:tcW w:w="7420" w:type="dxa"/>
            <w:vAlign w:val="bottom"/>
          </w:tcPr>
          <w:p>
            <w:pPr>
              <w:ind w:left="20"/>
              <w:spacing w:after="0" w:line="216" w:lineRule="exact"/>
              <w:rPr>
                <w:sz w:val="20"/>
                <w:szCs w:val="20"/>
                <w:color w:val="auto"/>
              </w:rPr>
            </w:pPr>
            <w:r>
              <w:rPr>
                <w:rFonts w:ascii="Arial" w:cs="Arial" w:eastAsia="Arial" w:hAnsi="Arial"/>
                <w:sz w:val="16"/>
                <w:szCs w:val="16"/>
                <w:color w:val="auto"/>
              </w:rPr>
              <w:t>Outstanding balance under the AR Facility</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97,300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82,200</w:t>
            </w:r>
          </w:p>
        </w:tc>
      </w:tr>
      <w:tr>
        <w:trPr>
          <w:trHeight w:val="216"/>
        </w:trPr>
        <w:tc>
          <w:tcPr>
            <w:tcW w:w="742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Available undrawn balance under the AR Facility</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Outstanding letters of credit under the bilateral letter of credit facility</w:t>
            </w:r>
          </w:p>
        </w:tc>
        <w:tc>
          <w:tcPr>
            <w:tcW w:w="32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11,748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12,535</w:t>
            </w:r>
          </w:p>
        </w:tc>
      </w:tr>
      <w:tr>
        <w:trPr>
          <w:trHeight w:val="217"/>
        </w:trPr>
        <w:tc>
          <w:tcPr>
            <w:tcW w:w="7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Available under the bilateral letter of credit facility</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7,465</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9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AR Facility (as defined below) does not include the FILO Facility (as defined below).</w:t>
      </w:r>
    </w:p>
    <w:p>
      <w:pPr>
        <w:spacing w:after="0" w:line="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As of June 30, 2025, we had </w:t>
      </w:r>
      <w:r>
        <w:rPr>
          <w:rFonts w:ascii="Arial" w:cs="Arial" w:eastAsia="Arial" w:hAnsi="Arial"/>
          <w:sz w:val="16"/>
          <w:szCs w:val="16"/>
          <w:color w:val="212529"/>
        </w:rPr>
        <w:t>$97 million</w:t>
      </w:r>
      <w:r>
        <w:rPr>
          <w:rFonts w:ascii="Arial" w:cs="Arial" w:eastAsia="Arial" w:hAnsi="Arial"/>
          <w:sz w:val="16"/>
          <w:szCs w:val="16"/>
          <w:color w:val="auto"/>
        </w:rPr>
        <w:t xml:space="preserve"> outstanding under the AR Facility. </w:t>
      </w:r>
      <w:r>
        <w:rPr>
          <w:rFonts w:ascii="Arial" w:cs="Arial" w:eastAsia="Arial" w:hAnsi="Arial"/>
          <w:sz w:val="16"/>
          <w:szCs w:val="16"/>
          <w:color w:val="212529"/>
        </w:rPr>
        <w:t>The</w:t>
      </w:r>
      <w:r>
        <w:rPr>
          <w:rFonts w:ascii="Arial" w:cs="Arial" w:eastAsia="Arial" w:hAnsi="Arial"/>
          <w:sz w:val="16"/>
          <w:szCs w:val="16"/>
          <w:color w:val="auto"/>
        </w:rPr>
        <w:t xml:space="preserve"> AR Facility matures on </w:t>
      </w:r>
      <w:r>
        <w:rPr>
          <w:rFonts w:ascii="Arial" w:cs="Arial" w:eastAsia="Arial" w:hAnsi="Arial"/>
          <w:sz w:val="16"/>
          <w:szCs w:val="16"/>
          <w:color w:val="212529"/>
        </w:rPr>
        <w:t>March 29, 2027 and</w:t>
      </w:r>
      <w:r>
        <w:rPr>
          <w:rFonts w:ascii="Arial" w:cs="Arial" w:eastAsia="Arial" w:hAnsi="Arial"/>
          <w:sz w:val="16"/>
          <w:szCs w:val="16"/>
          <w:color w:val="auto"/>
        </w:rPr>
        <w:t xml:space="preserve"> allows us the ability to prepay the principal amount prior to the maturity date without penalty. See Note 7. Debt.</w:t>
      </w:r>
    </w:p>
    <w:p>
      <w:pPr>
        <w:spacing w:after="0" w:line="4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June 30, 2025 and December 31, 2024. We had $21 million held as cash collateral for standby letters of credit in restricted cash on our consolidated balance sheets as of June 30, 2025 and December 31, 2024.</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Liquidity Outlook</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We have experienced volume growth that has generally leveled off, which may continue into the future and could impact our rate of growth. These changes have had, and we believe they will continue to have, a material negative impact on our financial results and liquidity, and this negative impact may continue. Given the uncertain economic environment, we cannot provide assurance that the assumptions used to estimate our liquidity requirements will be accurate. However, based on our assumptions and estimates with respect to our financial condition, we believe that we have resources to sufficiently fund our liquidity requirements over at least the next twelve months.</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2024 and 2025, we refinanced and extended the maturity on portions of our debt, which negatively impacted our results due to increasing interest rates and negatively impacted our liquidity due to our utilizing cash from our balance sheet. In the second quarter of 2023, we began implementing a cost reduction plan designed to reposition our business to the current environment and to structurally reduce our cost base. We believe our cash position and the liquidity measures we have taken will provide additional flexibility as we manage through continued headwinds. We will continue to monitor our liquidity levels and take additional steps should we determine they are necessary.</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utilize cash and cash equivalents primarily to pay our operating expenses, make capital expenditures, invest in our information technology infrastructure, products and offerings, pay taxes, service our debt as it becomes due, and pay other long-term liabilities. Free cash flow is calculated as cash flow from operations reduced by additions to property and equipment. We expect the full year 2025 pro forma free cash flow to range from approximately $100 million to approximately $140 million, which we expect to be impacted by normal seasonality on a quarterly basis. Pro forma free cash flow is calculated to give effect to the sale of the Hospitality Solutions business and we have removed the impact of the $227 million payment-in-kind interest that was recorded in conjunction with the refinancing activity in the second quarter of 2025, from pro forma Free Cash Flow.</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and planned capital expenditures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have regularly evaluated and considered, and in the future we will continue to evaluate and consider, strategic acquisitions, divestitures, joint ventures, equity method investments, refinancing our existing debt or repurchasing our outstanding debt obligations in open market or in privately negotiated transactions or otherwise, as well as other transactions we believe may create stockholder value or enhance financial performance. These transactions may require cash expenditures or generate proceeds and, to the extent they require cash expenditures, may be funded through a combination of cash on hand, debt or equity offerings, or asset sales.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4" w:name="page35"/>
    <w:bookmarkEnd w:id="34"/>
    <w:p>
      <w:pPr>
        <w:jc w:val="both"/>
        <w:ind w:firstLine="486"/>
        <w:spacing w:after="0" w:line="257" w:lineRule="auto"/>
        <w:rPr>
          <w:sz w:val="20"/>
          <w:szCs w:val="20"/>
          <w:color w:val="auto"/>
        </w:rPr>
      </w:pPr>
      <w:r>
        <w:rPr>
          <w:rFonts w:ascii="Arial" w:cs="Arial" w:eastAsia="Arial" w:hAnsi="Arial"/>
          <w:sz w:val="16"/>
          <w:szCs w:val="16"/>
          <w:color w:val="auto"/>
        </w:rPr>
        <w:t>While our business has incurred net losses on a GAAP basis, we recognized federal taxable income in 2024 based on our operating and non-operating results pursuant to the provisions of the Tax Cuts and Jobs Act that limit interest expense deduction and the annual use of net operating loss (“NOL”) carryforwards and requires companies to capitalize and amortize research and development costs. On July 4, 2025, tax legislation commonly referred to as the One Big Beautiful Bill Act (“OBBBA”) was enacted in the U.S.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so while we had forecasted to be a U.S. federal cash taxpayer in 2025, we expect certain provisions of OBBBA to provide a U.S. federal cash tax benefit for 2025. Additionally, several countries, primarily Canada and in Europe, have adopted DST on revenue earned by multinational companies from the provision of certain digital services, such as the use of an online marketplace, regardless of physical presence. As DSTs are proposed, enacted or changed in jurisdictions around the world, we monitor such legislation and determine its applicability to our operations in these jurisdictions. We record DST in selling, general and administrative costs in the consolidated statements of operations.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As of June 30, 2025, our outstanding debt totaled $5.0 billion, which is net of debt issuance costs and unamortized discounts of $125 million. Currently approximately 32% of our debt, net of cash and hedging impacts from interest rates swaps, is variable and impacted by changes in interest rates. See “Risk Factors—We are exposed to interest rate fluctuations." From time to time, we review and consider opportunities to refinance or repurchase our existing debt, as well as conduct debt or equity offerings to support future strategic investments, support operational requirements, provide additional liquidity, or pay down debt.</w:t>
      </w:r>
    </w:p>
    <w:p>
      <w:pPr>
        <w:spacing w:after="0" w:line="8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global capital markets experienced periods of volatility throughout 2024, which has increased through the second quarter of 2025, in response to the geopolitical conflict, changes in the rate of inflation, uncertainty regarding the path of U.S. monetary policy, and more recently tariff-related policy. During 2024 and 2025, we refinanced portions of our debt which resulted in interest rates higher than prior years, increasing current and future interest expense. Through June 4, 2025, the 2023 Term Loan Agreement, as defined below, provided the ability for interest to be payable-in-kind, such that amounts due were capitalized into the note balance at the payment date rather than paid in cash, reducing our near-term cash payments for interest on this debt. On June 4, 2025, we repaid all outstanding borrowings under the Senior Secured Term Loan Due 2028. Subject to market conditions, we may opportunistically refinance portions of our debt in the near term which, at current interest rates and market conditions, may negatively impact our interest expense or result in higher dilution. In addition, from time to time, we may decide to repurchase or otherwise retire portions of our existing indebtedness through transactions in the open market, privately negotiated transactions, tender offers, exchange offers or otherwise, or we may redeem or prepay portions of our existing indebtedness. Any such action will depend on market conditions and various other factors existing at that time.</w:t>
      </w:r>
    </w:p>
    <w:p>
      <w:pPr>
        <w:spacing w:after="0" w:line="8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continued access to capital resources depends on multiple factors, including global economic conditions, the condition of global financial markets, the availability of sufficient amounts of financing, our ability to meet debt covenant requirements, our operating performance, and our credit ratings. These factors could lead to further market disruption and potential increases to our funding costs.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If our credit ratings were to be downgraded, or financing sources were to become more limited or to ascribe higher risk to our rating levels or our industry, our access to capital and the cost of any financing would be negatively impacted. There is no guarantee that additional debt financing will be available in the future to fund our obligations, or that it will be available on commercially reasonable terms, in which case we may need to seek other sources of funding. In addition, the terms of future debt agreements could include more restrictive covenants than those we are currently subject to, which could restrict our business operations. For more information, see "Risk Factors—We may require more cash than we generate in our operating activities, and additional funding on reasonable terms or at all may not be available."</w:t>
      </w:r>
    </w:p>
    <w:p>
      <w:pPr>
        <w:spacing w:after="0" w:line="7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 xml:space="preserve">Under the Amended and Restated Credit Agreement, dated as of February 19, 2013 (the "Amended and Restated Credit Agreement"), the loan parties are subject to certain customary non-financial covenants, including restrictions on incurring certain types of indebtedness, creation of liens on certain assets, making of certain investments, and payment of dividends. In the first quarter of 2023, we entered into the AR Facility of up to </w:t>
      </w:r>
      <w:r>
        <w:rPr>
          <w:rFonts w:ascii="Arial" w:cs="Arial" w:eastAsia="Arial" w:hAnsi="Arial"/>
          <w:sz w:val="16"/>
          <w:szCs w:val="16"/>
          <w:color w:val="212529"/>
        </w:rPr>
        <w:t>$200 million,</w:t>
      </w:r>
      <w:r>
        <w:rPr>
          <w:rFonts w:ascii="Arial" w:cs="Arial" w:eastAsia="Arial" w:hAnsi="Arial"/>
          <w:sz w:val="16"/>
          <w:szCs w:val="16"/>
          <w:color w:val="auto"/>
        </w:rPr>
        <w:t xml:space="preserve"> and in the first quarter of 2024, we increased the overall size of the AR Facility through the FILO Facility, resulting in a Securitization Facility of </w:t>
      </w:r>
      <w:r>
        <w:rPr>
          <w:rFonts w:ascii="Arial" w:cs="Arial" w:eastAsia="Arial" w:hAnsi="Arial"/>
          <w:sz w:val="16"/>
          <w:szCs w:val="16"/>
          <w:color w:val="212529"/>
        </w:rPr>
        <w:t>$235 million (as each of</w:t>
      </w:r>
      <w:r>
        <w:rPr>
          <w:rFonts w:ascii="Arial" w:cs="Arial" w:eastAsia="Arial" w:hAnsi="Arial"/>
          <w:sz w:val="16"/>
          <w:szCs w:val="16"/>
          <w:color w:val="auto"/>
        </w:rPr>
        <w:t xml:space="preserve"> </w:t>
      </w:r>
      <w:r>
        <w:rPr>
          <w:rFonts w:ascii="Arial" w:cs="Arial" w:eastAsia="Arial" w:hAnsi="Arial"/>
          <w:sz w:val="16"/>
          <w:szCs w:val="16"/>
          <w:color w:val="212529"/>
        </w:rPr>
        <w:t>such terms is defined below)</w:t>
      </w:r>
      <w:r>
        <w:rPr>
          <w:rFonts w:ascii="Arial" w:cs="Arial" w:eastAsia="Arial" w:hAnsi="Arial"/>
          <w:sz w:val="16"/>
          <w:szCs w:val="16"/>
          <w:color w:val="000000"/>
        </w:rPr>
        <w:t>. As of June 30, 2025, we were in compliance with all covenants under the terms of the Amended and Restated Credit</w:t>
      </w:r>
      <w:r>
        <w:rPr>
          <w:rFonts w:ascii="Arial" w:cs="Arial" w:eastAsia="Arial" w:hAnsi="Arial"/>
          <w:sz w:val="16"/>
          <w:szCs w:val="16"/>
          <w:color w:val="212529"/>
        </w:rPr>
        <w:t xml:space="preserve"> </w:t>
      </w:r>
      <w:r>
        <w:rPr>
          <w:rFonts w:ascii="Arial" w:cs="Arial" w:eastAsia="Arial" w:hAnsi="Arial"/>
          <w:sz w:val="16"/>
          <w:szCs w:val="16"/>
          <w:color w:val="000000"/>
        </w:rPr>
        <w:t>Agreement and the Securitization Facility (as defined below).</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are required to pay down our term loans by an amount equal to 50% of annual excess cash flow, as defined in the Amended and Restated Credit Agreement. This percentage requirement may decrease or be eliminated if certain leverage ratios are achieved. Based on our results for the year ended December 31, 2023, we were not required to make an excess cash flow payment in 2024, and no excess cash flow payment is required in 2025 with respect to our results for the year ended December 31, 2024. We are further required to pay down the term loans with proceeds from certain asset sales, net of taxes, or borrowings, that are not otherwise reinvested in the business, as provided in the Amended and Restated Credit Agreement. Following the closing of the Hospitality Solutions Sale, we used the net proceeds primarily to repay a portion of our outstanding indebtedness under our 2021 Term Loan B-2 in the amount of $157 million, 2022 Term Loan B-1 in the amount of $164 million, 2022 Term Loan B-2 in the amount of $178 million, and 2024 Term Loan B-1 in the amount of $299 million, in accordance with the terms of the Amended and Restated Credit Agreement. In addition, receivables related to the Hospitality Solutions business were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 xml:space="preserve">removed from the </w:t>
      </w:r>
      <w:r>
        <w:rPr>
          <w:rFonts w:ascii="Arial" w:cs="Arial" w:eastAsia="Arial" w:hAnsi="Arial"/>
          <w:sz w:val="16"/>
          <w:szCs w:val="16"/>
          <w:color w:val="212529"/>
        </w:rPr>
        <w:t>Securitization Facility</w:t>
      </w:r>
      <w:r>
        <w:rPr>
          <w:rFonts w:ascii="Arial" w:cs="Arial" w:eastAsia="Arial" w:hAnsi="Arial"/>
          <w:sz w:val="16"/>
          <w:szCs w:val="16"/>
          <w:color w:val="auto"/>
        </w:rPr>
        <w:t xml:space="preserve"> on July 3, 2025, and we repaid $23 million of the outstanding balance on our </w:t>
      </w:r>
      <w:r>
        <w:rPr>
          <w:rFonts w:ascii="Arial" w:cs="Arial" w:eastAsia="Arial" w:hAnsi="Arial"/>
          <w:sz w:val="16"/>
          <w:szCs w:val="16"/>
          <w:color w:val="212529"/>
        </w:rPr>
        <w:t>Securitization Facility</w:t>
      </w:r>
      <w:r>
        <w:rPr>
          <w:rFonts w:ascii="Arial" w:cs="Arial" w:eastAsia="Arial" w:hAnsi="Arial"/>
          <w:sz w:val="16"/>
          <w:szCs w:val="16"/>
          <w:color w:val="auto"/>
        </w:rPr>
        <w:t>.</w:t>
      </w: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 Impacting Our Liquidity and Capital Resources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Credit Facilities</w:t>
      </w:r>
    </w:p>
    <w:p>
      <w:pPr>
        <w:spacing w:after="0" w:line="11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November 25, 2024, we entered into a third and fourth amendment to the Amended and Restated Credit Agreement (together, the “Term Loan B Amendments”) to which Sabre GLBL agreed to exchange $775 million of our existing senior secured term loans (the “Existing Term Loans”) for the same amount of new senior secured term loans maturing on November 15, 2029 (the “2024 Term Loans”). We incurred no additional indebtedness as a result of this refinancing. The Term Loan B Amendments included the application of the proceeds of a new $700 million and $75 million term loan “B” facility (the “2024 Term Loan B-1” and the ”2024 Term Loan B-2”, respectively), borrowed by Sabre GLBL under the Amended and Restated Credit Agreement, with the effect of extending the maturity of approximately $775 million of the existing Term Loan B credit facility under the Amended and Restated Credit Agreement. Sabre GLBL did not receive any cash proceeds from the exchange and did not incur additional indebtedness as a result of the Term Loan B Amendments. We incurred third-party fees of approximately $10 million plus $14 million of accrued and unpaid interest, of which $9 million and $14 million were paid in cash, respectively, during the year ending December 31, 2024. The remaining third-party fees have been paid as of June 30, 2025. We determined that the Term Loan B Amendments represent a debt modification and therefore we expensed all $10 million of third-party costs, to Other, Net in our consolidated statements of operations for the year ended December 31, 2024 and were included in cash flow from operations as paid. The 2024 Term Loan B-1 and 2024 Term Loan B-2 mature on November 15, 2029. They offer us the ability to prepay or repay with a 1.0% call premium on or prior to the six-month anniversary of the amendment effective date, or without a call premium thereafter. The 2024 Term Loans bear interest at Term SOFR, plus an applicable margin of 600 basis points, or at base rate, plus an applicable margin of 500 basis points. The term SOFR for the 2024 Term Loans is subject to a floor of 0.50% per annum and the base rate is subject to a floor of 1.50% per annum. Except for the extended maturity and new pricing terms, the 2024 Term Loans have substantially similar terms as the Existing Term Loans, including guarantees and security interests.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Notes</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On June 4, 2025, Sabre GLBL issued $1.325 billion aggregate principal amount of 11.125% Senior Secured Notes due 2030 (the “July 2030 Notes”). The net proceeds from the issuance were used (i) to fully prepay $900 million of its outstanding principal under an intercompany loan agreement with Sabre Financial Borrower, LLC, which applied such amounts toward full prepayment of Sabre Financial Borrower, LLC’s Senior Secured Term Loan due 2028; and</w:t>
      </w:r>
    </w:p>
    <w:p>
      <w:pPr>
        <w:spacing w:after="0" w:line="1" w:lineRule="exact"/>
        <w:rPr>
          <w:sz w:val="20"/>
          <w:szCs w:val="20"/>
          <w:color w:val="auto"/>
        </w:rPr>
      </w:pPr>
    </w:p>
    <w:p>
      <w:pPr>
        <w:jc w:val="both"/>
        <w:ind w:firstLine="8"/>
        <w:spacing w:after="0" w:line="256" w:lineRule="auto"/>
        <w:tabs>
          <w:tab w:leader="none" w:pos="22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repurchase $325 million in principal amount of its June 2027 Notes (the “June 2025 Refinancing”). Interest on the July 2030 Notes is due semiannually in arrears on January 15 and July 15 of each year, beginning on January 15, 2026, at a rate of 11.125% per year, and the notes mature on July 15, 2030. As a result of the refinancing, Sabre GLBL incurred additional indebtedness of $100 million. In connection with the June 2025 Refinancing, we repaid an aggregate of $1.225 billion in outstanding principal, $44 million in creditor fees, $34 million in accrued and unpaid interest, and $27 million in new note issuance costs. We concluded that the June 2025 Refinancing represented a debt extinguishment and therefore recognized a loss on extinguishment of debt during the six months ended June 30, 2025 of approximately $85 million. The July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7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November 25, 2024, Sabre GLBL exchanged approximately $246 million in principal amount of our 8.625% senior secured notes due 2027 (the “June 2027 Notes”) and approximately $509 million in principal amount of our 11.250% senior secured notes due December 2027 (the “December 2027 Notes”) for approximately $800 million of new 10.750% senior secured notes due November 2029 (the “November 2029 Notes”) (the “Initial November 2024 Exchange Transactions”). Shortly thereafter, on November 27, 2024, Sabre GLBL issued an additional approximately $25 million in aggregate principal amount of November 2029 Notes in exchange for approximately $21 million of 9.250% senior secured notes due 2025 (the “April 2025 Notes”) and approximately $4 million of our 7.375% senior secured notes due 2025 (the “September 2025 Notes”) (together with the Initial November 2024 Exchange Transactions, the “November 2024 Exchange Transactions”). Other than the issuance date and issue price, these additional November 2029 notes have the same terms, form a single series with, and are fungible with the November 2029 Notes described above. The November 2029 Notes bear interest at a rate of 10.750% per annum, and interest payments are due semi-annually in arrears on May 15 and November 15 of each year, beginning May 15, 2025. The November 2029 Notes mature on November 15, 2029. Sabre GLBL did not receive any cash proceeds from the exchange and did not incur additional indebtedness as a result of the exchange other than $45 million of early exchange consideration on the November 2029 Notes, which was recorded as a discount. We incurred $11 million in fees, along with $31 million in accrued and unpaid interest. We determined that the November 2024 Exchange Transactions, including the impact of the early exchange consideration, represent a debt modification and therefore, expensed $11 million of debt modification costs in Other, net in our consolidated statements of operations for the year ended December 31, 2024 and included in cash flow from operations as paid. The November 2029 Notes are jointly and severally, irrevocably and unconditionally guaranteed by Sabre Holdings and all of Sabre GLBL’s restricted subsidiaries that guarantee Sabre GLBL’s credit facilities governed by the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jc w:val="both"/>
        <w:ind w:firstLine="486"/>
        <w:spacing w:after="0" w:line="259" w:lineRule="auto"/>
        <w:rPr>
          <w:sz w:val="20"/>
          <w:szCs w:val="20"/>
          <w:color w:val="auto"/>
        </w:rPr>
      </w:pPr>
      <w:r>
        <w:rPr>
          <w:rFonts w:ascii="Arial" w:cs="Arial" w:eastAsia="Arial" w:hAnsi="Arial"/>
          <w:sz w:val="16"/>
          <w:szCs w:val="16"/>
          <w:color w:val="auto"/>
        </w:rPr>
        <w:t>On March 7, 2024, Sabre GLBL exchanged approximately $36 million of the September 2025 Notes and approximately $7 million of the April 2025 Notes for approximately $50 million aggregate principal amount of additional June 2027 Notes (the "March 2024 Senior Secured Exchange Transaction"). No additional indebtedness was incurred as a result of the March 2024 Senior Secured Exchange Transaction, other than amounts covering exchange fees of approximately $7 million. Other than the issuance date and issue price, these additional June 2027 Notes have the same terms, form a single series with, and are fungible with the June 2027 Notes issued in September 2023. We incurred additional fees of approximately $1 million, which were funded with cash on hand. We determined that the March 2024 Senior Secured Exchange Transaction, including the impact of the exchange fees, represents a debt extinguishment and therefore recognized a loss on extinguishment of debt during the six months ended June 30, 2024 of approximately $7 million, primarily consisting of exchange fees related to the June 2027 Notes. The April 2025 Notes matured, and were repaid in full, on April 15, 2025.</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Exchangeable Notes</w:t>
      </w:r>
    </w:p>
    <w:p>
      <w:pPr>
        <w:spacing w:after="0" w:line="1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212529"/>
        </w:rPr>
        <w:t xml:space="preserve">On March 19, 2024, Sabre GLBL exchanged $150 million aggregate principal amount of our then-outstanding </w:t>
      </w:r>
      <w:r>
        <w:rPr>
          <w:rFonts w:ascii="Arial" w:cs="Arial" w:eastAsia="Arial" w:hAnsi="Arial"/>
          <w:sz w:val="16"/>
          <w:szCs w:val="16"/>
          <w:color w:val="000000"/>
        </w:rPr>
        <w:t>4.000% senior exchangeable notes due</w:t>
      </w:r>
      <w:r>
        <w:rPr>
          <w:rFonts w:ascii="Arial" w:cs="Arial" w:eastAsia="Arial" w:hAnsi="Arial"/>
          <w:sz w:val="16"/>
          <w:szCs w:val="16"/>
          <w:color w:val="212529"/>
        </w:rPr>
        <w:t xml:space="preserve"> </w:t>
      </w:r>
      <w:r>
        <w:rPr>
          <w:rFonts w:ascii="Arial" w:cs="Arial" w:eastAsia="Arial" w:hAnsi="Arial"/>
          <w:sz w:val="16"/>
          <w:szCs w:val="16"/>
          <w:color w:val="000000"/>
        </w:rPr>
        <w:t>2025 (the “</w:t>
      </w:r>
      <w:r>
        <w:rPr>
          <w:rFonts w:ascii="Arial" w:cs="Arial" w:eastAsia="Arial" w:hAnsi="Arial"/>
          <w:sz w:val="16"/>
          <w:szCs w:val="16"/>
          <w:color w:val="212529"/>
        </w:rPr>
        <w:t>2025</w:t>
      </w:r>
      <w:r>
        <w:rPr>
          <w:rFonts w:ascii="Arial" w:cs="Arial" w:eastAsia="Arial" w:hAnsi="Arial"/>
          <w:sz w:val="16"/>
          <w:szCs w:val="16"/>
          <w:color w:val="000000"/>
        </w:rPr>
        <w:t xml:space="preserve"> Exchangeable Notes”) </w:t>
      </w:r>
      <w:r>
        <w:rPr>
          <w:rFonts w:ascii="Arial" w:cs="Arial" w:eastAsia="Arial" w:hAnsi="Arial"/>
          <w:sz w:val="16"/>
          <w:szCs w:val="16"/>
          <w:color w:val="212529"/>
        </w:rPr>
        <w:t>for $150 million aggregate principal amount of Sabre GLBL's newly-issued 7.32% senior exchangeable notes due</w:t>
      </w:r>
      <w:r>
        <w:rPr>
          <w:rFonts w:ascii="Arial" w:cs="Arial" w:eastAsia="Arial" w:hAnsi="Arial"/>
          <w:sz w:val="16"/>
          <w:szCs w:val="16"/>
          <w:color w:val="000000"/>
        </w:rPr>
        <w:t xml:space="preserve"> </w:t>
      </w:r>
      <w:r>
        <w:rPr>
          <w:rFonts w:ascii="Arial" w:cs="Arial" w:eastAsia="Arial" w:hAnsi="Arial"/>
          <w:sz w:val="16"/>
          <w:szCs w:val="16"/>
          <w:color w:val="212529"/>
        </w:rPr>
        <w:t xml:space="preserve">2026 (the "2026 Exchangeable Notes" and, together with the 2025 Exchangeable Notes, the "Exchangeable Notes") and approximately $30 million of cash (the "March 2024 Exchangeable Notes Exchange Transaction"). We incurred additional fees of approximately $5 million in associated fees and expenses plus $3 million of accrued and unpaid interest, all of which were funded with cash on hand. </w:t>
      </w:r>
      <w:r>
        <w:rPr>
          <w:rFonts w:ascii="Arial" w:cs="Arial" w:eastAsia="Arial" w:hAnsi="Arial"/>
          <w:sz w:val="16"/>
          <w:szCs w:val="16"/>
          <w:color w:val="000000"/>
        </w:rPr>
        <w:t>We determined that the</w:t>
      </w:r>
      <w:r>
        <w:rPr>
          <w:rFonts w:ascii="Arial" w:cs="Arial" w:eastAsia="Arial" w:hAnsi="Arial"/>
          <w:sz w:val="16"/>
          <w:szCs w:val="16"/>
          <w:color w:val="212529"/>
        </w:rPr>
        <w:t xml:space="preserve"> March 2024 Exchangeable Notes Exchange Transaction</w:t>
      </w:r>
      <w:r>
        <w:rPr>
          <w:rFonts w:ascii="Arial" w:cs="Arial" w:eastAsia="Arial" w:hAnsi="Arial"/>
          <w:sz w:val="16"/>
          <w:szCs w:val="16"/>
          <w:color w:val="000000"/>
        </w:rPr>
        <w:t>, including the impact of the exchange fees, represents a debt extinguishment and therefore recognized a loss on extinguishment of</w:t>
      </w:r>
      <w:r>
        <w:rPr>
          <w:rFonts w:ascii="Arial" w:cs="Arial" w:eastAsia="Arial" w:hAnsi="Arial"/>
          <w:sz w:val="16"/>
          <w:szCs w:val="16"/>
          <w:color w:val="212529"/>
        </w:rPr>
        <w:t xml:space="preserve"> </w:t>
      </w:r>
      <w:r>
        <w:rPr>
          <w:rFonts w:ascii="Arial" w:cs="Arial" w:eastAsia="Arial" w:hAnsi="Arial"/>
          <w:sz w:val="16"/>
          <w:szCs w:val="16"/>
          <w:color w:val="000000"/>
        </w:rPr>
        <w:t xml:space="preserve">debt of $31 million. We did not receive any cash proceeds from the exchange and did not incur additional indebtedness in excess of the aggregate principal amount of existing notes that were exchanged. </w:t>
      </w:r>
      <w:r>
        <w:rPr>
          <w:rFonts w:ascii="Arial" w:cs="Arial" w:eastAsia="Arial" w:hAnsi="Arial"/>
          <w:sz w:val="16"/>
          <w:szCs w:val="16"/>
          <w:color w:val="212529"/>
        </w:rPr>
        <w:t>The 2026 Exchangeable Notes are senior, unsecured obligations of Sabre GLBL, accrue interest payable</w:t>
      </w:r>
      <w:r>
        <w:rPr>
          <w:rFonts w:ascii="Arial" w:cs="Arial" w:eastAsia="Arial" w:hAnsi="Arial"/>
          <w:sz w:val="16"/>
          <w:szCs w:val="16"/>
          <w:color w:val="000000"/>
        </w:rPr>
        <w:t xml:space="preserve"> </w:t>
      </w:r>
      <w:r>
        <w:rPr>
          <w:rFonts w:ascii="Arial" w:cs="Arial" w:eastAsia="Arial" w:hAnsi="Arial"/>
          <w:sz w:val="16"/>
          <w:szCs w:val="16"/>
          <w:color w:val="212529"/>
        </w:rPr>
        <w:t xml:space="preserve">semi-annually in arrears on February 1 and August 1 of each year, beginning on August 1 2024, and mature on August 1, 2026, unless earlier repurchased or exchanged in accordance with specified circumstances and terms of the indenture governing the 2026 Exchangeable Notes (the "2026 Exchangeable Notes Indenture"). As of </w:t>
      </w:r>
      <w:r>
        <w:rPr>
          <w:rFonts w:ascii="Arial" w:cs="Arial" w:eastAsia="Arial" w:hAnsi="Arial"/>
          <w:sz w:val="16"/>
          <w:szCs w:val="16"/>
          <w:color w:val="000000"/>
        </w:rPr>
        <w:t>June 30, 2025</w:t>
      </w:r>
      <w:r>
        <w:rPr>
          <w:rFonts w:ascii="Arial" w:cs="Arial" w:eastAsia="Arial" w:hAnsi="Arial"/>
          <w:sz w:val="16"/>
          <w:szCs w:val="16"/>
          <w:color w:val="212529"/>
        </w:rPr>
        <w:t>, we have $150 million aggregate principal amount of 2026 Exchangeable Notes outstanding. The 2025 Exchangeable Notes matured on April 15, 2025, and were settled with cash</w:t>
      </w:r>
      <w:r>
        <w:rPr>
          <w:rFonts w:ascii="Arial" w:cs="Arial" w:eastAsia="Arial" w:hAnsi="Arial"/>
          <w:sz w:val="16"/>
          <w:szCs w:val="16"/>
          <w:color w:val="000000"/>
        </w:rPr>
        <w:t>.</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Securitization Facility</w:t>
      </w:r>
    </w:p>
    <w:p>
      <w:pPr>
        <w:spacing w:after="0" w:line="1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212529"/>
        </w:rPr>
        <w:t>On February 14, 2023, Sabre Securitization, LLC, our indirect, consolidated subsidiary and a special purpose entity (“Sabre Securitization”), entered into a three-year committed accounts receivable securitization facility (as amended from time to time the “Securitization Facility”) of up to $200 million with PNC Bank, N.A.</w:t>
      </w:r>
    </w:p>
    <w:p>
      <w:pPr>
        <w:spacing w:after="0" w:line="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On March 29, 2024, Sabre Securitization increased the overall size of the existing Securitization Facility from $200 million to $235 million by issuing a $120 million "first-in, last-out" term loan tranche under the Securitization Facility (such tranche, the "FILO Facility") and reducing the revolving tranche under the Securitization Facility to $115 million (such tranche, the "AR Facility"). In connection with the issuance of the FILO Facility, the maturity date of the Securitization Facility was extended to March 29, 2027 and the springing maturity date thereunder was terminated. The FILO Facility provides the ability to prepay or repay at certain redemption premiums as set forth in the agreement. The net proceeds received from the FILO Facility of $117 million, net of $3 million in fees paid to creditors, will be used for general corporate purposes. We incurred additional fees of $4 million, which were funded with cash on hand.</w:t>
      </w:r>
    </w:p>
    <w:p>
      <w:pPr>
        <w:spacing w:after="0" w:line="28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212529"/>
        </w:rPr>
        <w:t xml:space="preserve">The amount available for borrowings at any one time under the Securitization Facility is limited to a borrowing base calculated based on the outstanding balance of eligible receivables, subject to certain reserves. As of </w:t>
      </w:r>
      <w:r>
        <w:rPr>
          <w:rFonts w:ascii="Arial" w:cs="Arial" w:eastAsia="Arial" w:hAnsi="Arial"/>
          <w:sz w:val="16"/>
          <w:szCs w:val="16"/>
          <w:color w:val="000000"/>
        </w:rPr>
        <w:t>June 30, 2025</w:t>
      </w:r>
      <w:r>
        <w:rPr>
          <w:rFonts w:ascii="Arial" w:cs="Arial" w:eastAsia="Arial" w:hAnsi="Arial"/>
          <w:sz w:val="16"/>
          <w:szCs w:val="16"/>
          <w:color w:val="212529"/>
        </w:rPr>
        <w:t>, we had $217 million outstanding under the Securitization Facility, consisting of $97 million under the AR Facility and $120 million outstanding under the FILO Facility.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Share Repurchase Program</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On March 16, 2020, we announced the suspension of share repurchases under the Share Repurchase Program in conjunction with the cash management measures we undertook as a result of the market conditions caused by COVID-19. During the six months ended June 30, 2025, we did not repurchase any shares pursuant to the Share Repurchase Program. As of June 30, 2025, the Share Repurchase Program remains suspended and approximately $287 million remains authorized for repurchases. In addition, the terms of certain of the agreements governing our indebtedness contain covenants that, among other things, limit our ability to repurchase our common stock. See “Risk Factors—The terms of our debt covenants could limit our discretion in operating our business and any failure to comply with such covenants could result in the default of all of our debt.”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3"/>
                <w:szCs w:val="13"/>
                <w:b w:val="1"/>
                <w:bCs w:val="1"/>
                <w:color w:val="auto"/>
              </w:rPr>
              <w:t>Six Months Ended June 30,</w:t>
            </w:r>
          </w:p>
        </w:tc>
      </w:tr>
      <w:tr>
        <w:trPr>
          <w:trHeight w:val="196"/>
        </w:trPr>
        <w:tc>
          <w:tcPr>
            <w:tcW w:w="7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w w:val="96"/>
              </w:rPr>
              <w:t>2024</w:t>
            </w:r>
          </w:p>
        </w:tc>
      </w:tr>
      <w:tr>
        <w:trPr>
          <w:trHeight w:val="207"/>
        </w:trPr>
        <w:tc>
          <w:tcPr>
            <w:tcW w:w="7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3"/>
                <w:szCs w:val="13"/>
                <w:color w:val="auto"/>
              </w:rPr>
              <w:t>(Amounts in thousands)</w:t>
            </w:r>
          </w:p>
        </w:tc>
        <w:tc>
          <w:tcPr>
            <w:tcW w:w="960" w:type="dxa"/>
            <w:vAlign w:val="bottom"/>
          </w:tcPr>
          <w:p>
            <w:pPr>
              <w:spacing w:after="0"/>
              <w:rPr>
                <w:sz w:val="17"/>
                <w:szCs w:val="17"/>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(281,841)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(29,856)</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(30,083)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(45,850)</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54,124</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Cash used in discontinued operations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(24,404)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(12,347)</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(298,375)</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(35,592)</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Cash used in operating activities totaled $282 million for the six months ended June 30, 2025. The $252 million decrease in operating cash flow from the same period in the prior year was primarily due to payments of previously paid-in-kind interest and currently accrued interest of $227 million in connection with refinancing our Senior Secured Term Loan Due 2028, a $9 million increase in interest payments in connection with our other debt, a decrease in revenue from a decline in volume and impacts of customer de-migrations and a contribution of $12 million to our defined benefit pension plan.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For the six months ended June 30, 2025, we used $39 million of cash for capital expenditures primarily related to software developed for internal use, partially offset by the proceeds received from the sale of assets of $9 million.</w:t>
      </w:r>
    </w:p>
    <w:p>
      <w:pPr>
        <w:spacing w:after="0" w:line="3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For the six months ended June 30, 2024, we used $46 million of cash for capital expenditures primarily related to software developed for internal use and acquired software licenses associated with our internal billing systems.</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six months ended June 30, 2025, financing activities provided $35 million. Significant highlights of our financing activities include:</w:t>
      </w:r>
    </w:p>
    <w:p>
      <w:pPr>
        <w:spacing w:after="0" w:line="127" w:lineRule="exact"/>
        <w:rPr>
          <w:sz w:val="20"/>
          <w:szCs w:val="20"/>
          <w:color w:val="auto"/>
        </w:rPr>
      </w:pPr>
    </w:p>
    <w:p>
      <w:pPr>
        <w:ind w:left="640" w:hanging="146"/>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proceeds of $1.325 billion </w:t>
      </w:r>
      <w:r>
        <w:rPr>
          <w:rFonts w:ascii="Arial" w:cs="Arial" w:eastAsia="Arial" w:hAnsi="Arial"/>
          <w:sz w:val="16"/>
          <w:szCs w:val="16"/>
          <w:color w:val="212529"/>
        </w:rPr>
        <w:t>from the issuance of the</w:t>
      </w:r>
      <w:r>
        <w:rPr>
          <w:rFonts w:ascii="Arial" w:cs="Arial" w:eastAsia="Arial" w:hAnsi="Arial"/>
          <w:sz w:val="16"/>
          <w:szCs w:val="16"/>
          <w:color w:val="auto"/>
        </w:rPr>
        <w:t xml:space="preserve"> July 2030 Notes</w:t>
      </w:r>
      <w:r>
        <w:rPr>
          <w:rFonts w:ascii="Arial" w:cs="Arial" w:eastAsia="Arial" w:hAnsi="Arial"/>
          <w:sz w:val="16"/>
          <w:szCs w:val="16"/>
          <w:color w:val="212529"/>
        </w:rPr>
        <w:t>;</w:t>
      </w:r>
    </w:p>
    <w:p>
      <w:pPr>
        <w:spacing w:after="0" w:line="113" w:lineRule="exact"/>
        <w:rPr>
          <w:rFonts w:ascii="Arial" w:cs="Arial" w:eastAsia="Arial" w:hAnsi="Arial"/>
          <w:sz w:val="16"/>
          <w:szCs w:val="16"/>
          <w:color w:val="auto"/>
        </w:rPr>
      </w:pPr>
    </w:p>
    <w:p>
      <w:pPr>
        <w:jc w:val="both"/>
        <w:ind w:left="660" w:hanging="166"/>
        <w:spacing w:after="0" w:line="287" w:lineRule="auto"/>
        <w:tabs>
          <w:tab w:leader="none" w:pos="649" w:val="left"/>
        </w:tabs>
        <w:numPr>
          <w:ilvl w:val="0"/>
          <w:numId w:val="18"/>
        </w:numPr>
        <w:rPr>
          <w:rFonts w:ascii="Arial" w:cs="Arial" w:eastAsia="Arial" w:hAnsi="Arial"/>
          <w:sz w:val="16"/>
          <w:szCs w:val="16"/>
          <w:color w:val="212529"/>
        </w:rPr>
      </w:pPr>
      <w:r>
        <w:rPr>
          <w:rFonts w:ascii="Arial" w:cs="Arial" w:eastAsia="Arial" w:hAnsi="Arial"/>
          <w:sz w:val="16"/>
          <w:szCs w:val="16"/>
          <w:color w:val="auto"/>
        </w:rPr>
        <w:t xml:space="preserve">payments of $700 million on our Senior Secured Term Loan Due 2028, $325 million on our June 2027 Notes, $183 million </w:t>
      </w:r>
      <w:r>
        <w:rPr>
          <w:rFonts w:ascii="Arial" w:cs="Arial" w:eastAsia="Arial" w:hAnsi="Arial"/>
          <w:sz w:val="16"/>
          <w:szCs w:val="16"/>
          <w:color w:val="212529"/>
        </w:rPr>
        <w:t>on our 2025</w:t>
      </w:r>
      <w:r>
        <w:rPr>
          <w:rFonts w:ascii="Arial" w:cs="Arial" w:eastAsia="Arial" w:hAnsi="Arial"/>
          <w:sz w:val="16"/>
          <w:szCs w:val="16"/>
          <w:color w:val="auto"/>
        </w:rPr>
        <w:t xml:space="preserve"> Exchangeable Notes, $10 million on our April 2025 Notes, and $6 million on our 2021 Term Loan B-1, 2024 Term Loan B-1 and 2024 Term Loan B-2;</w:t>
      </w:r>
    </w:p>
    <w:p>
      <w:pPr>
        <w:spacing w:after="0" w:line="248" w:lineRule="exact"/>
        <w:rPr>
          <w:rFonts w:ascii="Arial" w:cs="Arial" w:eastAsia="Arial" w:hAnsi="Arial"/>
          <w:sz w:val="16"/>
          <w:szCs w:val="16"/>
          <w:color w:val="212529"/>
        </w:rPr>
      </w:pPr>
    </w:p>
    <w:p>
      <w:pPr>
        <w:ind w:left="640" w:hanging="146"/>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payment of $71 million for debt discount and issuance costs;</w:t>
      </w:r>
    </w:p>
    <w:p>
      <w:pPr>
        <w:spacing w:after="0" w:line="126" w:lineRule="exact"/>
        <w:rPr>
          <w:rFonts w:ascii="Arial" w:cs="Arial" w:eastAsia="Arial" w:hAnsi="Arial"/>
          <w:sz w:val="16"/>
          <w:szCs w:val="16"/>
          <w:color w:val="auto"/>
        </w:rPr>
      </w:pPr>
    </w:p>
    <w:p>
      <w:pPr>
        <w:ind w:left="640" w:hanging="146"/>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proceeds of $15 million on borrowings on our AR Facility; and</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payments of $10 million from the settlement of employee stock awards.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six months ended June 30, 2024, financing activities provided $54 million. Significant highlights of our financing activities include:</w:t>
      </w:r>
    </w:p>
    <w:p>
      <w:pPr>
        <w:spacing w:after="0" w:line="127"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proceeds of </w:t>
      </w:r>
      <w:r>
        <w:rPr>
          <w:rFonts w:ascii="Arial" w:cs="Arial" w:eastAsia="Arial" w:hAnsi="Arial"/>
          <w:sz w:val="16"/>
          <w:szCs w:val="16"/>
          <w:color w:val="212529"/>
        </w:rPr>
        <w:t>$150 million from the issuance of the 2026</w:t>
      </w:r>
      <w:r>
        <w:rPr>
          <w:rFonts w:ascii="Arial" w:cs="Arial" w:eastAsia="Arial" w:hAnsi="Arial"/>
          <w:sz w:val="16"/>
          <w:szCs w:val="16"/>
          <w:color w:val="auto"/>
        </w:rPr>
        <w:t xml:space="preserve"> Exchangeable Notes</w:t>
      </w:r>
      <w:r>
        <w:rPr>
          <w:rFonts w:ascii="Arial" w:cs="Arial" w:eastAsia="Arial" w:hAnsi="Arial"/>
          <w:sz w:val="16"/>
          <w:szCs w:val="16"/>
          <w:color w:val="212529"/>
        </w:rPr>
        <w: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212529"/>
        </w:rPr>
        <w:t xml:space="preserve">payment of $150 million on our 2025 </w:t>
      </w:r>
      <w:r>
        <w:rPr>
          <w:rFonts w:ascii="Arial" w:cs="Arial" w:eastAsia="Arial" w:hAnsi="Arial"/>
          <w:sz w:val="16"/>
          <w:szCs w:val="16"/>
          <w:color w:val="000000"/>
        </w:rPr>
        <w:t>Exchangeable Notes</w:t>
      </w:r>
      <w:r>
        <w:rPr>
          <w:rFonts w:ascii="Arial" w:cs="Arial" w:eastAsia="Arial" w:hAnsi="Arial"/>
          <w:sz w:val="16"/>
          <w:szCs w:val="16"/>
          <w:color w:val="212529"/>
        </w:rPr>
        <w: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212529"/>
        </w:rPr>
        <w:t>proceeds of $120 million from the issuance of the FILO Facility;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212529"/>
        </w:rPr>
        <w:t xml:space="preserve">proceeds of </w:t>
      </w:r>
      <w:r>
        <w:rPr>
          <w:rFonts w:ascii="Arial" w:cs="Arial" w:eastAsia="Arial" w:hAnsi="Arial"/>
          <w:sz w:val="16"/>
          <w:szCs w:val="16"/>
          <w:color w:val="000000"/>
        </w:rPr>
        <w:t>$50 million from the issuance of our June 2027 Notes;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payment of $50 million for debt discount and issuance costs;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payment of $36 million on our September 2025 Notes and $7 million on our April 2025 Notes;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payment of $16 million on borrowings on our AR Facility;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payments of $6 million from the settlement of employee stock-option awards.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13" w:lineRule="exact"/>
        <w:rPr>
          <w:sz w:val="20"/>
          <w:szCs w:val="20"/>
          <w:color w:val="auto"/>
        </w:rPr>
      </w:pPr>
    </w:p>
    <w:p>
      <w:pPr>
        <w:ind w:right="20" w:firstLine="486"/>
        <w:spacing w:after="0" w:line="304" w:lineRule="auto"/>
        <w:rPr>
          <w:sz w:val="20"/>
          <w:szCs w:val="20"/>
          <w:color w:val="auto"/>
        </w:rPr>
      </w:pPr>
      <w:r>
        <w:rPr>
          <w:rFonts w:ascii="Arial" w:cs="Arial" w:eastAsia="Arial" w:hAnsi="Arial"/>
          <w:sz w:val="16"/>
          <w:szCs w:val="16"/>
          <w:color w:val="auto"/>
        </w:rPr>
        <w:t>There were no material changes to our future minimum contractual obligations since December 31, 2024, as previously disclosed in our Annual Report on Form 10-K filed with the SEC on February 20, 2025, and in our Quarterly Report on Form 10-Q filed with the SEC on May 7, 2025.</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had no off balance sheet arrangements during the six months ended June 30, 2025 and year ended December 31, 2024.</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59"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Information related to Recent Accounting Pronouncements is included in Note 1. General Information, to our consolidated financial statements included in Part I, Item 1 in this Quarterly Report on Form 10-Q, which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 For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see “Management’s Discussion and Analysis of Financial Condition and Results of Operations—Critical Accounting Estimates” included in our Annual Report on Form 10-K filed with the SEC on February 20, 2025. Since the date of the annual report on Form 10-K filed with the SEC on February 20, 2025, there have been no material changes to our critical accounting estimates.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Market risk is the potential loss from adverse changes in: (i) prevailing interest rates, (ii) foreign exchange rates, (iii) credit risk and (iv) inflation. Our exposure to market risk relates to interest payments due on our long-term debt, derivative instruments, income on cash and cash equivalents, accounts receivable and payable, subscriber incentive liabilities and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 There were no material changes in our market risk since December 31, 2024 as previously disclosed under “Quantitative and Qualitative Disclosures About Market Risk” included in our Annual Report on Form 10-K filed with the SEC on February 20, 2025.</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this term is defined in Rules 13a-15(e) and 15d-15(e) under the Securities Exchange Act of 1934, as amended (the “Exchange Act”)) as of the end of the period covered by this report. Based on this evaluation, our principal executive officer and principal financial officer have concluded that, as of the end of this period, our disclosure controls and procedures were effective.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There have not been any changes in our internal control over financial reporting (as this term is defined in Rules 13a-15(f) and 15d-15(f) under the Exchange Act) during the most recent fiscal quarter that have materially affected, or are reasonably likely to materially affect, our internal control over financial reporting.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3"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The Company and its subsidiaries are from time to time engaged in routine legal proceedings incidental to our business. For a description of our material legal proceedings, see Note 13. Contingencies, to our consolidated financial statements included in Part I, Item 1 in this Quarterly Report on Form 10-Q, which is incorporated herein by reference.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following risk factors may be important to understanding any statement in this Quarterly Report on Form 10-Q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revenue is highly dependent on transaction volumes in the global travel industry, particularly air travel transaction volumes.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Various factors have caused, and may in the future cause, temporary or sustained disruption to leisure and business travel. The impact these disruptions have had, and would in the future have, on our business depends on the magnitude and duration of such disruption. These factors include, among others: (1) general and local economic conditions, including recessions, inflationary pressures, economic uncertainty, and the effects of tariffs; (2) financial instability of travel suppliers and the impact of any fundamental corporate changes to such travel suppliers, such as airline bankruptcies, consolidations, or suspensions of service on the cost and availability of travel content; (3) factors that affect demand for travel such as outbreaks of contagious diseases, including COVID-19, influenza, Zika, Ebola and the MERS virus, increases in fuel prices, government shutdowns, changing attitudes towards the environmental costs of travel, safety concerns and movements toward remote working environments and changes in business practices; (4) political events like acts or threats of terrorism, hostilities, war and political unrest; (5) inclement weather, natural or man-made disasters and the effects of climate change; and (6) factors that affect supply of travel, such as travel restrictions, regulatory actions, aircraft groundings, or changes to regulations governing airlines and the travel industry, like government sanctions that do or would prohibit doing business with certain state-owned travel suppliers, work stoppages or labor unrest at any of the major airlines, hotels or airports. Societal norms with respect to travel may change permanently in ways that cannot be predicted and that can change the travel industry in a manner adverse to our business.</w:t>
      </w:r>
    </w:p>
    <w:p>
      <w:pPr>
        <w:spacing w:after="0" w:line="88" w:lineRule="exact"/>
        <w:rPr>
          <w:sz w:val="20"/>
          <w:szCs w:val="20"/>
          <w:color w:val="auto"/>
        </w:rPr>
      </w:pPr>
    </w:p>
    <w:p>
      <w:pPr>
        <w:jc w:val="both"/>
        <w:ind w:firstLine="486"/>
        <w:spacing w:after="0" w:line="303" w:lineRule="auto"/>
        <w:rPr>
          <w:sz w:val="20"/>
          <w:szCs w:val="20"/>
          <w:color w:val="auto"/>
        </w:rPr>
      </w:pPr>
      <w:r>
        <w:rPr>
          <w:rFonts w:ascii="Arial" w:cs="Arial" w:eastAsia="Arial" w:hAnsi="Arial"/>
          <w:sz w:val="16"/>
          <w:szCs w:val="16"/>
          <w:b w:val="1"/>
          <w:bCs w:val="1"/>
          <w:color w:val="auto"/>
        </w:rPr>
        <w:t>Our ability to recruit, train and retain employees, including our key executive officers and technical employees, is critical to our results of operations and future growth</w:t>
      </w:r>
      <w:r>
        <w:rPr>
          <w:rFonts w:ascii="Arial" w:cs="Arial" w:eastAsia="Arial" w:hAnsi="Arial"/>
          <w:sz w:val="17"/>
          <w:szCs w:val="17"/>
          <w:b w:val="1"/>
          <w:bCs w:val="1"/>
          <w:color w:val="auto"/>
        </w:rPr>
        <w:t>.</w:t>
      </w:r>
    </w:p>
    <w:p>
      <w:pPr>
        <w:spacing w:after="0" w:line="3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r>
        <w:rPr>
          <w:rFonts w:ascii="Arial" w:cs="Arial" w:eastAsia="Arial" w:hAnsi="Arial"/>
          <w:sz w:val="17"/>
          <w:szCs w:val="17"/>
          <w:color w:val="auto"/>
        </w:rPr>
        <w:t>.</w:t>
      </w:r>
    </w:p>
    <w:p>
      <w:pPr>
        <w:spacing w:after="0" w:line="27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operate in highly competitive, evolving markets, and if we do not continue to innovate and evolve, our business operations and competitiveness may be harmed.</w:t>
      </w:r>
    </w:p>
    <w:p>
      <w:pPr>
        <w:spacing w:after="0" w:line="4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Travel technology is rapidly evolving as travel suppliers seek new or improved means of accessing their customers and increasing value. We must continue to innovate and evolve our current and future offerings to respond to the changing needs of travel suppliers and meet intense competition. We also face increasing competition as suppliers seek IT solutions that provide the same traveler experience across all channels of distribution, whether indirectly through the GDS or directly through other channels. As travel suppliers adopt innovative solutions that function across channels, our operating results could suffer if we do not foresee the need for new products or services to meet competition either for GDS or for other distribution IT solutions.</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Adapting to new technological and marketplace developments has required, and may continue to require, substantial expenditures and lead time and we cannot guarantee that projected future increases in business volume will actually materialize. We have in the past experienced, and may in the future experience, difficulties that could delay or prevent the successful development, marketing and implementation of platforms, enhancements, upgrades and additions. Moreover, we may fail to maintain, upgrade or introduce new products, services, technologies and systems as quickly as our competitors or in a cost-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jc w:val="both"/>
        <w:spacing w:after="0" w:line="265" w:lineRule="auto"/>
        <w:rPr>
          <w:sz w:val="20"/>
          <w:szCs w:val="20"/>
          <w:color w:val="auto"/>
        </w:rPr>
      </w:pPr>
      <w:r>
        <w:rPr>
          <w:rFonts w:ascii="Arial" w:cs="Arial" w:eastAsia="Arial" w:hAnsi="Arial"/>
          <w:sz w:val="16"/>
          <w:szCs w:val="16"/>
          <w:color w:val="auto"/>
        </w:rPr>
        <w:t>effective manner. For example, we must constantly update our products with new capabilities, such as New Distribution Capability, to adapt to the changing technological and regulatory environment and customer needs. However, this process can be costly and time-consuming, and our efforts may not be successful as compared to our competitors. Those that we do develop may not achieve acceptance in the marketplace sufficient to generate material revenue or may be rendered obsolete or non-competitive by our competitors’ offerings.</w:t>
      </w:r>
    </w:p>
    <w:p>
      <w:pPr>
        <w:spacing w:after="0" w:line="7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our competitors are constantly evolving, including increasing their product and service offerings through organic research and development or through strategic acquisitions. As a result, we must continue to invest significant resources in order to continually improve the speed, accuracy and comprehensiveness of our services and we have made and may in the future be required to make changes to our technology platforms or increase our investment in technology, increase marketing, adjust prices or business models, acquire or invest in new lines of business and take other actions, which has affected and in the future could affect our financial performance and liquidity. See “—We have a significant amount of indebtedness, which could adversely affect our cash flow and our ability to operate our business and to fulfill our obligations under our indebtedness.”</w:t>
      </w:r>
    </w:p>
    <w:p>
      <w:pPr>
        <w:spacing w:after="0" w:line="6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government regulations, and trends and customer requirements. For example, migration of our enterprise applications and platforms to other hosting environments has caused us and will continue to cause us to incur substantial costs, and has resulted in and could in the future result in instability and business interruptions, which could materially harm our business.</w:t>
      </w:r>
    </w:p>
    <w:p>
      <w:pPr>
        <w:spacing w:after="0" w:line="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industry is marked by rapid technological developments and innovations, such as the use of artificial intelligence ("AI"), and evolving industry standards, best practices, and related regulations. See “—Any failure to comply with regulations or any changes in such regulations governing our businesses could adversely affect us.” Our competitors or other third parties may incorporate AI into their products more quickly or more successfully than we do, which could impair our ability to compete effectively and adversely affect our results of operations.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is exposed to pricing pressure from travel suppliers.</w:t>
      </w:r>
    </w:p>
    <w:p>
      <w:pPr>
        <w:spacing w:after="0" w:line="12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 xml:space="preserve">Travel suppliers continue to look for ways to decrease their costs and to increase their control over distribution. For example, consolidation in the airline industry, the growth of LCC/hybrids and macroeconomic factors, among other things, have driven some airlines to negotiate for lower fees during contract renegotiations, thereby exerting increased pricing pressure on our business, which, in turn, negatively affects our revenues and margins. In addition, travel suppliers’ use of multiple distribution channels may also adversely affect our contract renegotiations with these suppliers and negatively impact our revenue. Furthermore, as we attempt to renegotiate new GDS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have in the past and may in the future have to decrease our prices to retain their business. If we are unable to renew </w:t>
      </w:r>
      <w:r>
        <w:rPr>
          <w:rFonts w:ascii="Times New Roman" w:cs="Times New Roman" w:eastAsia="Times New Roman" w:hAnsi="Times New Roman"/>
          <w:sz w:val="17"/>
          <w:szCs w:val="17"/>
          <w:color w:val="auto"/>
        </w:rPr>
        <w:t>our</w:t>
      </w:r>
      <w:r>
        <w:rPr>
          <w:rFonts w:ascii="Arial" w:cs="Arial" w:eastAsia="Arial" w:hAnsi="Arial"/>
          <w:sz w:val="16"/>
          <w:szCs w:val="16"/>
          <w:color w:val="auto"/>
        </w:rPr>
        <w:t xml:space="preserve"> contracts with these travel suppliers on similar economic terms or at all, or if our ability to provide this content is similarly impeded, this would also adversely affect the value of our business as a marketplace due to our more limited content.</w:t>
      </w:r>
    </w:p>
    <w:p>
      <w:pPr>
        <w:spacing w:after="0" w:line="7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Our travel supplier customers may experience financial instability or consolidation, pursue cost reductions, change their distribution model or undergo other changes.</w:t>
      </w:r>
    </w:p>
    <w:p>
      <w:pPr>
        <w:spacing w:after="0" w:line="1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provision for expected credit losses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Furthermore, supplier consolidation, particularly in the airline industry, could harm our business. Our business depends on a relatively small number of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business is exposed to pricing pressure from travel suppliers.”</w:t>
      </w:r>
    </w:p>
    <w:p>
      <w:pPr>
        <w:spacing w:after="0" w:line="8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collection, processing, storage, use and transmission of personal data could give rise to liabilities as a result of governmental regulation, conflicting legal requirements, differing views on data privacy, or security incidents.</w:t>
      </w:r>
    </w:p>
    <w:p>
      <w:pPr>
        <w:spacing w:after="0" w:line="3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6"/>
          <w:szCs w:val="16"/>
          <w:color w:val="auto"/>
        </w:rPr>
        <w:t>conflict with one another. In recent years, for example, U.S. legislators and regulatory agencies, such as the Federal Trade Commission, as well as U.S. states, have increased their focus on protecting personal data by law and regulation, and have increased enforcement actions for violations of privacy and data protection requirements. The GDPR, a data protection law adopted by the European Commission, and various other country-specific and U.S. state data protection laws have gone into effect or are scheduled to go into effect. These and other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Furthermore, various countries have implemented legislation requiring the storage of travel or other personal data locally. Our business could be materially adversely affected by our inability, or the inability of our vendors who receive personal data from us, to operate with regard to the use of personal data, new data handling or localization requirements. Additionally, media coverage of data incidents has escalated, in part because of the increased number of enforcement actions, investigations and lawsuits. As this focus and attention on privacy and data protection continues to increase, we also risk exposure to potential liabilities and costs or face reputational risks resulting from the compliance with, or any failure to comply with applicable legal requirements, conflicts among these legal requirements or differences in approaches to privacy and security of personal data. See “—Security incidents expose us to liability and could damage our reputation and our business.”</w:t>
      </w:r>
    </w:p>
    <w:p>
      <w:pPr>
        <w:spacing w:after="0" w:line="71"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Implementation of software solutions often involves a significant commitment of resources, and any failure to deliver as promised on a significant implementation could adversely affect our business.</w:t>
      </w:r>
    </w:p>
    <w:p>
      <w:pPr>
        <w:spacing w:after="0" w:line="4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In our business, the implementation of software solutions often involves a significant commitment of resources and is subject to a number of significant risks over which we may or may not have control. These risks include:</w:t>
      </w:r>
    </w:p>
    <w:p>
      <w:pPr>
        <w:spacing w:after="0" w:line="61" w:lineRule="exact"/>
        <w:rPr>
          <w:sz w:val="20"/>
          <w:szCs w:val="20"/>
          <w:color w:val="auto"/>
        </w:rPr>
      </w:pP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features of the implemented software may not meet the expectations or fit the business model of the customer;</w:t>
      </w:r>
    </w:p>
    <w:p>
      <w:pPr>
        <w:spacing w:after="0" w:line="113"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61"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56"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6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depends on relationships with travel buyers.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business relies on relationships with several large travel buyers, including travel management companies ("TMCs") and online travel agencies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also shift bookings to other distribution channels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w:t>
      </w:r>
      <w:r>
        <w:rPr>
          <w:rFonts w:ascii="Arial" w:cs="Arial" w:eastAsia="Arial" w:hAnsi="Arial"/>
          <w:sz w:val="16"/>
          <w:szCs w:val="16"/>
          <w:u w:val="single" w:color="auto"/>
          <w:color w:val="0000FF"/>
        </w:rPr>
        <w:t>Management's Discussion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Analysis of Financial Condition and Results of Operations</w:t>
      </w:r>
      <w:r>
        <w:rPr>
          <w:rFonts w:ascii="Arial" w:cs="Arial" w:eastAsia="Arial" w:hAnsi="Arial"/>
          <w:sz w:val="16"/>
          <w:szCs w:val="16"/>
          <w:color w:val="000000"/>
        </w:rPr>
        <w:t>—Factors Affecting our Results—Increasing travel agency incentive consideration" in our</w:t>
      </w:r>
      <w:r>
        <w:rPr>
          <w:rFonts w:ascii="Arial" w:cs="Arial" w:eastAsia="Arial" w:hAnsi="Arial"/>
          <w:sz w:val="16"/>
          <w:szCs w:val="16"/>
          <w:color w:val="0000FF"/>
        </w:rPr>
        <w:t xml:space="preserve"> </w:t>
      </w:r>
      <w:r>
        <w:rPr>
          <w:rFonts w:ascii="Arial" w:cs="Arial" w:eastAsia="Arial" w:hAnsi="Arial"/>
          <w:sz w:val="16"/>
          <w:szCs w:val="16"/>
          <w:color w:val="000000"/>
        </w:rPr>
        <w:t>Annual Report on Form 10-K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depends on maintaining and renewing contracts with our customers and other counterparties.</w:t>
      </w:r>
    </w:p>
    <w:p>
      <w:pPr>
        <w:spacing w:after="0" w:line="113"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In connection with our business, we enter into contracts with travel buyers, travel suppliers and hotels.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6"/>
          <w:szCs w:val="16"/>
          <w:color w:val="auto"/>
        </w:rPr>
        <w:t>agreements, typically representing approximately 15% to 20% of our bookings, are up for renewal in any given year. Similarly, our contracts with airline travel suppliers have a typical duration of three to seven years for larger airlines and one to three years for smaller airlines, and are generally subject to automatic renewal at the end of the term. Airlines are not typically contractually obligated to distribute exclusively through our GDS during the contract term and may terminate their agreements with us upon providing the required advance notice after the expiration of the initial term. We cannot guarantee that we will be able to renew our contracts in the future on favorable economic terms or at all, and the termination or expiration of these agreements could materially adversely impact our business. See “—Our business is exposed to pricing pressure from travel suppliers." Additionally, we use several third-party distributor partners and equity method investments to extend our GDS services in Europe, the Middle East, and Africa (“EMEA”) and Asia-Pacific (“APAC”). The termination of our contractual arrangements with any of these third-party distributor partners and equity method investments could adversely impact our business in the relevant regions. See “—We rely on third-party distributor partners and equity method investments to extend our GDS services to certain regions, which exposes us to risks associated with lack of direct management control and potential conflicts of interest.” for more information on our relationships with our third-party distributor partners and equity method investments.</w:t>
      </w:r>
    </w:p>
    <w:p>
      <w:pPr>
        <w:spacing w:after="0" w:line="74"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In addition, our failure to renew some or all of our agreements on economically favorable terms or at all, or the early termination of these existing contracts, would adversely affect the value of our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equity method investments or developing relationships with new travel buyers and travel suppliers to offset any customer losses.</w:t>
      </w:r>
    </w:p>
    <w:p>
      <w:pPr>
        <w:spacing w:after="0" w:line="64"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payment card industry data ("PCI") compliance.</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We are assessed periodically for assurance and successfully completed our last annual assessment in October 2024.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“—Security incidents expose us to liability and could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74"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are involved in various legal proceedings which may cause us to incur significant fees, costs and expenses and may result in unfavorable outcomes.</w:t>
      </w:r>
    </w:p>
    <w:p>
      <w:pPr>
        <w:spacing w:after="0" w:line="1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are involved in various legal proceedings that involve claims for substantial amounts of money or which involve how we conduct our business. See Note 13. Contingencies, to our consolidated financial statements. The defense of these actions, as well as any of the other actions described under Note 13. Contingencies, to our consolidated financial statements or elsewhere in this Quarterly Report on Form 10-Q, and any other actions that might be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Any failure to comply with regulations or any changes in such regulations governing our businesses could adversely affect us.</w:t>
      </w:r>
    </w:p>
    <w:p>
      <w:pPr>
        <w:spacing w:after="0" w:line="1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or restrict access to, our products and services, increase costs or subject us to additional liabilities. Moreover, regulatory authorities have relatively broad 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antiboycott, telecommunications, AI, cybersecurity, environmental, social and governance matters, and e-commerce. Our failure to comply with any of these requirements, interpretations, legislation or regulations could have a material adverse effect on our operations.</w:t>
      </w:r>
    </w:p>
    <w:p>
      <w:pPr>
        <w:spacing w:after="0" w:line="8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Further, the United States has imposed economic sanctions, and could impose further sanctions in the future, that affect transactions with designated countries, including but not limited to, Cuba, Iran, the Crimea, Donetsk and Luhansk regions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jc w:val="both"/>
        <w:spacing w:after="0" w:line="265" w:lineRule="auto"/>
        <w:rPr>
          <w:sz w:val="20"/>
          <w:szCs w:val="20"/>
          <w:color w:val="auto"/>
        </w:rPr>
      </w:pPr>
      <w:r>
        <w:rPr>
          <w:rFonts w:ascii="Arial" w:cs="Arial" w:eastAsia="Arial" w:hAnsi="Arial"/>
          <w:sz w:val="16"/>
          <w:szCs w:val="16"/>
          <w:color w:val="auto"/>
        </w:rPr>
        <w:t>Ukraine, North Korea and Syria, and nationals and others of those countries, and certain specifically targeted individuals and entities engaged in conduct detrimental to U.S. national security interests. These sanctions are administered by the Office of Foreign Assets Control (“OFAC”) and are typically known as the OFAC rules. The OFAC rules, and similar regulations in other countries, are extensive and complex, and they differ from one sanctions regime to another. Failure to comply with these regulations could subject us to legal and reputational consequences, including civil and criminal penalties.</w:t>
      </w:r>
    </w:p>
    <w:p>
      <w:pPr>
        <w:spacing w:after="0" w:line="7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have GDS contracts with carriers that fly to Cuba, Iran, the Crimea, Donetsk and Luhansk regions of Ukraine, North Korea and Syria but are based outside of those countries and are neither owned by those governments or nationals of those countries/regions nor themselves sanctioned. With respect to Iran, Sudan, North Korea and Syria we believe that our activities are designed to comply with certain information and travel-related exemptions. With respect to Cuba, we have advised OFAC that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 We believe that our activities with respect to these countries are known to OFAC and other regulators. We note, however, that sanctions regulations and related interpretive guidance are complex and subject to varying interpretations. Due to this complexity, a regulator’s interpretation of its own regulations and guidance varies on a case by case basis. As a result, we cannot provide any guarantees that a regulator will not challenge any of our activities in the future, which could have a material adverse effect on our results of operations.</w:t>
      </w:r>
    </w:p>
    <w:p>
      <w:pPr>
        <w:spacing w:after="0" w:line="7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could subject us to fines, penalties and potential criminal violations. Any changes to these laws or regulations or any new laws or regulations may make it more difficult for us to operate our business.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in connection with the current military conflict in Ukraine, the United States, the United Kingdom, the European Union and other governments have imposed varying sanctions and export-control measure packages impacting Russia and certain regions of Ukraine and Belarus and may implement additional sanctions and export controls in the future. The conflict and these sanctions and export controls have prevented us, and in the future could further prevent or discourage us, from performing or renewing existing contracts with or receiving payments from customers in those countries. In addition, the conflict or these sanctions and export controls have prevented and in the future could further prevent or discourage third parties on whom we may rely from continuing to perform in those countries. These sanctions, export controls and related items, as well as actions taken by us or others in response to them or otherwise in connection with the military conflict, have adversely impacted, and in the future could further adversely impact, our business, results of operations and financial condition.</w:t>
      </w:r>
    </w:p>
    <w:p>
      <w:pPr>
        <w:spacing w:after="0" w:line="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Russian legislation and related regulations require activities related to the development, creation and operation of automated information systems for processing domestic air transportation within the Russian Federation to be owned and operated by Russian residents or legal entities with no updates from or connection with systems abroad. This legislation and these regulations have prohibited us from providing these services in Russia, which has negatively impacted our revenue and results. Russia has also issued a decree establishing a process for the seizure of assets of U.S. companies and nationals in Russia, further limiting our ability to operate and provide services in Russia.</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As noted, the regulations and sanctions described above, as well as other sanctions regimes, are complex. While we have a compliance program in place to help us address these items, there can be no assurance that we will be able to consistently address them in an effective manner. Any failure to comply with these sanctions, export controls and related rules and regulations may subject us to fines, penalties and potential criminal violations. In the third quarter of 2022, we identified elements of our sanctions compliance program that were not functioning as we intended, which we believe we have substantially addressed. In identifying these elements, we became aware that we received payments that were not material in amount from an air carrier in Russia for GDS services, and the receipt of these payments may be in violation of U.K. sanctions. We have voluntarily disclosed the receipt of these payments to the U.K. Office of Financial Sanctions Implementation (OFSI), and we are currently cooperating with their review. If OFSI were to impose a penalty, we do not believe that it would have a material adverse impact on our financial condition or results of operation; however, there can be no assurance of the outcome of the matter.</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acquiring or divesting businesses or business operations.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w:t>
      </w:r>
    </w:p>
    <w:p>
      <w:pPr>
        <w:spacing w:after="0" w:line="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6"/>
          <w:szCs w:val="16"/>
          <w:color w:val="auto"/>
        </w:rPr>
        <w:t>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have also divested, and may in the future divest, businesses or business operations. Any divestitures may involve a number of risks, including the diversion of management’s attention, significant costs and expenses, failure to obtain necessary regulatory approvals, implementation of transition services related to such divestitures,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For example, during the third quarter of 2025, we sold our Hospitality Solutions business. See “Recent Developments Affecting our Results of Operations— Sale of Hospitality Solutions Business.” We may not be able to achieve the full strategic, financial, operational, and other benefits that are expected to result from the sale of the Hospitality Solutions business, including any expected optimization of our core business, long-term growth, improvements in our capital structure, future debt refinancings, and other business opportunities that may be facilitated by the sale of the Hospitality Solutions business. In addition, these benefits may be delayed or less significant than anticipated. We cannot predict with certainty when the benefits expected from the sale of the Hospitality Solutions business will occur or the extent to which they will be achieved, or when they will be achieved, if at all. A failure to realize these and other anticipated benefits of the sale of the Hospitality Solutions business or effectively utilize the proceeds from the sale could have an adverse impact our business, financial condition and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connection with the sale of the Hospitality Solutions business, we and the Buyer have entered into certain agreements, including a transition services agreement, providing for the performance of certain services by us for the benefit of the Buyer for a period of time after the sale. If we do not satisfactorily perform our obligations under these agreements, we may be held liable for certain losses incurred by the Buyer. In addition, during the transition services period, our management and employees may be required to divert their attention away from our business to provide services to the Buyer, which could adversely impact our business. Further, as a result of these transition services, our counterparty will have managed access to certain of our information technology systems during the transition services period, as well as shared information technology infrastructure. Any disruption, degradation, destruction or manipulation of our information technology systems as a result of this access following the sale, whether accidental or intentional, may cause cybersecurity, data protection, or privacy incidents or failures, which could in turn interrupt or adversely impact our operations. See “—Our success depends on maintaining the integrity of our systems and infrastructure, which may suffer from failures, capacity constraints, business interruptions and forces outside of our control.” and “—Security incidents expose us to liability and could damage our reputation and our business.”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rely on the value of our brands, which may be damaged by a number of factors, some of which are out of our control.</w:t>
      </w:r>
    </w:p>
    <w:p>
      <w:pPr>
        <w:spacing w:after="0" w:line="12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personally identifiable information (“PII”), or other bad publicity due to litigation, regulatory concerns or otherwise relating to our business. See “—Security incidents expose us to liability and could damage our reputation and our business.” Any inability to maintain or enhance awareness of our brands among our existing and target customers could negatively affect our current and future business prospects.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rely on third-party distributor partners and equity method investments to extend our GDS services to certain regions, which exposes us to risks associated with lack of direct management control and potential conflicts of interest.</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business utilizes third-party distributor partners and equity method investments to extend our GDS services in EMEA and APAC. We work with these partners to establish and maintain commercial and customer service relationships with 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 In addition, our business may be harmed due to potential conflicts of interest with our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ind w:left="500"/>
        <w:spacing w:after="0"/>
        <w:rPr>
          <w:sz w:val="20"/>
          <w:szCs w:val="20"/>
          <w:color w:val="auto"/>
        </w:rPr>
      </w:pPr>
      <w:r>
        <w:rPr>
          <w:rFonts w:ascii="Arial" w:cs="Arial" w:eastAsia="Arial" w:hAnsi="Arial"/>
          <w:sz w:val="16"/>
          <w:szCs w:val="16"/>
          <w:b w:val="1"/>
          <w:bCs w:val="1"/>
          <w:i w:val="1"/>
          <w:iCs w:val="1"/>
          <w:color w:val="auto"/>
        </w:rPr>
        <w:t>Risks Related to Technology and Intellectual Property</w:t>
      </w:r>
    </w:p>
    <w:p>
      <w:pPr>
        <w:spacing w:after="0" w:line="111"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rely on the availability and performance of information technology services provided by third parties, including network, cloud, mainframe and SaaS providers.</w:t>
      </w:r>
    </w:p>
    <w:p>
      <w:pPr>
        <w:spacing w:after="0" w:line="1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businesses are dependent on IT infrastructure and applications operated for us by network, cloud, mainframe and SaaS providers. The commercial services we offer to our customers generally run on infrastructure provided by third parties and cloud providers. We also use multiple third-party SaaS platforms to operate our services, run our business, and support our customers, including IT service management, program and project management, enterprise resource planning, customer relationship management and human resource management systems.</w:t>
      </w:r>
    </w:p>
    <w:p>
      <w:pPr>
        <w:spacing w:after="0" w:line="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We could face significant additional cost or business disruption if: (1) Any of these providers fail to enable us to provide our customers and suppliers with reliable, real-time access to our systems. For example, we have previously experienced a significant outage of the Sabre platform due to a failure on the part of one of our service providers, and such outages may occur in the future. This outage, which affected our business, lasted several hours and caused significant problems for our customers. Any such future outages could cause damage to our reputation, customer loss and require us to pay compensation to affected customers for which we may not be indemnified or compensated. (2) Our arrangements with such providers are terminated or impaired and we cannot find alternative sources of technology or systems support on commercially reasonable terms or on a timely basis.</w:t>
      </w:r>
    </w:p>
    <w:p>
      <w:pPr>
        <w:spacing w:after="0" w:line="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success depends on maintaining the integrity of our systems and infrastructure, which may suffer from failures, capacity constraints, business interruptions and forces outside of our control.</w:t>
      </w:r>
    </w:p>
    <w:p>
      <w:pPr>
        <w:spacing w:after="0" w:line="4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currently allocated system capacity, resulting in service interruptions, outages and delays. These constraints could also lead to the deterioration of our services or impair our ability to process transactions and have in the past and could in the future lead to higher costs. We occasionally experience system interruptions that make certain of our systems unavailable including, but not limited to, our GDS and the services that our business provides. In addition, we have experienced in the past and may in the future occasionally experience system interruptions as we execute changes for the purpose of enhancing our products or achieving other technological objectives. System interruptions prevent us from efficiently providing services to customers or other third parties, and have in the past and could in the future cause damage to our reputation and result in the loss of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8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systems are also susceptible to external damage or disruption. Our systems have in the past been, and at any time, including in the future could be, damaged or disrupted by events such as power, hardware, software or telecommunication failures, human errors, natural events including floods, hurricanes, fires, winter storms, earthquakes and tornadoes, terrorism, break-ins, hostilities, war or similar events. Computer viruses, malware, denial of service attacks, ransomware attacks, attacks on, or exploitations of, hardware or software vulnerabilities, physical or electronic break-ins, phishing attacks, cybersecurity incidents or other security incidents, and similar disruptions affecting the Internet, telecommunication services, our systems, or our customers' systems have caused in the past and could at any time, including in the future, cause service interruptions or the loss of critical data, preventing us from providing timely services.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our systems become more complex and the tools and techniques involved become more sophisticated.</w:t>
      </w:r>
    </w:p>
    <w:p>
      <w:pPr>
        <w:spacing w:after="0" w:line="6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Although we have implemented measures intended to protect our critical systems and data and provide comprehensive disaster recovery and contingency plans for certain customers that purchase this additional protection, these protections and plans are not in place for all systems. Disasters affecting our facilities, systems or personnel might be expensive to remedy and could significantly diminish our reputation and our brands, and we may not have adequate insurance to cover such costs.</w:t>
      </w:r>
    </w:p>
    <w:p>
      <w:pPr>
        <w:spacing w:after="0" w:line="7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We utilize various generative AI solutions from third-party providers as part of some of our software products. There are additional risks associated with the use of emerging technologies such as generative AI, including risks related to testing and validating the security and privacy mechanisms of the third-party providers, as well as risks related to implementing technical security controls to govern and manage this technology in a secure manner. If we were to experience a cybersecurity incident related to the integration of AI capabilities into our software product offerings, or if there are deficiencies or other failures of such AI solutions from our third-party providers, our business and results of operations could be adversely affected. For example,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and the operational effectiveness of our AI-enabled systems. AI also presents various emerging legal, regulatory and ethical issues, and the incorporation of AI into our software products could require us to expend significant resources in developing, testing and maintaining our product offerings and may cause us to experience brand, reputational, or competitive harm, or incur legal liability.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6"/>
          <w:szCs w:val="16"/>
          <w:color w:val="auto"/>
        </w:rPr>
        <w:t>Additionally, security incidents that affect third parties upon which we rely, such as travel suppliers, may further expose us to negative publicity, possible liability or regulatory penalties. Events outside our control have caused in the past and could in the future cause interruptions in our IT systems, which could have a material adverse effect on our business operations and harm our reputation.</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Security incidents expose us to liability and could damage our reputation and our business.</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process, store, and transmit large amounts of data, such as PII of our customers and employees and PCI of our customers, and it is critical to our business strategy that our facilities and infrastructure, including those provided by cloud and mainframe providers or other vendors, remain secure and are perceived by the marketplace to be secure. Our infrastructure may be vulnerable to physical or electronic break-ins, computer viruses, ransomware attacks, or similar disruptive problems.</w:t>
      </w:r>
    </w:p>
    <w:p>
      <w:pPr>
        <w:spacing w:after="0" w:line="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information has in the past been, and could at any time, including in the future, be compromised as a result. In addition, the techniques employed in connection with these threats and intrusions are changing, developing and evolving rapidly, including from emerging technologies such as advanced forms of AI. The costs and impacts related to these incidents, including the costs of investigation and remediation, any associated penalties assessed by any governmental authority or payment card brand, and any indemnification or other contractual obligations to our customers, may be material and could damage our reputation.</w:t>
      </w:r>
    </w:p>
    <w:p>
      <w:pPr>
        <w:spacing w:after="0" w:line="59"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6"/>
          <w:szCs w:val="16"/>
          <w:color w:val="auto"/>
        </w:rPr>
        <w:t>As an example, in the third quarter of 2023, we became aware that an unauthorized actor had illegally extracted certain company data and posted it to the dark web. Immediately upon becoming aware of this extraction, we initiated an investigation, with the assistance of cybersecurity and forensics professionals. We have also notified federal law enforcement and have provided, and will continue to provide, other required notifications. To date this cybersecurity incident has not had a material impact on our financial condition, results of operations or liquidity. However, there is no assurance that it will not result in significant costs to us, reputational harm, expenditure of additional resources, lawsuits and related fees, costs and expenses, or regulatory inquiries in the future that could result in a material adverse effect. For example, we are subject to a lawsuit seeking class certification filed against us in the United States District Court for the Northern District of Texas. The complaint generally asserts negligence and other claims based on this cybersecurity incident, and, in addition to monetary damages, the plaintiffs are also seeking declaratory and injunctive relief. We intend to vigorously defend against these claims. See “—We are involved in various legal proceedings which may cause us to incur significant fees, costs and expenses and may result in unfavorable outcomes.”</w:t>
      </w:r>
    </w:p>
    <w:p>
      <w:pPr>
        <w:spacing w:after="0" w:line="28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Any computer viruses, malware, denial of service attacks, ransomware attacks, attacks on, or exploitations of, hardware or software vulnerabilities, physical or electronic break-ins, phishing attacks, cybersecurity incidents such as the items described above, or other security incident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6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Any systems and processes that we have developed or utilize that are designed to protect customer information and prevent data loss and other security incidents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incidents could expose us or our customers to a risk of loss or misuse of such information, cause customers to lose confidence in our data protection measures, damage our reputation, adversely affect our operating results or result in litigation or potential liability for us. For example, our agreements with customers may require that we indemnify the customer for liability arising from data incidents under the terms of our agreements with these customers. These indemnification obligations could be significant and may exceed the limits of any applicable insurance policy we maintain.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 more costly or take longer than we anticipate, or could otherwise adversely affect our business operations, which could negatively impact our financial position, results of operations or cash flows.</w:t>
      </w:r>
    </w:p>
    <w:p>
      <w:pPr>
        <w:spacing w:after="0" w:line="8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Intellectual property infringement actions against us could be costly and time consuming to defend and may result in business harm if we are unsuccessful in our defense.</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and trademark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jc w:val="both"/>
        <w:ind w:firstLine="486"/>
        <w:spacing w:after="0" w:line="25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capabilities. Our failure to prevail in such matters could result in loss of intellectual property rights, judgments awarding substantial damages, including possible treble damages and attorneys’ fees, and injunctive or other equitable relief against us. If we are held liable, we may be unable to use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not be able to protect our intellectual property effectively, which may allow competitors to duplicate our products and services.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8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 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 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 We use reasonable efforts to protect our trade secrets. However, protecting trade secrets can be difficult and our efforts may provide inadequate protection to prevent unauthorized use, misappropriation, or disclosure of our trade secrets, know how, or other proprietary information. 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 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jc w:val="both"/>
        <w:ind w:firstLine="486"/>
        <w:spacing w:after="0" w:line="296" w:lineRule="auto"/>
        <w:rPr>
          <w:sz w:val="20"/>
          <w:szCs w:val="20"/>
          <w:color w:val="auto"/>
        </w:rPr>
      </w:pPr>
      <w:r>
        <w:rPr>
          <w:rFonts w:ascii="Arial" w:cs="Arial" w:eastAsia="Arial" w:hAnsi="Arial"/>
          <w:sz w:val="16"/>
          <w:szCs w:val="16"/>
          <w:b w:val="1"/>
          <w:bCs w:val="1"/>
          <w:color w:val="auto"/>
        </w:rPr>
        <w:t>We use open source software in our solutions that may subject our software solutions to general release or require us to re-engineer our solutions.</w:t>
      </w:r>
    </w:p>
    <w:p>
      <w:pPr>
        <w:spacing w:after="0" w:line="4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Economic, Political and Global Conditions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could be harmed by adverse global and regional economic and political conditions.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Our global presence makes our business potentially vulnerable to economic and political conditions that adversely affect business and leisure travel originating in or traveling to a particular region.</w:t>
      </w:r>
    </w:p>
    <w:p>
      <w:pPr>
        <w:spacing w:after="0" w:line="5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global economy continues to face significant uncertainty, including increased inflation and interest rates, reduced financial capacity of both business and leisure travelers, diminished liquidity and credit availability, declines in consumer confidence and discretionary income, increased tariffs, and general uncertainty about economic stability. Furthermore, changes in the regulatory, tax and economic environment in the United States could adversely impact travel demand, our business operations or our financial results. We cannot predict the magnitude, length or recurrence of these impacts to the global economy, which have impacted, and may continue to impact, demand for travel and lead to reduced spending on the services we provide.</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Any unfavorable economic, political or regulatory developments in a particular region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that region. For example, some regions have experienced or are expected to experience inflationary and/or slowing economic conditions. These adverse economic conditions may negatively impact our business results in those regions.</w:t>
      </w:r>
    </w:p>
    <w:p>
      <w:pPr>
        <w:spacing w:after="0" w:line="7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addition, the current military conflict in Ukraine and the related imposition of sanctions and export controls on Russia and Belarus, as well as conflicts in the Middle East, have created global economic uncertainty and contributed to inflationary pressures. A significant escalation or expansion of economic disruption, the conflicts' current scope or additional sanctions and export controls and actions taken in response to these sanctions and export controls could disrupt our business further, broaden inflationary costs, and have a material adverse effect on our results of operations. See “—Our revenue is highly dependent on transaction volumes in the global travel industry, particularly air travel transaction volumes.”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operate a global business that exposes us to risks associated with international activities.</w:t>
      </w:r>
    </w:p>
    <w:p>
      <w:pPr>
        <w:spacing w:after="0" w:line="1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international operations involve risks that are not generally encountered when doing business in the United States. These risks include, but are not limited to: (1) business, political and economic instability in foreign locations, including actual or threatened terrorist activities, and military action, as well as the effects of the current military conflict in Ukraine and in the Middle East; (2) adverse laws and regulatory requirements, including more comprehensive regulation in the E.U. and legislation and related regulations in Russia (see “—Any failure to comply with regulations or any changes in such regulations governing our businesses could adversely affect us.”); (3) changes in foreign currency exchange rates and financial risk arising from transactions in multiple currencies; (4) difficulty in developing, managing and staffing international operations because of distance, language and cultural differences; (5) disruptions to or delays in the development of communication and transportation services and infrastructure; (6) more restrictive data privacy requirements, including the GDPR; (7) consumer attitudes, including the preference of customers for local providers, as well as attitudes of other stakeholders stemming from our actions or inactions arising from or relating to the current military conflict in Ukraine; (8) increasing labor costs due to high wage inflation in foreign locations, differences in general employment conditions and regulations, and the degree of employee unionization and activism; (9) export or trade restrictions or currency controls; (10) governmental policies or actions, such as tariffs, consumer, labor and trade protection measures, and travel restrictions, sanctions and export controls, including restrictions implemented in connection with the current military conflict in Ukraine; (11) taxes, restrictions on foreign investment and limits on the repatriation of funds; (12) diminished ability to legally enforce our contractual rights; and (13) decreased protection for intellectual property. Any of the foregoing risks may adversely affect our ability to conduct and grow our business internationally.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ind w:left="500"/>
        <w:spacing w:after="0"/>
        <w:rPr>
          <w:sz w:val="20"/>
          <w:szCs w:val="20"/>
          <w:color w:val="auto"/>
        </w:rPr>
      </w:pPr>
      <w:r>
        <w:rPr>
          <w:rFonts w:ascii="Arial" w:cs="Arial" w:eastAsia="Arial" w:hAnsi="Arial"/>
          <w:sz w:val="16"/>
          <w:szCs w:val="16"/>
          <w:b w:val="1"/>
          <w:bCs w:val="1"/>
          <w:i w:val="1"/>
          <w:iCs w:val="1"/>
          <w:color w:val="auto"/>
        </w:rPr>
        <w:t>Risks Related to Our Indebtedness, Financial Condition and Common Stock</w:t>
      </w:r>
    </w:p>
    <w:p>
      <w:pPr>
        <w:spacing w:after="0" w:line="16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have a significant amount of indebtedness, which could adversely affect our cash flow and our ability to operate our business and to fulfill our obligations under our indebtedness.</w:t>
      </w:r>
    </w:p>
    <w:p>
      <w:pPr>
        <w:spacing w:after="0" w:line="1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have a significant amount of indebtedness. As of June 30, 2025, we had $5.0 billion of indebtedness outstanding which is net of debt issuance costs and unamortized discounts. Our substantial level of indebtedness increases the possibility that we may not generate enough cash flow from operations to pay, when due, the principal of, interest on or other amounts due in respect of, these obligations. Other risks relating to our long-term indebtedness include: (1) increased vulnerability to general adverse economic and industry conditions; (2) higher interest expense if interest rates increase on our floating rate borrowings and our hedging strategies do not effectively mitigate the effects of these increases or if we have to incur additional indebtedness in a higher interest rate environment; (3) the need to divert a significant portion of our cash flow from operations to payments on our indebtedness and interest, thereby reducing the availability of cash to fund working capital, capital expenditures, acquisitions, investments and other general corporate purposes; (4) limited ability to refinance our existing indebtedness or to obtain additional financing on terms we find acceptable, if needed, for working capital, capital expenditures, expansion plans and other investments, which may adversely affect our ability to implement our business strategy; (5) limited flexibility in planning for, or reacting to, changes in our businesses and the markets in which we operate or to take advantage of market opportunities; and (6) a competitive disadvantage compared to our competitors that have less debt. Subject to market conditions, we have previously, and may in the future, opportunistically refinance portions of our debt in the near term which, at current interest rates and market conditions, may negatively impact our interest expense or result in higher stock dilution.</w:t>
      </w:r>
    </w:p>
    <w:p>
      <w:pPr>
        <w:spacing w:after="0" w:line="2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The terms of our Amended and Restated Credit Agreement allow us to incur additional debt subject to certain limitations. If new debt is added to current debt levels, the risks described above could intensify. In addition, our inability to maintain certain covenants could result in acceleration of a portion of our debt obligations and could cause us to be in default if we are unable to repay the accelerated obligations.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The terms of our debt covenants could limit our discretion in operating our business and any failure to comply with such covenants could result in the default of all of our debt.</w:t>
      </w:r>
    </w:p>
    <w:p>
      <w:pPr>
        <w:spacing w:after="0" w:line="3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agreements governing our indebtedness contain and the agreements governing our future indebtedness will likely contain various covenants, including those that restrict our or our subsidiaries’ ability to, among other things: (1) incur liens on our property, assets and revenue; (2) borrow money, and guarantee or provide other support for the indebtedness of third parties; (3) pay dividends or make other distributions on, redeem or repurchase our capital stock; (4) prepay, redeem or repurchase certain of our indebtedness; (5) enter into certain change of control transactions; (6) make investments in entities that we do not control, including equity method investments and joint ventures; (7) enter into certain asset sale transactions, including divestiture of certain company assets and divestiture of capital stock of wholly-owned subsidiaries; (8) enter into certain transactions with affiliates; (9) enter into secured financing arrangements; (10) enter into sale and leaseback transactions; (11) change our fiscal year; and (12) enter into substantially different lines of business. These covenants may limit our ability to effectively operate our businesses or maximize stockholder value. Any failure to comply with the restrictions of our Amended and Restated Credit Agreement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require more cash than we generate in our operating activities, and additional funding on reasonable terms or at all may not be available.</w:t>
      </w:r>
    </w:p>
    <w:p>
      <w:pPr>
        <w:spacing w:after="0" w:line="3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cannot guarantee that our business will generate sufficient cash flow from operations to fund our capital investment requirements or other liquidity needs, including in light of the uncertainty related to volume trends.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 As a result, we may be required to finance our cash needs through bank loans, additional debt financing, sales of equity-linked securities, public or private equity offerings or otherwise. Our ability to arrange financing or refinancing and the cost of such financing or refinancing are dependent on numerous factors, including but not limited to general economic and capital market conditions, the availability of credit from banks or other lenders, investor confidence in us, and our results of operations.</w:t>
      </w:r>
    </w:p>
    <w:p>
      <w:pPr>
        <w:spacing w:after="0" w:line="8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There can be no assurance that financing or refinancing will be available on terms favorable to us or at all, which could force us to delay, reduce or abandon our growth strategy, increase our financing costs, or adversely affect our ability to operate our business.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 Recent increases in interest rates have significantly increased our interest expense, and further increases in interest rates would result in additional interest expense, which would adversely impact our financial performance. In addition, any downgrade of our debt ratings by Standard &amp;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6"/>
          <w:szCs w:val="16"/>
          <w:color w:val="auto"/>
        </w:rPr>
        <w:t>Poor’s, Moody’s Investor Service or similar ratings agencies, increases in general interest rate levels and credit spreads or overall weakening in the credit markets could increase our cost of capital. Furthermore, raising capital through public or private sales of equity, or sales of equity-linked securities, could cause earnings or ownership dilution to your shareholding interests in our company.</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interest rate fluctuations.</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Our floating rate indebtedness and the potential refinancing of fixed rate indebtedness exposes us to fluctuations in prevailing interest rates. To reduce the impact of large fluctuations in interest rates, we typically hedge a portion of our interest rate risk by entering into derivative agreements with financial institutions. Our exposure to floating interest rates relates primarily to our borrowings under the Amended and Restated Credit Agreement.</w:t>
      </w:r>
    </w:p>
    <w:p>
      <w:pPr>
        <w:spacing w:after="0" w:line="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derivative agreements that we use to manage the risk associated with fluctuations in interest rates may not be able to eliminate the exposure to these changes. Additionally, recent interest rate increases have generally increased the cost of debt and we have been, and may in the future be, required to pay higher interest rates on new fixed rate indebtedness we have incurred and may incur in the future in comparison to the interest rates payable on our prior and currently outstanding fixed rate indebtedness, including in connection with the refinancing of such indebtedness.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68"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The market price of our common stock could decline due to the large number of outstanding shares of our common stock eligible for future sale.</w:t>
      </w:r>
    </w:p>
    <w:p>
      <w:pPr>
        <w:spacing w:after="0" w:line="1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Sales of substantial amounts of our common stock or convertible instruments in the public market in future offerings, or the perception that these sales could occur, could cause the market price of our common stock to decline. These sales could also make it more difficult for us to sell equity or equity-linked securities in the future, at a time and price that we deem appropriate. In addition, the additional sale of our common stock by our officers or directors in the public market, or the perception that these sales may occur, could cause the market price of our common stock to decline. 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 To the extent that any of us, our executive officers or directors sell, or indicate an intent to sell, substantial amounts of our common stock in the public market, the trading price of our common stock could decline significantly.</w:t>
      </w:r>
    </w:p>
    <w:p>
      <w:pPr>
        <w:spacing w:after="0" w:line="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recognize impairments on long-lived assets, including goodwill and other intangible assets, or recognize impairments on our equity method investments.</w:t>
      </w:r>
    </w:p>
    <w:p>
      <w:pPr>
        <w:spacing w:after="0" w:line="3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consolidated balance sheets as of June 30, 2025 contained goodwill and intangible assets, net totaling $2.7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 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travel supplier capacity and load factors, future price levels, rates of growth including long-term growth rates, rates of increase in operating expenses, cost of revenue and taxes, and changes in realization of estimated cost-saving initiatives could result in material impairment charges.</w:t>
      </w:r>
    </w:p>
    <w:p>
      <w:pPr>
        <w:spacing w:after="0" w:line="87"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3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 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16"/>
          <w:szCs w:val="16"/>
          <w:color w:val="auto"/>
        </w:rPr>
        <w:t>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 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have higher than anticipated tax liabilities.</w:t>
      </w:r>
    </w:p>
    <w:p>
      <w:pPr>
        <w:spacing w:after="0" w:line="1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or magnitude of activities and income allocated or earned among various jurisdictions, tax laws in these jurisdictions, tax treaties between countries, our eligibility for benefits under those tax treaties, and the estimated values of deferred tax assets and liabilities, including the estimation of valuation allowances. Such changes could result in an increase or decrease in the effective tax rate applicable to all or a portion of our income or losses which would impact our profitability. We consider the undistributed capital investments in our foreign subsidiaries to be indefinitely reinvested as of June 30, 2025, and, accordingly, have not provided deferred taxes on any outside basis differences for most subsidiaries.</w:t>
      </w:r>
    </w:p>
    <w:p>
      <w:pPr>
        <w:spacing w:after="0" w:line="28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establish reserves for our potential liability for U.S. and non-U.S. taxes, including sales, occupancy and Value Added Taxes (“VAT”), consistent with applicable accounting principles and considering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New tax laws, such as the OBBBA (see “Management’s Discussion and Analysis of Financial Condition and Results of Operations—Capital Resources"),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New, changed, modified or newly interpreted or applied laws could also increase our compliance, operating and other costs, as well as the costs of our products and services. The Organisation for Economic Co-operation and Development (OECD) has released Model Rules for a global minimum tax rate of 15% that would apply to multinational entities. Over 140 countries have agreed to enact legislation to implement these rules, with several already enacting domestic laws to do so. In some countries where we operate the new rules were effective in the year 2024 with more expected in the year 2025. We are closely monitoring developments and evaluating the impact these new rules will have on our tax rate. Additionally, several countries, primarily Canada and in Europe, have adopted DST on revenue earned by multinational companies from the provision of certain digital services, such as the use of an online marketplace, regardless of physical presence. We continue to evaluate the potential effects that the DST may have on our operations, cash flows and results of operations. See “Management’s Discussion and Analysis of Financial Condition and Results of Operations—Liquidity Outlook.” The future total impact of DST, including on our global operations, is uncertain, as additional countries enact a DST, and our business and financial condition could be adversely affected.</w:t>
      </w:r>
    </w:p>
    <w:p>
      <w:pPr>
        <w:spacing w:after="0" w:line="71" w:lineRule="exact"/>
        <w:rPr>
          <w:sz w:val="20"/>
          <w:szCs w:val="20"/>
          <w:color w:val="auto"/>
        </w:rPr>
      </w:pPr>
    </w:p>
    <w:p>
      <w:pPr>
        <w:jc w:val="both"/>
        <w:ind w:right="20" w:firstLine="486"/>
        <w:spacing w:after="0" w:line="314" w:lineRule="auto"/>
        <w:rPr>
          <w:sz w:val="20"/>
          <w:szCs w:val="20"/>
          <w:color w:val="auto"/>
        </w:rPr>
      </w:pPr>
      <w:r>
        <w:rPr>
          <w:rFonts w:ascii="Arial" w:cs="Arial" w:eastAsia="Arial" w:hAnsi="Arial"/>
          <w:sz w:val="16"/>
          <w:szCs w:val="16"/>
          <w:b w:val="1"/>
          <w:bCs w:val="1"/>
          <w:color w:val="auto"/>
        </w:rPr>
        <w:t>Our pension plan obligations are currently unfunded, and we may have to make significant cash contributions to our plans, which could reduce the cash available for our business.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2" w:name="page53"/>
    <w:bookmarkEnd w:id="52"/>
    <w:p>
      <w:pPr>
        <w:jc w:val="both"/>
        <w:ind w:firstLine="486"/>
        <w:spacing w:after="0" w:line="259" w:lineRule="auto"/>
        <w:rPr>
          <w:sz w:val="20"/>
          <w:szCs w:val="20"/>
          <w:color w:val="auto"/>
        </w:rPr>
      </w:pPr>
      <w:r>
        <w:rPr>
          <w:rFonts w:ascii="Arial" w:cs="Arial" w:eastAsia="Arial" w:hAnsi="Arial"/>
          <w:sz w:val="16"/>
          <w:szCs w:val="16"/>
          <w:color w:val="auto"/>
        </w:rPr>
        <w:t>Our pension plans in the aggregate are estimated to be unfunded by $63 million as of December 31, 2024. With approximately 3,500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or to avoid certain funding-based benefit restrictions, we may need to make additional pension contributions above what is currently estimated or provide security to the plan, which could reduce the cash available for our businesses.</w:t>
      </w:r>
    </w:p>
    <w:p>
      <w:pPr>
        <w:spacing w:after="0" w:line="26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spacing w:after="0" w:line="68"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Defects in our products may subject us to significant warranty liabilities or product liability claims and we may have insufficient product liability insurance to pay material uninsured claims.</w:t>
      </w:r>
    </w:p>
    <w:p>
      <w:pPr>
        <w:spacing w:after="0" w:line="1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 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4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Share repurchases are made pursuant to a multi-year share repurchase program (the “Share Repurchase Program”) authorized by our board of directors on February 6, 2017. This program was announced on February 7, 2017 and allows for the purchase of up to $500 million of outstanding shares of our common stock in privately negotiated transactions or in the open market, or otherwise. On March 16, 2020, we announced the suspension of share repurchases under the Share Repurchase Program in conjunction with certain cash management measures we undertook as a result of the market conditions caused by COVID-19. During the six months ended June 30, 2025, we did not repurchase any shares pursuant to the Share Repurchase Program. As of June 30, 2025, the Share Repurchase Program remains suspended and approximately $287 million remains authorized for repurchases.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ITEM 5. OTHER INFORMATION</w:t>
      </w:r>
    </w:p>
    <w:p>
      <w:pPr>
        <w:spacing w:after="0" w:line="16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During the three months ended June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0080" w:type="dxa"/>
            <w:vAlign w:val="bottom"/>
            <w:gridSpan w:val="12"/>
            <w:vMerge w:val="restart"/>
          </w:tcPr>
          <w:p>
            <w:pPr>
              <w:ind w:left="434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81"/>
        </w:trPr>
        <w:tc>
          <w:tcPr>
            <w:tcW w:w="12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1008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20"/>
                <w:szCs w:val="20"/>
                <w:color w:val="auto"/>
              </w:rPr>
            </w:pPr>
            <w:r>
              <w:rPr>
                <w:rFonts w:ascii="Arial" w:cs="Arial" w:eastAsia="Arial" w:hAnsi="Arial"/>
                <w:sz w:val="16"/>
                <w:szCs w:val="16"/>
                <w:color w:val="auto"/>
              </w:rPr>
              <w:t>10.150†*</w:t>
            </w:r>
          </w:p>
        </w:tc>
        <w:tc>
          <w:tcPr>
            <w:tcW w:w="95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Form of Executive Restricted Stock Unit Grant Agreement under the Sabre Corporation 2025 Omnibus Incentive Compensation Plan</w:t>
            </w:r>
          </w:p>
        </w:tc>
        <w:tc>
          <w:tcPr>
            <w:tcW w:w="5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10.151†*</w:t>
            </w:r>
          </w:p>
        </w:tc>
        <w:tc>
          <w:tcPr>
            <w:tcW w:w="95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Form of Executive Restricted Stock Unit Grant Agreement under the Sabre Corporation 2025 Omnibus Incentive Compensation Plan</w:t>
            </w:r>
          </w:p>
        </w:tc>
        <w:tc>
          <w:tcPr>
            <w:tcW w:w="5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10.152</w:t>
            </w:r>
          </w:p>
        </w:tc>
        <w:tc>
          <w:tcPr>
            <w:tcW w:w="10080" w:type="dxa"/>
            <w:vAlign w:val="bottom"/>
            <w:gridSpan w:val="12"/>
          </w:tcPr>
          <w:p>
            <w:pPr>
              <w:spacing w:after="0"/>
              <w:rPr>
                <w:rFonts w:ascii="Arial" w:cs="Arial" w:eastAsia="Arial" w:hAnsi="Arial"/>
                <w:sz w:val="16"/>
                <w:szCs w:val="16"/>
                <w:color w:val="0000FF"/>
              </w:rPr>
            </w:pPr>
            <w:hyperlink r:id="rId74">
              <w:r>
                <w:rPr>
                  <w:rFonts w:ascii="Arial" w:cs="Arial" w:eastAsia="Arial" w:hAnsi="Arial"/>
                  <w:sz w:val="16"/>
                  <w:szCs w:val="16"/>
                  <w:color w:val="0000FF"/>
                </w:rPr>
                <w:t>Indenture, dated as of June 4, 2025, among Sabre GLBL Inc., each of the guarantors party thereto and Computershare Trust Company,</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National Association, as trustee and collateral agent (incorporated by reference to Exhibit 4.1 of Sabre Corporation’s Current Report on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998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Form 8-K filed with the Securities and Exchange Commission on June 5,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10.153</w:t>
            </w:r>
          </w:p>
        </w:tc>
        <w:tc>
          <w:tcPr>
            <w:tcW w:w="10080" w:type="dxa"/>
            <w:vAlign w:val="bottom"/>
            <w:gridSpan w:val="12"/>
          </w:tcPr>
          <w:p>
            <w:pPr>
              <w:spacing w:after="0"/>
              <w:rPr>
                <w:rFonts w:ascii="Arial" w:cs="Arial" w:eastAsia="Arial" w:hAnsi="Arial"/>
                <w:sz w:val="16"/>
                <w:szCs w:val="16"/>
                <w:color w:val="0000FF"/>
              </w:rPr>
            </w:pPr>
            <w:hyperlink r:id="rId74">
              <w:r>
                <w:rPr>
                  <w:rFonts w:ascii="Arial" w:cs="Arial" w:eastAsia="Arial" w:hAnsi="Arial"/>
                  <w:sz w:val="16"/>
                  <w:szCs w:val="16"/>
                  <w:color w:val="0000FF"/>
                </w:rPr>
                <w:t>Form of 11.125% Senior Secured Notes due 2030 (incorporated by reference to Exhibit 4.2 of Sabre Corporation’s Current Report on Form</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2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8-K filed with the Securities and Exchange Commission on June 5, 2025).</w:t>
              </w:r>
            </w:hyperlink>
          </w:p>
        </w:tc>
        <w:tc>
          <w:tcPr>
            <w:tcW w:w="47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10.154</w:t>
            </w:r>
          </w:p>
        </w:tc>
        <w:tc>
          <w:tcPr>
            <w:tcW w:w="10080" w:type="dxa"/>
            <w:vAlign w:val="bottom"/>
            <w:gridSpan w:val="12"/>
          </w:tcPr>
          <w:p>
            <w:pPr>
              <w:spacing w:after="0"/>
              <w:rPr>
                <w:rFonts w:ascii="Arial" w:cs="Arial" w:eastAsia="Arial" w:hAnsi="Arial"/>
                <w:sz w:val="16"/>
                <w:szCs w:val="16"/>
                <w:color w:val="0000FF"/>
              </w:rPr>
            </w:pPr>
            <w:hyperlink r:id="rId75">
              <w:r>
                <w:rPr>
                  <w:rFonts w:ascii="Arial" w:cs="Arial" w:eastAsia="Arial" w:hAnsi="Arial"/>
                  <w:sz w:val="16"/>
                  <w:szCs w:val="16"/>
                  <w:color w:val="0000FF"/>
                </w:rPr>
                <w:t>Pledge and Security Agreement, dated as of June 4, 2025,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4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guarantors party thereto and Computershare Trust Company, National Association, as collateral agent. (incorporated by reference to</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96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Exhibit 10.1 of Sabre Corporation’s Current Report on Form 8-K filed with the Securities and Exchange Commission on June 5, 2025).</w:t>
              </w:r>
            </w:hyperlink>
          </w:p>
        </w:tc>
        <w:tc>
          <w:tcPr>
            <w:tcW w:w="400" w:type="dxa"/>
            <w:vAlign w:val="bottom"/>
            <w:tcBorders>
              <w:top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31.1*</w:t>
            </w:r>
          </w:p>
        </w:tc>
        <w:tc>
          <w:tcPr>
            <w:tcW w:w="10080" w:type="dxa"/>
            <w:vAlign w:val="bottom"/>
            <w:gridSpan w:val="12"/>
          </w:tcPr>
          <w:p>
            <w:pPr>
              <w:spacing w:after="0"/>
              <w:rPr>
                <w:sz w:val="20"/>
                <w:szCs w:val="20"/>
                <w:color w:val="auto"/>
              </w:rPr>
            </w:pPr>
            <w:r>
              <w:rPr>
                <w:rFonts w:ascii="Arial" w:cs="Arial" w:eastAsia="Arial" w:hAnsi="Arial"/>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31.2*</w:t>
            </w:r>
          </w:p>
        </w:tc>
        <w:tc>
          <w:tcPr>
            <w:tcW w:w="700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rPr>
              <w:t>Certification of Chief Financial Officer pursuant to Section 302 of the Sarbanes-Oxley Act of 2002</w:t>
            </w:r>
          </w:p>
        </w:tc>
        <w:tc>
          <w:tcPr>
            <w:tcW w:w="3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940" w:type="dxa"/>
            <w:vAlign w:val="bottom"/>
            <w:gridSpan w:val="3"/>
            <w:shd w:val="clear" w:color="auto" w:fill="0000FF"/>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32.1*</w:t>
            </w:r>
          </w:p>
        </w:tc>
        <w:tc>
          <w:tcPr>
            <w:tcW w:w="10080" w:type="dxa"/>
            <w:vAlign w:val="bottom"/>
            <w:gridSpan w:val="12"/>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32.2*</w:t>
            </w:r>
          </w:p>
        </w:tc>
        <w:tc>
          <w:tcPr>
            <w:tcW w:w="700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Sarbanes-Oxley Act of 2002</w:t>
            </w:r>
          </w:p>
        </w:tc>
        <w:tc>
          <w:tcPr>
            <w:tcW w:w="3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940" w:type="dxa"/>
            <w:vAlign w:val="bottom"/>
            <w:gridSpan w:val="3"/>
            <w:shd w:val="clear" w:color="auto" w:fill="0000FF"/>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line="183" w:lineRule="exact"/>
              <w:rPr>
                <w:sz w:val="20"/>
                <w:szCs w:val="20"/>
                <w:color w:val="auto"/>
              </w:rPr>
            </w:pPr>
            <w:r>
              <w:rPr>
                <w:rFonts w:ascii="Arial" w:cs="Arial" w:eastAsia="Arial" w:hAnsi="Arial"/>
                <w:sz w:val="16"/>
                <w:szCs w:val="16"/>
                <w:color w:val="auto"/>
              </w:rPr>
              <w:t>101.INS*</w:t>
            </w:r>
          </w:p>
        </w:tc>
        <w:tc>
          <w:tcPr>
            <w:tcW w:w="10080" w:type="dxa"/>
            <w:vAlign w:val="bottom"/>
            <w:gridSpan w:val="12"/>
          </w:tcPr>
          <w:p>
            <w:pPr>
              <w:spacing w:after="0" w:line="183"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080" w:type="dxa"/>
            <w:vAlign w:val="bottom"/>
            <w:gridSpan w:val="12"/>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20"/>
                <w:szCs w:val="20"/>
                <w:color w:val="auto"/>
              </w:rPr>
            </w:pPr>
            <w:r>
              <w:rPr>
                <w:rFonts w:ascii="Arial" w:cs="Arial" w:eastAsia="Arial" w:hAnsi="Arial"/>
                <w:sz w:val="16"/>
                <w:szCs w:val="16"/>
                <w:color w:val="auto"/>
              </w:rPr>
              <w:t>101.SCH*</w:t>
            </w:r>
          </w:p>
        </w:tc>
        <w:tc>
          <w:tcPr>
            <w:tcW w:w="1008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color w:val="auto"/>
              </w:rPr>
              <w:t>101.CAL*</w:t>
            </w:r>
          </w:p>
        </w:tc>
        <w:tc>
          <w:tcPr>
            <w:tcW w:w="1008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color w:val="auto"/>
              </w:rPr>
              <w:t>101.DEF*</w:t>
            </w:r>
          </w:p>
        </w:tc>
        <w:tc>
          <w:tcPr>
            <w:tcW w:w="1008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color w:val="auto"/>
              </w:rPr>
              <w:t>101.LAB*</w:t>
            </w:r>
          </w:p>
        </w:tc>
        <w:tc>
          <w:tcPr>
            <w:tcW w:w="1008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color w:val="auto"/>
              </w:rPr>
              <w:t>101.PRE*</w:t>
            </w:r>
          </w:p>
        </w:tc>
        <w:tc>
          <w:tcPr>
            <w:tcW w:w="1008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164"/>
        </w:trPr>
        <w:tc>
          <w:tcPr>
            <w:tcW w:w="122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10080" w:type="dxa"/>
            <w:vAlign w:val="bottom"/>
            <w:gridSpan w:val="12"/>
          </w:tcPr>
          <w:p>
            <w:pPr>
              <w:spacing w:after="0" w:line="164" w:lineRule="exact"/>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080" w:type="dxa"/>
            <w:vAlign w:val="bottom"/>
            <w:gridSpan w:val="12"/>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w:t>
      </w:r>
    </w:p>
    <w:p>
      <w:pPr>
        <w:spacing w:after="0" w:line="15" w:lineRule="exact"/>
        <w:rPr>
          <w:sz w:val="20"/>
          <w:szCs w:val="20"/>
          <w:color w:val="auto"/>
        </w:rPr>
      </w:pPr>
    </w:p>
    <w:p>
      <w:pPr>
        <w:ind w:right="5900" w:firstLine="8"/>
        <w:spacing w:after="0" w:line="276" w:lineRule="auto"/>
        <w:tabs>
          <w:tab w:leader="none" w:pos="2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6"/>
          <w:szCs w:val="16"/>
          <w:b w:val="1"/>
          <w:bCs w:val="1"/>
          <w:u w:val="single" w:color="auto"/>
          <w:color w:val="auto"/>
        </w:rPr>
        <w:t>SIGNATURE</w:t>
      </w:r>
    </w:p>
    <w:p>
      <w:pPr>
        <w:spacing w:after="0" w:line="221"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0" w:type="dxa"/>
            <w:vAlign w:val="bottom"/>
            <w:tcBorders>
              <w:bottom w:val="single" w:sz="8" w:color="auto"/>
            </w:tcBorders>
          </w:tcPr>
          <w:p>
            <w:pPr>
              <w:ind w:left="1500"/>
              <w:spacing w:after="0"/>
              <w:rPr>
                <w:sz w:val="20"/>
                <w:szCs w:val="20"/>
                <w:color w:val="auto"/>
              </w:rPr>
            </w:pPr>
            <w:r>
              <w:rPr>
                <w:rFonts w:ascii="Arial" w:cs="Arial" w:eastAsia="Arial" w:hAnsi="Arial"/>
                <w:sz w:val="16"/>
                <w:szCs w:val="16"/>
                <w:b w:val="1"/>
                <w:bCs w:val="1"/>
                <w:color w:val="auto"/>
              </w:rPr>
              <w:t>SABRE CORPORATION</w:t>
            </w:r>
          </w:p>
        </w:tc>
      </w:tr>
      <w:tr>
        <w:trPr>
          <w:trHeight w:val="208"/>
        </w:trPr>
        <w:tc>
          <w:tcPr>
            <w:tcW w:w="3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0" w:type="dxa"/>
            <w:vAlign w:val="bottom"/>
          </w:tcPr>
          <w:p>
            <w:pPr>
              <w:ind w:left="1980"/>
              <w:spacing w:after="0"/>
              <w:rPr>
                <w:sz w:val="20"/>
                <w:szCs w:val="20"/>
                <w:color w:val="auto"/>
              </w:rPr>
            </w:pPr>
            <w:r>
              <w:rPr>
                <w:rFonts w:ascii="Arial" w:cs="Arial" w:eastAsia="Arial" w:hAnsi="Arial"/>
                <w:sz w:val="16"/>
                <w:szCs w:val="16"/>
                <w:color w:val="auto"/>
              </w:rPr>
              <w:t>(Registrant)</w:t>
            </w:r>
          </w:p>
        </w:tc>
      </w:tr>
      <w:tr>
        <w:trPr>
          <w:trHeight w:val="378"/>
        </w:trPr>
        <w:tc>
          <w:tcPr>
            <w:tcW w:w="3760" w:type="dxa"/>
            <w:vAlign w:val="bottom"/>
          </w:tcPr>
          <w:p>
            <w:pPr>
              <w:spacing w:after="0"/>
              <w:rPr>
                <w:sz w:val="20"/>
                <w:szCs w:val="20"/>
                <w:color w:val="auto"/>
              </w:rPr>
            </w:pPr>
            <w:r>
              <w:rPr>
                <w:rFonts w:ascii="Arial" w:cs="Arial" w:eastAsia="Arial" w:hAnsi="Arial"/>
                <w:sz w:val="16"/>
                <w:szCs w:val="16"/>
                <w:color w:val="auto"/>
              </w:rPr>
              <w:t>Date:   August 7, 2025</w:t>
            </w:r>
          </w:p>
        </w:tc>
        <w:tc>
          <w:tcPr>
            <w:tcW w:w="2620" w:type="dxa"/>
            <w:vAlign w:val="bottom"/>
          </w:tcPr>
          <w:p>
            <w:pPr>
              <w:ind w:left="2080"/>
              <w:spacing w:after="0"/>
              <w:rPr>
                <w:sz w:val="20"/>
                <w:szCs w:val="20"/>
                <w:color w:val="auto"/>
              </w:rPr>
            </w:pPr>
            <w:r>
              <w:rPr>
                <w:rFonts w:ascii="Arial" w:cs="Arial" w:eastAsia="Arial" w:hAnsi="Arial"/>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Randolfi</w:t>
            </w:r>
          </w:p>
        </w:tc>
      </w:tr>
      <w:tr>
        <w:trPr>
          <w:trHeight w:val="209"/>
        </w:trPr>
        <w:tc>
          <w:tcPr>
            <w:tcW w:w="3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Michael Randolfi</w:t>
            </w:r>
          </w:p>
        </w:tc>
      </w:tr>
      <w:tr>
        <w:trPr>
          <w:trHeight w:val="215"/>
        </w:trPr>
        <w:tc>
          <w:tcPr>
            <w:tcW w:w="3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6"/>
        </w:trPr>
        <w:tc>
          <w:tcPr>
            <w:tcW w:w="3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(principal financial officer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320" w:top="949" w:right="359" w:bottom="1440" w:gutter="0" w:footer="0" w:header="0"/>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SABRE CORPORATION</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2025 OMNIBUS INCENTIVE COMPENSATION PLAN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OF EXECUTIVE RESTRICTED STOCK UNIT GRANT AGREEMENT</w:t>
      </w:r>
    </w:p>
    <w:p>
      <w:pPr>
        <w:spacing w:after="0" w:line="209" w:lineRule="exact"/>
        <w:rPr>
          <w:sz w:val="20"/>
          <w:szCs w:val="20"/>
          <w:color w:val="auto"/>
        </w:rPr>
      </w:pPr>
    </w:p>
    <w:p>
      <w:pPr>
        <w:jc w:val="both"/>
        <w:ind w:right="40" w:firstLine="648"/>
        <w:spacing w:after="0" w:line="244" w:lineRule="auto"/>
        <w:rPr>
          <w:sz w:val="20"/>
          <w:szCs w:val="20"/>
          <w:color w:val="auto"/>
        </w:rPr>
      </w:pPr>
      <w:r>
        <w:rPr>
          <w:rFonts w:ascii="Times New Roman" w:cs="Times New Roman" w:eastAsia="Times New Roman" w:hAnsi="Times New Roman"/>
          <w:sz w:val="22"/>
          <w:szCs w:val="22"/>
          <w:color w:val="auto"/>
        </w:rPr>
        <w:t>THIS AGREEMENT, including any special terms and conditions in the appendices attached hereto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made as of this </w:t>
      </w:r>
      <w:r>
        <w:rPr>
          <w:rFonts w:ascii="Times New Roman" w:cs="Times New Roman" w:eastAsia="Times New Roman" w:hAnsi="Times New Roman"/>
          <w:sz w:val="22"/>
          <w:szCs w:val="22"/>
          <w:b w:val="1"/>
          <w:bCs w:val="1"/>
          <w:color w:val="FF0000"/>
        </w:rPr>
        <w:t>###GRANT_DATE###</w:t>
      </w:r>
      <w:r>
        <w:rPr>
          <w:rFonts w:ascii="Times New Roman" w:cs="Times New Roman" w:eastAsia="Times New Roman" w:hAnsi="Times New Roman"/>
          <w:sz w:val="22"/>
          <w:szCs w:val="22"/>
          <w:color w:val="auto"/>
        </w:rPr>
        <w:t xml:space="preserve"> between Sabre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FF0000"/>
        </w:rPr>
        <w:t>###PARTICIPANT_NAME###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21"/>
          <w:szCs w:val="21"/>
          <w:color w:val="auto"/>
        </w:rPr>
        <w:t>WHEREAS, the Company has adopted the Sabre Corporation 2025 Omnibus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to promote the interests of the Company and its stockholders by providing the employees of the Company or its Subsidiaries and Affiliates, who are responsible for the management, growth, and protection of the business of the Company, with incentives and rewards to encourage them to continue in the service of the Company or its Subsidiaries and Affiliates; and</w:t>
      </w:r>
    </w:p>
    <w:p>
      <w:pPr>
        <w:spacing w:after="0" w:line="189"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WHEREAS, Section 7 of the Plan provides for the Grant to Participants of Other Stock-Based Awards, including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hereinafter set forth, the parties hereto hereby agree as follows:</w:t>
      </w:r>
    </w:p>
    <w:p>
      <w:pPr>
        <w:spacing w:after="0" w:line="185" w:lineRule="exact"/>
        <w:rPr>
          <w:sz w:val="20"/>
          <w:szCs w:val="20"/>
          <w:color w:val="auto"/>
        </w:rPr>
      </w:pPr>
    </w:p>
    <w:p>
      <w:pPr>
        <w:ind w:left="660" w:hanging="328"/>
        <w:spacing w:after="0" w:line="236"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RSUs</w:t>
      </w:r>
      <w:r>
        <w:rPr>
          <w:rFonts w:ascii="Times New Roman" w:cs="Times New Roman" w:eastAsia="Times New Roman" w:hAnsi="Times New Roman"/>
          <w:sz w:val="22"/>
          <w:szCs w:val="22"/>
          <w:color w:val="auto"/>
        </w:rPr>
        <w:t xml:space="preserve">. Pursuant to, and subject to, the terms and conditions set forth herein and in the Plan, the Company hereby grants to the Participant </w:t>
      </w:r>
      <w:r>
        <w:rPr>
          <w:rFonts w:ascii="Times New Roman" w:cs="Times New Roman" w:eastAsia="Times New Roman" w:hAnsi="Times New Roman"/>
          <w:sz w:val="22"/>
          <w:szCs w:val="22"/>
          <w:b w:val="1"/>
          <w:bCs w:val="1"/>
          <w:color w:val="FF0000"/>
        </w:rPr>
        <w:t>###TOTAL_AWARDS###</w:t>
      </w:r>
      <w:r>
        <w:rPr>
          <w:rFonts w:ascii="Times New Roman" w:cs="Times New Roman" w:eastAsia="Times New Roman" w:hAnsi="Times New Roman"/>
          <w:sz w:val="22"/>
          <w:szCs w:val="22"/>
          <w:color w:val="auto"/>
        </w:rPr>
        <w:t xml:space="preserve"> RSUs. Each RSU granted hereunder represents the right to receive one share of the Company’s Common Stock on the Settlement Date (as defined herein), upon the terms and subject to the conditions (including the vesting conditions) set forth in this Agreement and the Plan.</w:t>
      </w:r>
    </w:p>
    <w:p>
      <w:pPr>
        <w:spacing w:after="0" w:line="20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xml:space="preserve">. The grant date of the RSUs is </w:t>
      </w:r>
      <w:r>
        <w:rPr>
          <w:rFonts w:ascii="Times New Roman" w:cs="Times New Roman" w:eastAsia="Times New Roman" w:hAnsi="Times New Roman"/>
          <w:sz w:val="22"/>
          <w:szCs w:val="22"/>
          <w:b w:val="1"/>
          <w:bCs w:val="1"/>
          <w:color w:val="FF0000"/>
        </w:rPr>
        <w:t>###GRANT_DATE###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RSUs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right="60" w:hanging="328"/>
        <w:spacing w:after="0" w:line="249" w:lineRule="auto"/>
        <w:tabs>
          <w:tab w:leader="none" w:pos="65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RSUs eligible to vest (“</w:t>
      </w:r>
      <w:r>
        <w:rPr>
          <w:rFonts w:ascii="Times New Roman" w:cs="Times New Roman" w:eastAsia="Times New Roman" w:hAnsi="Times New Roman"/>
          <w:sz w:val="21"/>
          <w:szCs w:val="21"/>
          <w:u w:val="single" w:color="auto"/>
          <w:color w:val="auto"/>
        </w:rPr>
        <w:t>Eligible RSUs</w:t>
      </w:r>
      <w:r>
        <w:rPr>
          <w:rFonts w:ascii="Times New Roman" w:cs="Times New Roman" w:eastAsia="Times New Roman" w:hAnsi="Times New Roman"/>
          <w:sz w:val="21"/>
          <w:szCs w:val="21"/>
          <w:color w:val="auto"/>
        </w:rPr>
        <w:t>”) will range from 0% to 200% of the number of RSUs set forth in Section 1 and will be equal to the sum of the three Eligible RSU Installments (as defined in Section 3(b) below) with respect to each of 2025, 2026 and 2027, with such aggregate amount increased or decreased based on the application of a Total Shareholder Return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modifier over the Company’s 2025 through 2027 fiscal years as described in and as calculated in accordance with Schedule A; provided that notwithstanding the application of the TSR modifier, the maximum amount of Eligible RSUs shall not exceed 200% of the number of RSUs set forth in Section 1.</w:t>
      </w:r>
    </w:p>
    <w:p>
      <w:pPr>
        <w:spacing w:after="0" w:line="197"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RSU Installment</w:t>
      </w:r>
      <w:r>
        <w:rPr>
          <w:rFonts w:ascii="Times New Roman" w:cs="Times New Roman" w:eastAsia="Times New Roman" w:hAnsi="Times New Roman"/>
          <w:sz w:val="22"/>
          <w:szCs w:val="22"/>
          <w:color w:val="auto"/>
        </w:rPr>
        <w:t>” with respect to a year shall mean a number of RSUs equal to (X) x (Y), where</w:t>
      </w:r>
    </w:p>
    <w:p>
      <w:pPr>
        <w:spacing w:after="0" w:line="220" w:lineRule="exact"/>
        <w:rPr>
          <w:sz w:val="20"/>
          <w:szCs w:val="20"/>
          <w:color w:val="auto"/>
        </w:rPr>
      </w:pPr>
    </w:p>
    <w:p>
      <w:pPr>
        <w:ind w:right="920" w:firstLine="648"/>
        <w:spacing w:after="0" w:line="258" w:lineRule="auto"/>
        <w:rPr>
          <w:sz w:val="20"/>
          <w:szCs w:val="20"/>
          <w:color w:val="auto"/>
        </w:rPr>
      </w:pPr>
      <w:r>
        <w:rPr>
          <w:rFonts w:ascii="Times New Roman" w:cs="Times New Roman" w:eastAsia="Times New Roman" w:hAnsi="Times New Roman"/>
          <w:sz w:val="22"/>
          <w:szCs w:val="22"/>
          <w:color w:val="auto"/>
        </w:rPr>
        <w:t>“(X)” means the number of RSUs set forth in Section 1, multiplied by 1/3; provided that the final Eligible RSU Installment shall include a number of RSUs that would result in an</w:t>
      </w:r>
    </w:p>
    <w:p>
      <w:pPr>
        <w:sectPr>
          <w:pgSz w:w="11900" w:h="16838" w:orient="portrait"/>
          <w:cols w:equalWidth="0" w:num="1">
            <w:col w:w="11180"/>
          </w:cols>
          <w:pgMar w:left="320" w:top="1404" w:right="399" w:bottom="1440" w:gutter="0" w:footer="0" w:header="0"/>
        </w:sectPr>
      </w:pPr>
    </w:p>
    <w:bookmarkStart w:id="56" w:name="page57"/>
    <w:bookmarkEnd w:id="56"/>
    <w:p>
      <w:pPr>
        <w:ind w:right="200"/>
        <w:spacing w:after="0" w:line="258" w:lineRule="auto"/>
        <w:rPr>
          <w:sz w:val="20"/>
          <w:szCs w:val="20"/>
          <w:color w:val="auto"/>
        </w:rPr>
      </w:pPr>
      <w:r>
        <w:rPr>
          <w:rFonts w:ascii="Times New Roman" w:cs="Times New Roman" w:eastAsia="Times New Roman" w:hAnsi="Times New Roman"/>
          <w:sz w:val="22"/>
          <w:szCs w:val="22"/>
          <w:color w:val="auto"/>
        </w:rPr>
        <w:t>aggregate number of RSUs that is subject to all Eligible RSU Installments equal to the total number of RSUs granted in Section 1, and</w:t>
      </w:r>
    </w:p>
    <w:p>
      <w:pPr>
        <w:spacing w:after="0" w:line="185"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“(Y)” means a percentage ranging from 0%-200%, representing the level of achievement by the Company of its Free Cash Flow target for that year based on the vesting chart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to this Agreement.</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number of RSUs subject to an Eligible RSU Installment shall be fixed as of the date that the Committee determines in its sole discretion the level of attainment of the Company’s Free Cash Flow target with respect to a year, and the number of Eligible RSUs shall be fixed as of the date that the Committee determines in its sole discretion the TSR modifier.</w:t>
      </w:r>
    </w:p>
    <w:p>
      <w:pPr>
        <w:spacing w:after="0" w:line="202" w:lineRule="exact"/>
        <w:rPr>
          <w:sz w:val="20"/>
          <w:szCs w:val="20"/>
          <w:color w:val="auto"/>
        </w:rPr>
      </w:pPr>
    </w:p>
    <w:p>
      <w:pPr>
        <w:ind w:right="40" w:firstLine="656"/>
        <w:spacing w:after="0" w:line="246" w:lineRule="auto"/>
        <w:tabs>
          <w:tab w:leader="none" w:pos="94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Eligible RSUs shall vest in full on </w:t>
      </w:r>
      <w:r>
        <w:rPr>
          <w:rFonts w:ascii="Times New Roman" w:cs="Times New Roman" w:eastAsia="Times New Roman" w:hAnsi="Times New Roman"/>
          <w:sz w:val="22"/>
          <w:szCs w:val="22"/>
          <w:b w:val="1"/>
          <w:bCs w:val="1"/>
          <w:color w:val="FF0000"/>
        </w:rPr>
        <w:t>###CF_EE_GRANT_Final Vesting Date for 5.15.2025 Annual PSU###</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remains continuously employed by the Company through the Vesting Date except as provided in Sections 3(d), 3(e), 3(f) and 3(g) hereof.</w:t>
      </w:r>
    </w:p>
    <w:p>
      <w:pPr>
        <w:spacing w:after="0" w:line="198" w:lineRule="exact"/>
        <w:rPr>
          <w:rFonts w:ascii="Times New Roman" w:cs="Times New Roman" w:eastAsia="Times New Roman" w:hAnsi="Times New Roman"/>
          <w:sz w:val="22"/>
          <w:szCs w:val="22"/>
          <w:color w:val="auto"/>
        </w:rPr>
      </w:pPr>
    </w:p>
    <w:p>
      <w:pPr>
        <w:ind w:right="160" w:firstLine="656"/>
        <w:spacing w:after="0" w:line="239" w:lineRule="auto"/>
        <w:tabs>
          <w:tab w:leader="none" w:pos="95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Participant’s Employment terminates prior to the Vesting Date for any reason other than the Participant’s (1) Retirement (as defined in Section 3(e)), (2) Qualifying Termination following a Change in Control or (3) death, as provided in Sections 3(e), 3(f) and 3(g) hereof, any unvested RSUs will be immediately forfeited as of the date of such termination of Employment.</w:t>
      </w:r>
    </w:p>
    <w:p>
      <w:pPr>
        <w:spacing w:after="0" w:line="207" w:lineRule="exact"/>
        <w:rPr>
          <w:rFonts w:ascii="Times New Roman" w:cs="Times New Roman" w:eastAsia="Times New Roman" w:hAnsi="Times New Roman"/>
          <w:sz w:val="22"/>
          <w:szCs w:val="22"/>
          <w:color w:val="auto"/>
        </w:rPr>
      </w:pPr>
    </w:p>
    <w:p>
      <w:pPr>
        <w:ind w:firstLine="656"/>
        <w:spacing w:after="0" w:line="232" w:lineRule="auto"/>
        <w:tabs>
          <w:tab w:leader="none" w:pos="94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Participant’s Employment terminates due to Retirement, the Eligible RSUs that would have vested on the Vesting Date immediately following such termination had the Participant’s Employment continued through such date will vest on the applicable Vesting Date.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for purposes of this Agreement shall mean the Participant’s voluntary or involuntary termination of Employment (and shall not include a termination by the Company (or if different, the employer) of the Participant’s Employment for Cause or if the Company determines, in its sole discretion, that the Participant is not in good standing at the time of such termination) on a date when (i) the Participant has reached the age of 60, (ii) the Participant has completed at least five (5) years of continuous Employment and (iii) the sum of the Participant’s age and number of completed years of continuous Employment by the Participant is not less than 70.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purposes of this Agreement shall have the meaning set forth in the Sabre Corporation Executive Severance Plan, as amended from time to time without regard to whether the Participant participates or is eligible to participate in the Sabre Corporation Executive Severance Plan.</w:t>
      </w:r>
    </w:p>
    <w:p>
      <w:pPr>
        <w:spacing w:after="0" w:line="214" w:lineRule="exact"/>
        <w:rPr>
          <w:rFonts w:ascii="Times New Roman" w:cs="Times New Roman" w:eastAsia="Times New Roman" w:hAnsi="Times New Roman"/>
          <w:sz w:val="22"/>
          <w:szCs w:val="22"/>
          <w:color w:val="auto"/>
        </w:rPr>
      </w:pPr>
    </w:p>
    <w:p>
      <w:pPr>
        <w:ind w:firstLine="656"/>
        <w:spacing w:after="0" w:line="235" w:lineRule="auto"/>
        <w:tabs>
          <w:tab w:leader="none" w:pos="9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RSUs are assumed, continued or substituted in connection with a Change in Control and the Participant’s Employment terminates by reason of a Qualifying Termination during the one-year period following a Change in Control, all unvested RSUs will immediately vest on the date of such Qualifying Termination, based on an assumed attainment level of 100%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(Y) component of each unvested Eligible RSU Installment shall be equal to 100% and no payout modification for the TSR modifier).</w:t>
      </w:r>
    </w:p>
    <w:p>
      <w:pPr>
        <w:spacing w:after="0" w:line="205" w:lineRule="exact"/>
        <w:rPr>
          <w:rFonts w:ascii="Times New Roman" w:cs="Times New Roman" w:eastAsia="Times New Roman" w:hAnsi="Times New Roman"/>
          <w:sz w:val="22"/>
          <w:szCs w:val="22"/>
          <w:color w:val="auto"/>
        </w:rPr>
      </w:pPr>
    </w:p>
    <w:p>
      <w:pPr>
        <w:ind w:right="1020" w:firstLine="656"/>
        <w:spacing w:after="0" w:line="258" w:lineRule="auto"/>
        <w:tabs>
          <w:tab w:leader="none" w:pos="95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Participant’s Employment terminates due to the Participant’s death, all unvested RSUs will immediately vest on the date of such termination, based on an assumed</w:t>
      </w:r>
    </w:p>
    <w:p>
      <w:pPr>
        <w:sectPr>
          <w:pgSz w:w="11900" w:h="16838" w:orient="portrait"/>
          <w:cols w:equalWidth="0" w:num="1">
            <w:col w:w="11240"/>
          </w:cols>
          <w:pgMar w:left="320" w:top="1408" w:right="339" w:bottom="1440" w:gutter="0" w:footer="0" w:header="0"/>
        </w:sectPr>
      </w:pPr>
    </w:p>
    <w:bookmarkStart w:id="57" w:name="page58"/>
    <w:bookmarkEnd w:id="57"/>
    <w:p>
      <w:pPr>
        <w:ind w:right="180"/>
        <w:spacing w:after="0" w:line="262" w:lineRule="auto"/>
        <w:rPr>
          <w:sz w:val="20"/>
          <w:szCs w:val="20"/>
          <w:color w:val="auto"/>
        </w:rPr>
      </w:pPr>
      <w:r>
        <w:rPr>
          <w:rFonts w:ascii="Times New Roman" w:cs="Times New Roman" w:eastAsia="Times New Roman" w:hAnsi="Times New Roman"/>
          <w:sz w:val="22"/>
          <w:szCs w:val="22"/>
          <w:color w:val="auto"/>
        </w:rPr>
        <w:t>attainment level of 100%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(Y) component of each unvested Eligible RSU Installment shall be equal to 100% and no payout modification for the TSR modifier).</w:t>
      </w:r>
    </w:p>
    <w:p>
      <w:pPr>
        <w:spacing w:after="0" w:line="181" w:lineRule="exact"/>
        <w:rPr>
          <w:sz w:val="20"/>
          <w:szCs w:val="20"/>
          <w:color w:val="auto"/>
        </w:rPr>
      </w:pPr>
    </w:p>
    <w:p>
      <w:pPr>
        <w:ind w:left="660" w:hanging="328"/>
        <w:spacing w:after="0" w:line="232"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Settlement of any RSUs granted hereunder will be made in the form of shares of Common Stock no later than thirty (30) days following the Vesting Date or, in the event of a Qualifying Termination, the date the Qualifying Termination occurs (each such date, a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For purposes of clarification, if the Participant’s Employment terminates after the Vesting Date of any RSUs but prior to the Settlement Date of such RSUs (including as a result of a Qualifying Termination following a Change in Control), such RSUs will remain vested and be subject to settlement by the Company. Notwithstanding the foregoing, for purposes of complying with Code Section 409A, if the RSUs are considered deferred compensation under Code Section 409A (“</w:t>
      </w:r>
      <w:r>
        <w:rPr>
          <w:rFonts w:ascii="Times New Roman" w:cs="Times New Roman" w:eastAsia="Times New Roman" w:hAnsi="Times New Roman"/>
          <w:sz w:val="22"/>
          <w:szCs w:val="22"/>
          <w:u w:val="single" w:color="auto"/>
          <w:color w:val="auto"/>
        </w:rPr>
        <w:t>Deferred Compensation</w:t>
      </w:r>
      <w:r>
        <w:rPr>
          <w:rFonts w:ascii="Times New Roman" w:cs="Times New Roman" w:eastAsia="Times New Roman" w:hAnsi="Times New Roman"/>
          <w:sz w:val="22"/>
          <w:szCs w:val="22"/>
          <w:color w:val="auto"/>
        </w:rPr>
        <w:t>”), the Participant is a U.S. taxpayer and the shares of Common Stock are to be settled by reference to the termination of the Participant’s Employment, the RSUs shall not be settled until the Participant experiences a “separation from service” within the meaning of Code Section 409A. In addition, if the foregoing sentence applies and the Participant is a “specified employee,” within the meaning of Code Section 409A, on the date the Participant experiences a separation from service, then the RSUs shall be settled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207" w:lineRule="exact"/>
        <w:rPr>
          <w:rFonts w:ascii="Times New Roman" w:cs="Times New Roman" w:eastAsia="Times New Roman" w:hAnsi="Times New Roman"/>
          <w:sz w:val="22"/>
          <w:szCs w:val="22"/>
          <w:color w:val="auto"/>
        </w:rPr>
      </w:pPr>
    </w:p>
    <w:p>
      <w:pPr>
        <w:ind w:left="660" w:right="40" w:hanging="328"/>
        <w:spacing w:after="0" w:line="235"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w:t>
      </w:r>
    </w:p>
    <w:p>
      <w:pPr>
        <w:spacing w:after="0" w:line="205" w:lineRule="exact"/>
        <w:rPr>
          <w:rFonts w:ascii="Times New Roman" w:cs="Times New Roman" w:eastAsia="Times New Roman" w:hAnsi="Times New Roman"/>
          <w:sz w:val="22"/>
          <w:szCs w:val="22"/>
          <w:color w:val="auto"/>
        </w:rPr>
      </w:pPr>
    </w:p>
    <w:p>
      <w:pPr>
        <w:ind w:left="660" w:right="100" w:hanging="328"/>
        <w:spacing w:after="0" w:line="236"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w:t>
      </w:r>
    </w:p>
    <w:p>
      <w:pPr>
        <w:spacing w:after="0" w:line="194" w:lineRule="exact"/>
        <w:rPr>
          <w:rFonts w:ascii="Times New Roman" w:cs="Times New Roman" w:eastAsia="Times New Roman" w:hAnsi="Times New Roman"/>
          <w:sz w:val="22"/>
          <w:szCs w:val="22"/>
          <w:color w:val="auto"/>
        </w:rPr>
      </w:pPr>
    </w:p>
    <w:p>
      <w:pPr>
        <w:ind w:left="660" w:right="60" w:hanging="328"/>
        <w:spacing w:after="0" w:line="239"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spacing w:after="0" w:line="207" w:lineRule="exact"/>
        <w:rPr>
          <w:rFonts w:ascii="Times New Roman" w:cs="Times New Roman" w:eastAsia="Times New Roman" w:hAnsi="Times New Roman"/>
          <w:sz w:val="22"/>
          <w:szCs w:val="22"/>
          <w:color w:val="auto"/>
        </w:rPr>
      </w:pPr>
    </w:p>
    <w:p>
      <w:pPr>
        <w:ind w:left="660" w:right="40" w:hanging="328"/>
        <w:spacing w:after="0" w:line="244"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Participant acknowledges that, regardless of any action taken by the Company or, if different, the Participant’s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the ultimate liability for all income tax, social insurance, payroll tax, fringe benefits tax, payment on</w:t>
      </w:r>
    </w:p>
    <w:p>
      <w:pPr>
        <w:sectPr>
          <w:pgSz w:w="11900" w:h="16838" w:orient="portrait"/>
          <w:cols w:equalWidth="0" w:num="1">
            <w:col w:w="11220"/>
          </w:cols>
          <w:pgMar w:left="320" w:top="1404" w:right="359" w:bottom="1440" w:gutter="0" w:footer="0" w:header="0"/>
        </w:sectPr>
      </w:pPr>
    </w:p>
    <w:bookmarkStart w:id="58" w:name="page59"/>
    <w:bookmarkEnd w:id="58"/>
    <w:p>
      <w:pPr>
        <w:ind w:right="180"/>
        <w:spacing w:after="0" w:line="249" w:lineRule="exact"/>
        <w:rPr>
          <w:sz w:val="20"/>
          <w:szCs w:val="20"/>
          <w:color w:val="auto"/>
        </w:rPr>
      </w:pPr>
      <w:r>
        <w:rPr>
          <w:rFonts w:ascii="Times New Roman" w:cs="Times New Roman" w:eastAsia="Times New Roman" w:hAnsi="Times New Roman"/>
          <w:sz w:val="22"/>
          <w:szCs w:val="22"/>
          <w:color w:val="auto"/>
        </w:rPr>
        <w:t>account or other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 related to the Participant’s participation in the Plan and legally applicable to the Participant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of Common Stock acquired pursuant to such settlement and the receipt of any dividends and/or dividend equivalent;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by one or a combination of the following: (a) withholding from the Participant’s wages or other cash compensation paid to the Participant by the Company and/or the Employer; or (b) withholding from proceeds of the sale of shares of Common Stock acquired upon vesting/settlement of the RSUs either through a voluntary sale or through a mandatory sale arranged by the Company (on the Participant’s behalf pursuant to this authorization); or (c) withholding in shares of Common Stock to be issued upon settlement of the RSUs, provided, however that if the Participant is a Section 16 officer of the Company under the Exchange Act, then the Company will withhold shares of Common Stock to be issued upon settlement of the RSUs upon the relevant taxable or tax withholding event, as applicable, unless the Committee (as constituted in accordance with Rule 16b-3 under the Exchange Act) establishes a different method of withholding from alternatives (a) or (b).</w:t>
      </w:r>
    </w:p>
    <w:p>
      <w:pPr>
        <w:spacing w:after="0" w:line="21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Company may withhold or account for Tax-Related Items by considering applicable minimum statutory withholding rates or other applicable withholding rates, including maximum applicable rates in the Participant’s jurisdiction, in which case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for tax purposes, the Participant is deemed to have been issued the full number of shares of Common Stock subject to the vested RSUs, notwithstanding that a number of the shares of Common Stock are held back solely for the purpose of paying the Tax-Related Items.</w:t>
      </w:r>
    </w:p>
    <w:p>
      <w:pPr>
        <w:spacing w:after="0" w:line="206"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2"/>
          <w:szCs w:val="22"/>
          <w:color w:val="auto"/>
        </w:rPr>
        <w:t>Finally, the Participant agrees to pay to the Company or the Employer, any amount of Tax-Related Items that the Company or the Employer may be required to withhold or</w:t>
      </w:r>
    </w:p>
    <w:p>
      <w:pPr>
        <w:sectPr>
          <w:pgSz w:w="11900" w:h="16838" w:orient="portrait"/>
          <w:cols w:equalWidth="0" w:num="1">
            <w:col w:w="10580"/>
          </w:cols>
          <w:pgMar w:left="980" w:top="1360" w:right="339" w:bottom="1440" w:gutter="0" w:footer="0" w:header="0"/>
        </w:sectPr>
      </w:pPr>
    </w:p>
    <w:bookmarkStart w:id="59" w:name="page60"/>
    <w:bookmarkEnd w:id="59"/>
    <w:p>
      <w:pPr>
        <w:ind w:left="328" w:right="120"/>
        <w:spacing w:after="0" w:line="239" w:lineRule="auto"/>
        <w:rPr>
          <w:sz w:val="20"/>
          <w:szCs w:val="20"/>
          <w:color w:val="auto"/>
        </w:rPr>
      </w:pPr>
      <w:r>
        <w:rPr>
          <w:rFonts w:ascii="Times New Roman" w:cs="Times New Roman" w:eastAsia="Times New Roman" w:hAnsi="Times New Roman"/>
          <w:sz w:val="22"/>
          <w:szCs w:val="22"/>
          <w:color w:val="auto"/>
        </w:rPr>
        <w:t>account for as a result of the Participant’s participation in the Plan that cannot be satisfied by the means previously described. The Company may refuse to issue or deliver the shares of Common Stock or the proceeds of the sale of shares of Common Stock if the Participant fails to comply with the Participant’s obligations in connection with the Tax-Related Items.</w:t>
      </w:r>
    </w:p>
    <w:p>
      <w:pPr>
        <w:spacing w:after="0" w:line="207" w:lineRule="exact"/>
        <w:rPr>
          <w:sz w:val="20"/>
          <w:szCs w:val="20"/>
          <w:color w:val="auto"/>
        </w:rPr>
      </w:pPr>
    </w:p>
    <w:p>
      <w:pPr>
        <w:ind w:left="328" w:hanging="328"/>
        <w:spacing w:after="0" w:line="244" w:lineRule="auto"/>
        <w:tabs>
          <w:tab w:leader="none" w:pos="32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 of Agreement</w:t>
      </w:r>
      <w:r>
        <w:rPr>
          <w:rFonts w:ascii="Times New Roman" w:cs="Times New Roman" w:eastAsia="Times New Roman" w:hAnsi="Times New Roman"/>
          <w:sz w:val="21"/>
          <w:szCs w:val="21"/>
          <w:color w:val="auto"/>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spacing w:after="0" w:line="206" w:lineRule="exact"/>
        <w:rPr>
          <w:rFonts w:ascii="Times New Roman" w:cs="Times New Roman" w:eastAsia="Times New Roman" w:hAnsi="Times New Roman"/>
          <w:sz w:val="21"/>
          <w:szCs w:val="21"/>
          <w:color w:val="auto"/>
        </w:rPr>
      </w:pPr>
    </w:p>
    <w:p>
      <w:pPr>
        <w:ind w:left="328" w:right="60" w:hanging="328"/>
        <w:spacing w:after="0" w:line="233" w:lineRule="auto"/>
        <w:tabs>
          <w:tab w:leader="none" w:pos="32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Delays or Omissions</w:t>
      </w:r>
      <w:r>
        <w:rPr>
          <w:rFonts w:ascii="Times New Roman" w:cs="Times New Roman" w:eastAsia="Times New Roman" w:hAnsi="Times New Roman"/>
          <w:sz w:val="22"/>
          <w:szCs w:val="22"/>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208" w:lineRule="exact"/>
        <w:rPr>
          <w:rFonts w:ascii="Times New Roman" w:cs="Times New Roman" w:eastAsia="Times New Roman" w:hAnsi="Times New Roman"/>
          <w:sz w:val="22"/>
          <w:szCs w:val="22"/>
          <w:color w:val="auto"/>
        </w:rPr>
      </w:pPr>
    </w:p>
    <w:p>
      <w:pPr>
        <w:ind w:left="328" w:right="40" w:hanging="328"/>
        <w:spacing w:after="0" w:line="233" w:lineRule="auto"/>
        <w:tabs>
          <w:tab w:leader="none" w:pos="3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Special Employment Rights; No Right to Award</w:t>
      </w:r>
      <w:r>
        <w:rPr>
          <w:rFonts w:ascii="Times New Roman" w:cs="Times New Roman" w:eastAsia="Times New Roman" w:hAnsi="Times New Roman"/>
          <w:sz w:val="22"/>
          <w:szCs w:val="22"/>
          <w:color w:val="auto"/>
        </w:rPr>
        <w:t>. Nothing contained in the Plan or any Award shall confer upon the Participant any right with respect to the continuation of his Employment by or service to the Company or the Employer or interfere in any way with the right of the Company or the Employer at any time to terminate such Employment or service or to increase or decrease the compensation of the Participant from the rate in existence at the time of the grant of the RSUs. 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(ii) the loss or termination of his or her office or Employment with the Company or its Subsidiaries or Affiliates for any reason whatsoever; or (iii) whether or not the termination (and/or giving of notice) is ultimately held to be wrongful or unfair.</w:t>
      </w:r>
    </w:p>
    <w:p>
      <w:pPr>
        <w:spacing w:after="0" w:line="202"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b w:val="1"/>
          <w:bCs w:val="1"/>
          <w:color w:val="auto"/>
        </w:rPr>
        <w:t>.</w:t>
      </w:r>
    </w:p>
    <w:p>
      <w:pPr>
        <w:spacing w:after="0" w:line="231" w:lineRule="exact"/>
        <w:rPr>
          <w:sz w:val="20"/>
          <w:szCs w:val="20"/>
          <w:color w:val="auto"/>
        </w:rPr>
      </w:pPr>
    </w:p>
    <w:p>
      <w:pPr>
        <w:ind w:left="328" w:right="260" w:hanging="328"/>
        <w:spacing w:after="0" w:line="264" w:lineRule="auto"/>
        <w:tabs>
          <w:tab w:leader="none" w:pos="32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The Participant hereby acknowledges that he or she has been notified of the processing of the Participant’s personal data by or on behalf of the Company, the Employer and/</w:t>
      </w:r>
    </w:p>
    <w:p>
      <w:pPr>
        <w:sectPr>
          <w:pgSz w:w="11900" w:h="16838" w:orient="portrait"/>
          <w:cols w:equalWidth="0" w:num="1">
            <w:col w:w="10908"/>
          </w:cols>
          <w:pgMar w:left="652" w:top="1408" w:right="339" w:bottom="1440" w:gutter="0" w:footer="0" w:header="0"/>
        </w:sectPr>
      </w:pPr>
    </w:p>
    <w:bookmarkStart w:id="60" w:name="page61"/>
    <w:bookmarkEnd w:id="60"/>
    <w:p>
      <w:pPr>
        <w:ind w:left="328" w:right="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or any Subsidiary or Affiliates as described in this Agreement and any other Award grant materials (the “</w:t>
      </w:r>
      <w:r>
        <w:rPr>
          <w:rFonts w:ascii="Times New Roman" w:cs="Times New Roman" w:eastAsia="Times New Roman" w:hAnsi="Times New Roman"/>
          <w:sz w:val="22"/>
          <w:szCs w:val="22"/>
          <w:b w:val="1"/>
          <w:bCs w:val="1"/>
          <w:i w:val="1"/>
          <w:iCs w:val="1"/>
          <w:u w:val="single" w:color="auto"/>
          <w:color w:val="auto"/>
        </w:rPr>
        <w:t>Personal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and, if employed by a European and/or UK affiliate of the Company, has received a Privacy Notice provided by or on behalf of the Employer explaining how his/her Personal Data has been collected and will be used including for the purposes of the grant of Awards. Where applicable for other Participants based outside Europe and/or the UK, the Participant hereby consents to the processing of his/her Personal Data as described in this Agreement and any other Award grant materials. As regards the processing of the Participant’s Personal Data in connection with the Plan and this Agreement, the Participant understands that the Company is the data controller of the Participant’s Personal Data (as defined under applicable European/UK data protection laws).</w:t>
      </w:r>
    </w:p>
    <w:p>
      <w:pPr>
        <w:spacing w:after="0" w:line="200" w:lineRule="exact"/>
        <w:rPr>
          <w:sz w:val="20"/>
          <w:szCs w:val="20"/>
          <w:color w:val="auto"/>
        </w:rPr>
      </w:pPr>
    </w:p>
    <w:p>
      <w:pPr>
        <w:ind w:left="328" w:hanging="328"/>
        <w:spacing w:after="0" w:line="233" w:lineRule="auto"/>
        <w:tabs>
          <w:tab w:leader="none" w:pos="323" w:val="left"/>
        </w:tabs>
        <w:numPr>
          <w:ilvl w:val="0"/>
          <w:numId w:val="2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Processing and Legal Basis</w:t>
      </w:r>
      <w:r>
        <w:rPr>
          <w:rFonts w:ascii="Times New Roman" w:cs="Times New Roman" w:eastAsia="Times New Roman" w:hAnsi="Times New Roman"/>
          <w:sz w:val="22"/>
          <w:szCs w:val="22"/>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or Affiliates, details of all Awards or any other entitlement to shares of stock or equivalent benefits awarded, canceled, exercised, vested, unvested or outstanding in the Participant’s favor. The legal basis for the processing of the Participant’s Personal Data is to comply with the Company’s contractual obligations to the Participant and also to comply with its legal obligations as set out in the Privacy Notice. Where applicable for Participants employed outside Europe/the UK, the Participants hereby consent to the use of the Personal Data for these purposes.</w:t>
      </w:r>
    </w:p>
    <w:p>
      <w:pPr>
        <w:spacing w:after="0" w:line="200" w:lineRule="exact"/>
        <w:rPr>
          <w:rFonts w:ascii="Times New Roman" w:cs="Times New Roman" w:eastAsia="Times New Roman" w:hAnsi="Times New Roman"/>
          <w:sz w:val="22"/>
          <w:szCs w:val="22"/>
          <w:b w:val="1"/>
          <w:bCs w:val="1"/>
          <w:i w:val="1"/>
          <w:iCs w:val="1"/>
          <w:color w:val="auto"/>
        </w:rPr>
      </w:pPr>
    </w:p>
    <w:p>
      <w:pPr>
        <w:ind w:left="328" w:right="80" w:hanging="328"/>
        <w:spacing w:after="0" w:line="233" w:lineRule="auto"/>
        <w:tabs>
          <w:tab w:leader="none" w:pos="325" w:val="left"/>
        </w:tabs>
        <w:numPr>
          <w:ilvl w:val="0"/>
          <w:numId w:val="28"/>
        </w:numPr>
        <w:rPr>
          <w:rFonts w:ascii="Times New Roman" w:cs="Times New Roman" w:eastAsia="Times New Roman" w:hAnsi="Times New Roman"/>
          <w:sz w:val="22"/>
          <w:szCs w:val="22"/>
          <w:b w:val="1"/>
          <w:bCs w:val="1"/>
          <w:i w:val="1"/>
          <w:iCs w:val="1"/>
          <w:u w:val="single" w:color="auto"/>
          <w:color w:val="auto"/>
        </w:rPr>
      </w:pP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The Participant understands that the Company transfers the Participant’s Personal Data, or parts thereof, to Morgan Stanley Smith Barney (and its affiliated companies), an independent service provider based in the United States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206" w:lineRule="exact"/>
        <w:rPr>
          <w:rFonts w:ascii="Times New Roman" w:cs="Times New Roman" w:eastAsia="Times New Roman" w:hAnsi="Times New Roman"/>
          <w:sz w:val="22"/>
          <w:szCs w:val="22"/>
          <w:b w:val="1"/>
          <w:bCs w:val="1"/>
          <w:i w:val="1"/>
          <w:iCs w:val="1"/>
          <w:u w:val="single" w:color="auto"/>
          <w:color w:val="auto"/>
        </w:rPr>
      </w:pPr>
    </w:p>
    <w:p>
      <w:pPr>
        <w:ind w:left="328" w:right="60" w:hanging="328"/>
        <w:spacing w:after="0" w:line="237" w:lineRule="auto"/>
        <w:tabs>
          <w:tab w:leader="none" w:pos="323" w:val="left"/>
        </w:tabs>
        <w:numPr>
          <w:ilvl w:val="0"/>
          <w:numId w:val="28"/>
        </w:numPr>
        <w:rPr>
          <w:rFonts w:ascii="Times New Roman" w:cs="Times New Roman" w:eastAsia="Times New Roman" w:hAnsi="Times New Roman"/>
          <w:sz w:val="22"/>
          <w:szCs w:val="22"/>
          <w:b w:val="1"/>
          <w:bCs w:val="1"/>
          <w:i w:val="1"/>
          <w:iCs w:val="1"/>
          <w:u w:val="single" w:color="auto"/>
          <w:color w:val="auto"/>
        </w:rPr>
      </w:pPr>
      <w:r>
        <w:rPr>
          <w:rFonts w:ascii="Times New Roman" w:cs="Times New Roman" w:eastAsia="Times New Roman" w:hAnsi="Times New Roman"/>
          <w:sz w:val="22"/>
          <w:szCs w:val="22"/>
          <w:b w:val="1"/>
          <w:bCs w:val="1"/>
          <w:i w:val="1"/>
          <w:iCs w:val="1"/>
          <w:u w:val="single" w:color="auto"/>
          <w:color w:val="auto"/>
        </w:rPr>
        <w:t>International Data Transfers.</w:t>
      </w:r>
      <w:r>
        <w:rPr>
          <w:rFonts w:ascii="Times New Roman" w:cs="Times New Roman" w:eastAsia="Times New Roman" w:hAnsi="Times New Roman"/>
          <w:sz w:val="22"/>
          <w:szCs w:val="22"/>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The Participant acknowledges that the Personal Data may be transferred to recipients in the member</w:t>
      </w:r>
    </w:p>
    <w:p>
      <w:pPr>
        <w:sectPr>
          <w:pgSz w:w="11900" w:h="16838" w:orient="portrait"/>
          <w:cols w:equalWidth="0" w:num="1">
            <w:col w:w="10888"/>
          </w:cols>
          <w:pgMar w:left="652" w:top="1402" w:right="359" w:bottom="1440" w:gutter="0" w:footer="0" w:header="0"/>
        </w:sectPr>
      </w:pPr>
    </w:p>
    <w:bookmarkStart w:id="61" w:name="page62"/>
    <w:bookmarkEnd w:id="61"/>
    <w:p>
      <w:pPr>
        <w:ind w:left="328" w:right="6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states of the European Economic Area, the UK and other countries that may not be deemed to have “adequate” data protection laws, such as the United States, which has less stringent data privacy laws and protections than those in the country of the Participant’s residence. Further, the Participant acknowledges and understands that the transfer of the Personal Data to the Company, or to any third parties, is necessary for the Participant’s participation in the Plan. The Company’s legal basis for the transfer of the Participant’s Personal Data is to comply with the Company’s contractual obligations to the Participant.</w:t>
      </w:r>
    </w:p>
    <w:p>
      <w:pPr>
        <w:spacing w:after="0" w:line="189" w:lineRule="exact"/>
        <w:rPr>
          <w:sz w:val="20"/>
          <w:szCs w:val="20"/>
          <w:color w:val="auto"/>
        </w:rPr>
      </w:pPr>
    </w:p>
    <w:p>
      <w:pPr>
        <w:ind w:left="328" w:right="20" w:hanging="328"/>
        <w:spacing w:after="0" w:line="249" w:lineRule="auto"/>
        <w:tabs>
          <w:tab w:leader="none" w:pos="325" w:val="left"/>
        </w:tabs>
        <w:numPr>
          <w:ilvl w:val="0"/>
          <w:numId w:val="29"/>
        </w:numPr>
        <w:rPr>
          <w:rFonts w:ascii="Times New Roman" w:cs="Times New Roman" w:eastAsia="Times New Roman" w:hAnsi="Times New Roman"/>
          <w:sz w:val="21"/>
          <w:szCs w:val="21"/>
          <w:b w:val="1"/>
          <w:bCs w:val="1"/>
          <w:i w:val="1"/>
          <w:iCs w:val="1"/>
          <w:u w:val="single" w:color="auto"/>
          <w:color w:val="auto"/>
        </w:rPr>
      </w:pPr>
      <w:r>
        <w:rPr>
          <w:rFonts w:ascii="Times New Roman" w:cs="Times New Roman" w:eastAsia="Times New Roman" w:hAnsi="Times New Roman"/>
          <w:sz w:val="21"/>
          <w:szCs w:val="21"/>
          <w:b w:val="1"/>
          <w:bCs w:val="1"/>
          <w:i w:val="1"/>
          <w:iCs w:val="1"/>
          <w:u w:val="single" w:color="auto"/>
          <w:color w:val="auto"/>
        </w:rPr>
        <w:t>Data Retention.</w:t>
      </w:r>
      <w:r>
        <w:rPr>
          <w:rFonts w:ascii="Times New Roman" w:cs="Times New Roman" w:eastAsia="Times New Roman" w:hAnsi="Times New Roman"/>
          <w:sz w:val="21"/>
          <w:szCs w:val="21"/>
          <w:b w:val="1"/>
          <w:bCs w:val="1"/>
          <w:i w:val="1"/>
          <w:iCs w:val="1"/>
          <w:color w:val="auto"/>
        </w:rPr>
        <w:t xml:space="preserve"> The Participant understands that the Company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Company’s legal basis for the processing of the Participant’s Personal Data would be compliance with the relevant laws or regulations or the pursuit by the Company of respective legitimate interests not outweighed by the Participant’s interests, rights or freedoms. When the Company no longer needs the Participant’s Personal Data for any of the above purposes, the Participant understands the Company will remove it from its systems.</w:t>
      </w:r>
    </w:p>
    <w:p>
      <w:pPr>
        <w:spacing w:after="0" w:line="190" w:lineRule="exact"/>
        <w:rPr>
          <w:rFonts w:ascii="Times New Roman" w:cs="Times New Roman" w:eastAsia="Times New Roman" w:hAnsi="Times New Roman"/>
          <w:sz w:val="21"/>
          <w:szCs w:val="21"/>
          <w:b w:val="1"/>
          <w:bCs w:val="1"/>
          <w:i w:val="1"/>
          <w:iCs w:val="1"/>
          <w:u w:val="single" w:color="auto"/>
          <w:color w:val="auto"/>
        </w:rPr>
      </w:pPr>
    </w:p>
    <w:p>
      <w:pPr>
        <w:ind w:left="328" w:hanging="328"/>
        <w:spacing w:after="0" w:line="231" w:lineRule="auto"/>
        <w:tabs>
          <w:tab w:leader="none" w:pos="328" w:val="left"/>
        </w:tabs>
        <w:numPr>
          <w:ilvl w:val="0"/>
          <w:numId w:val="29"/>
        </w:numPr>
        <w:rPr>
          <w:rFonts w:ascii="Times New Roman" w:cs="Times New Roman" w:eastAsia="Times New Roman" w:hAnsi="Times New Roman"/>
          <w:sz w:val="22"/>
          <w:szCs w:val="22"/>
          <w:b w:val="1"/>
          <w:bCs w:val="1"/>
          <w:i w:val="1"/>
          <w:iCs w:val="1"/>
          <w:u w:val="single" w:color="auto"/>
          <w:color w:val="auto"/>
        </w:rPr>
      </w:pPr>
      <w:r>
        <w:rPr>
          <w:rFonts w:ascii="Times New Roman" w:cs="Times New Roman" w:eastAsia="Times New Roman" w:hAnsi="Times New Roman"/>
          <w:sz w:val="22"/>
          <w:szCs w:val="22"/>
          <w:b w:val="1"/>
          <w:bCs w:val="1"/>
          <w:i w:val="1"/>
          <w:iCs w:val="1"/>
          <w:u w:val="single" w:color="auto"/>
          <w:color w:val="auto"/>
        </w:rPr>
        <w:t>Data Subject Rights.</w:t>
      </w:r>
      <w:r>
        <w:rPr>
          <w:rFonts w:ascii="Times New Roman" w:cs="Times New Roman" w:eastAsia="Times New Roman" w:hAnsi="Times New Roman"/>
          <w:sz w:val="22"/>
          <w:szCs w:val="22"/>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and is carried out by automated means. The Participant further acknowledges that the exercise of such rights are subject to the limitations and exemptions under applicable data protection laws and that any request to restrict or delete the Personal Data may affect the Participant’s ability to exercise or realize benefits from the Award, and the Participant’s ability to participate in the Plan. In case of concerns, the Participant understands that the Participant may also have the right to lodge a complaint with the competent local data protection authority. To exercise these rights, the Participant may contact the Company’s Data Privacy Officer.</w:t>
      </w:r>
    </w:p>
    <w:p>
      <w:pPr>
        <w:sectPr>
          <w:pgSz w:w="11900" w:h="16838" w:orient="portrait"/>
          <w:cols w:equalWidth="0" w:num="1">
            <w:col w:w="10888"/>
          </w:cols>
          <w:pgMar w:left="652" w:top="1402" w:right="359" w:bottom="1440" w:gutter="0" w:footer="0" w:header="0"/>
        </w:sectPr>
      </w:pPr>
    </w:p>
    <w:bookmarkStart w:id="62" w:name="page63"/>
    <w:bookmarkEnd w:id="62"/>
    <w:p>
      <w:pPr>
        <w:spacing w:after="0" w:line="212" w:lineRule="exact"/>
        <w:rPr>
          <w:sz w:val="20"/>
          <w:szCs w:val="20"/>
          <w:color w:val="auto"/>
        </w:rPr>
      </w:pPr>
    </w:p>
    <w:p>
      <w:pPr>
        <w:ind w:left="328" w:right="240" w:hanging="328"/>
        <w:spacing w:after="0" w:line="238" w:lineRule="auto"/>
        <w:tabs>
          <w:tab w:leader="none" w:pos="328"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spacing w:after="0" w:line="203" w:lineRule="exact"/>
        <w:rPr>
          <w:rFonts w:ascii="Times New Roman" w:cs="Times New Roman" w:eastAsia="Times New Roman" w:hAnsi="Times New Roman"/>
          <w:sz w:val="22"/>
          <w:szCs w:val="22"/>
          <w:u w:val="single" w:color="auto"/>
          <w:color w:val="auto"/>
        </w:rPr>
      </w:pPr>
    </w:p>
    <w:p>
      <w:pPr>
        <w:ind w:left="328" w:right="40" w:hanging="328"/>
        <w:spacing w:after="0" w:line="232" w:lineRule="auto"/>
        <w:tabs>
          <w:tab w:leader="none" w:pos="328"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Notwithstanding anything in the Plan to the contrary, the Company or any of its Subsidiaries or Affiliates will be entitled (i) to recoup compensation of whatever kind paid to a Participant under the Plan by the Company or any of its Subsidiaries or Affiliates at any time to the extent permitted or required by applicable law, Company policy, including but not limited to the Sabre Corporation Clawback Policy, and/or the requirements of an exchange on which the Company’s shares of Common Stock are listed for trading, in each case, as in effect from time to time, and (ii) to cancel all or any portion of the RSUs (whether vested or unvested) and/or require repayment of any sums (including, in the case of shares of Common Stock, the value of such shares) or amounts which were received by the Participant in respect of the RSUs in the event the Company believes in good faith that the Participant has breached any existing protective covenants, including but not limited to confidentiality, non-solicitation, non-interference, or non-competition agreements with the Company or any of its Subsidiaries or Affiliates, and by accepting the RSUs pursuant to the Plan and this Agreement, Participant authorizes such clawback and agrees to comply and cooperate with any Company request or demand for such recoupment.</w:t>
      </w:r>
    </w:p>
    <w:p>
      <w:pPr>
        <w:spacing w:after="0" w:line="197" w:lineRule="exact"/>
        <w:rPr>
          <w:rFonts w:ascii="Times New Roman" w:cs="Times New Roman" w:eastAsia="Times New Roman" w:hAnsi="Times New Roman"/>
          <w:sz w:val="22"/>
          <w:szCs w:val="22"/>
          <w:u w:val="single" w:color="auto"/>
          <w:color w:val="auto"/>
        </w:rPr>
      </w:pPr>
    </w:p>
    <w:p>
      <w:pPr>
        <w:ind w:left="328" w:hanging="328"/>
        <w:spacing w:after="0" w:line="243" w:lineRule="auto"/>
        <w:tabs>
          <w:tab w:leader="none" w:pos="328" w:val="left"/>
        </w:tabs>
        <w:numPr>
          <w:ilvl w:val="0"/>
          <w:numId w:val="3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Policy Against Insider Trading</w:t>
      </w:r>
      <w:r>
        <w:rPr>
          <w:rFonts w:ascii="Times New Roman" w:cs="Times New Roman" w:eastAsia="Times New Roman" w:hAnsi="Times New Roman"/>
          <w:sz w:val="21"/>
          <w:szCs w:val="21"/>
          <w:color w:val="auto"/>
        </w:rPr>
        <w:t>. By accepting this grant of RSUs, the Participant acknowledges that the Participant is bound by all the terms and conditions of the Company’s insider trading policy as may be in effect from time to time. The Participant further acknowledges that the Participant may be subject to insider trading restrictions and/or market abuse laws based on the exchange on which the shares of Common Stock are listed and in applicable jurisdictions, including the United States, the Participant’s country and the designated broker’s country, which may affect the Participant’s ability to accept, acquire, sell or otherwise dispose of shares of Common Stock, rights to shares of Common Stock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RSUs) or rights linked to the value of shares of Common Stock under the Plan during such times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The Participant acknowledges that it is the Participant’s responsibility to comply with any applicable restrictions, and the Participant should speak to his or her personal advisor on this matter.</w:t>
      </w:r>
    </w:p>
    <w:p>
      <w:pPr>
        <w:sectPr>
          <w:pgSz w:w="11900" w:h="16838" w:orient="portrait"/>
          <w:cols w:equalWidth="0" w:num="1">
            <w:col w:w="10868"/>
          </w:cols>
          <w:pgMar w:left="652" w:top="1440" w:right="379" w:bottom="1440" w:gutter="0" w:footer="0" w:header="0"/>
        </w:sectPr>
      </w:pPr>
    </w:p>
    <w:bookmarkStart w:id="63" w:name="page64"/>
    <w:bookmarkEnd w:id="63"/>
    <w:p>
      <w:pPr>
        <w:ind w:left="328" w:hanging="328"/>
        <w:spacing w:after="0" w:line="233" w:lineRule="auto"/>
        <w:tabs>
          <w:tab w:leader="none" w:pos="328"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Foreign Asset/Account, Exchange Control and Tax Reporting</w:t>
      </w:r>
      <w:r>
        <w:rPr>
          <w:rFonts w:ascii="Times New Roman" w:cs="Times New Roman" w:eastAsia="Times New Roman" w:hAnsi="Times New Roman"/>
          <w:sz w:val="22"/>
          <w:szCs w:val="22"/>
          <w:color w:val="auto"/>
        </w:rPr>
        <w:t>. The Participant may be subject to foreign asset/account, exchange control and/or tax reporting requirements as a result of the acquisition, holding and/or transfer of shares of Common Stock or cash (including dividends and the proceeds arising from the sale of shares of Common Stock) derived from his or her participation in the Plan, to and/or from a brokerage/bank account or legal entity located outside the Participant’s country. The applicable laws of the Participant’s country may require that he or she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should consult his or her personal legal advisor on this matter.</w:t>
      </w:r>
    </w:p>
    <w:p>
      <w:pPr>
        <w:spacing w:after="0" w:line="206" w:lineRule="exact"/>
        <w:rPr>
          <w:rFonts w:ascii="Times New Roman" w:cs="Times New Roman" w:eastAsia="Times New Roman" w:hAnsi="Times New Roman"/>
          <w:sz w:val="22"/>
          <w:szCs w:val="22"/>
          <w:u w:val="single" w:color="auto"/>
          <w:color w:val="auto"/>
        </w:rPr>
      </w:pPr>
    </w:p>
    <w:p>
      <w:pPr>
        <w:ind w:left="328" w:right="200" w:hanging="328"/>
        <w:spacing w:after="0" w:line="258" w:lineRule="auto"/>
        <w:tabs>
          <w:tab w:leader="none" w:pos="328"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shall constitute one and the same instrument.</w:t>
      </w:r>
    </w:p>
    <w:p>
      <w:pPr>
        <w:spacing w:after="0" w:line="185" w:lineRule="exact"/>
        <w:rPr>
          <w:rFonts w:ascii="Times New Roman" w:cs="Times New Roman" w:eastAsia="Times New Roman" w:hAnsi="Times New Roman"/>
          <w:sz w:val="22"/>
          <w:szCs w:val="22"/>
          <w:u w:val="single" w:color="auto"/>
          <w:color w:val="auto"/>
        </w:rPr>
      </w:pPr>
    </w:p>
    <w:p>
      <w:pPr>
        <w:ind w:left="328" w:right="420" w:hanging="328"/>
        <w:spacing w:after="0" w:line="258" w:lineRule="auto"/>
        <w:tabs>
          <w:tab w:leader="none" w:pos="328"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 the State of Delaware without regard to the provisions governing conflict of laws.</w:t>
      </w:r>
    </w:p>
    <w:p>
      <w:pPr>
        <w:spacing w:after="0" w:line="185" w:lineRule="exact"/>
        <w:rPr>
          <w:rFonts w:ascii="Times New Roman" w:cs="Times New Roman" w:eastAsia="Times New Roman" w:hAnsi="Times New Roman"/>
          <w:sz w:val="22"/>
          <w:szCs w:val="22"/>
          <w:u w:val="single" w:color="auto"/>
          <w:color w:val="auto"/>
        </w:rPr>
      </w:pPr>
    </w:p>
    <w:p>
      <w:pPr>
        <w:ind w:left="328" w:right="120" w:hanging="328"/>
        <w:spacing w:after="0" w:line="235" w:lineRule="auto"/>
        <w:tabs>
          <w:tab w:leader="none" w:pos="328"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For purposes of litigating any dispute that arises directly or indirectly from the relationship of the parties evidenced by this Award and this Agreement, the parties hereby submit to and consent to the exclusive jurisdiction of the State of Texas and agree that such litigation shall be conducted only in the courts of Tarrant County, Texas, or the federal courts for the Northern District of Texas, and no other courts where the grant of this Award is made and/or to be performed.</w:t>
      </w:r>
    </w:p>
    <w:p>
      <w:pPr>
        <w:spacing w:after="0" w:line="205" w:lineRule="exact"/>
        <w:rPr>
          <w:rFonts w:ascii="Times New Roman" w:cs="Times New Roman" w:eastAsia="Times New Roman" w:hAnsi="Times New Roman"/>
          <w:sz w:val="22"/>
          <w:szCs w:val="22"/>
          <w:u w:val="single" w:color="auto"/>
          <w:color w:val="auto"/>
        </w:rPr>
      </w:pPr>
    </w:p>
    <w:p>
      <w:pPr>
        <w:ind w:left="328" w:hanging="328"/>
        <w:spacing w:after="0"/>
        <w:tabs>
          <w:tab w:leader="none" w:pos="328"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RSUs, the Participant acknowledges, understands and agrees that:</w:t>
      </w:r>
    </w:p>
    <w:p>
      <w:pPr>
        <w:spacing w:after="0" w:line="233" w:lineRule="exact"/>
        <w:rPr>
          <w:sz w:val="20"/>
          <w:szCs w:val="20"/>
          <w:color w:val="auto"/>
        </w:rPr>
      </w:pPr>
    </w:p>
    <w:p>
      <w:pPr>
        <w:ind w:left="328" w:right="600" w:hanging="328"/>
        <w:spacing w:after="0" w:line="258" w:lineRule="auto"/>
        <w:tabs>
          <w:tab w:leader="none" w:pos="3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may be amended, suspended or terminated by the Company at any time, to the extent permitted by the Plan;</w:t>
      </w:r>
    </w:p>
    <w:p>
      <w:pPr>
        <w:spacing w:after="0" w:line="185" w:lineRule="exact"/>
        <w:rPr>
          <w:rFonts w:ascii="Times New Roman" w:cs="Times New Roman" w:eastAsia="Times New Roman" w:hAnsi="Times New Roman"/>
          <w:sz w:val="22"/>
          <w:szCs w:val="22"/>
          <w:color w:val="auto"/>
        </w:rPr>
      </w:pPr>
    </w:p>
    <w:p>
      <w:pPr>
        <w:ind w:left="328" w:right="20" w:hanging="328"/>
        <w:spacing w:after="0" w:line="258" w:lineRule="auto"/>
        <w:tabs>
          <w:tab w:leader="none" w:pos="32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85"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RSU or other grants, if any, will be at the sole discretion of the Company;</w:t>
      </w:r>
    </w:p>
    <w:p>
      <w:pPr>
        <w:spacing w:after="0" w:line="233"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spacing w:after="0" w:line="233" w:lineRule="exact"/>
        <w:rPr>
          <w:rFonts w:ascii="Times New Roman" w:cs="Times New Roman" w:eastAsia="Times New Roman" w:hAnsi="Times New Roman"/>
          <w:sz w:val="22"/>
          <w:szCs w:val="22"/>
          <w:color w:val="auto"/>
        </w:rPr>
      </w:pPr>
    </w:p>
    <w:p>
      <w:pPr>
        <w:ind w:left="328" w:right="160" w:hanging="328"/>
        <w:spacing w:after="0" w:line="258" w:lineRule="auto"/>
        <w:tabs>
          <w:tab w:leader="none" w:pos="3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any shares of Common Stock acquired under the Plan, and the income from and value of the same, are not intended to replace any pension rights or compensation;</w:t>
      </w:r>
    </w:p>
    <w:p>
      <w:pPr>
        <w:sectPr>
          <w:pgSz w:w="11900" w:h="16838" w:orient="portrait"/>
          <w:cols w:equalWidth="0" w:num="1">
            <w:col w:w="10908"/>
          </w:cols>
          <w:pgMar w:left="652" w:top="1408" w:right="339" w:bottom="1440" w:gutter="0" w:footer="0" w:header="0"/>
        </w:sectPr>
      </w:pPr>
    </w:p>
    <w:bookmarkStart w:id="64" w:name="page65"/>
    <w:bookmarkEnd w:id="64"/>
    <w:p>
      <w:pPr>
        <w:ind w:left="328" w:right="20" w:hanging="328"/>
        <w:spacing w:after="0" w:line="239" w:lineRule="auto"/>
        <w:tabs>
          <w:tab w:leader="none" w:pos="32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any shares of Common Stock acquired under the Plan,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w:t>
      </w:r>
    </w:p>
    <w:p>
      <w:pPr>
        <w:spacing w:after="0" w:line="207" w:lineRule="exact"/>
        <w:rPr>
          <w:rFonts w:ascii="Times New Roman" w:cs="Times New Roman" w:eastAsia="Times New Roman" w:hAnsi="Times New Roman"/>
          <w:sz w:val="22"/>
          <w:szCs w:val="22"/>
          <w:color w:val="auto"/>
        </w:rPr>
      </w:pPr>
    </w:p>
    <w:p>
      <w:pPr>
        <w:ind w:left="328" w:right="760" w:hanging="328"/>
        <w:spacing w:after="0" w:line="258" w:lineRule="auto"/>
        <w:tabs>
          <w:tab w:leader="none" w:pos="32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of Common Stock underlying the RSUs is unknown, indeterminable, and cannot be predicted with certainty;</w:t>
      </w:r>
    </w:p>
    <w:p>
      <w:pPr>
        <w:spacing w:after="0" w:line="171" w:lineRule="exact"/>
        <w:rPr>
          <w:rFonts w:ascii="Times New Roman" w:cs="Times New Roman" w:eastAsia="Times New Roman" w:hAnsi="Times New Roman"/>
          <w:sz w:val="22"/>
          <w:szCs w:val="22"/>
          <w:color w:val="auto"/>
        </w:rPr>
      </w:pPr>
    </w:p>
    <w:p>
      <w:pPr>
        <w:ind w:left="328" w:hanging="328"/>
        <w:spacing w:after="0" w:line="238" w:lineRule="auto"/>
        <w:tabs>
          <w:tab w:leader="none" w:pos="32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(i) forfeiture of the RSUs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or (ii) or the application of any clawback or compensation recovery policy as described in Section 14 above;</w:t>
      </w:r>
    </w:p>
    <w:p>
      <w:pPr>
        <w:spacing w:after="0" w:line="203" w:lineRule="exact"/>
        <w:rPr>
          <w:rFonts w:ascii="Times New Roman" w:cs="Times New Roman" w:eastAsia="Times New Roman" w:hAnsi="Times New Roman"/>
          <w:sz w:val="22"/>
          <w:szCs w:val="22"/>
          <w:color w:val="auto"/>
        </w:rPr>
      </w:pPr>
    </w:p>
    <w:p>
      <w:pPr>
        <w:ind w:left="328" w:right="20" w:hanging="328"/>
        <w:spacing w:after="0" w:line="244" w:lineRule="auto"/>
        <w:tabs>
          <w:tab w:leader="none" w:pos="3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RSUs, the Participant’s Employment or service relationship will be considered terminated as of the date the Participant is no longer actively providing services to the Company, the Employer, or any of the Subsidiaries or Affiliates of the Company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Agreement or determined by the Company, the Participant’s right to vest in the RSUs under the Plan, if any, will terminate as of such date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Participant’s period of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his or her RSU grant (including whether the Participant may still be considered to be providing services while on a leave of absence);</w:t>
      </w:r>
    </w:p>
    <w:p>
      <w:pPr>
        <w:spacing w:after="0" w:line="201" w:lineRule="exact"/>
        <w:rPr>
          <w:rFonts w:ascii="Times New Roman" w:cs="Times New Roman" w:eastAsia="Times New Roman" w:hAnsi="Times New Roman"/>
          <w:sz w:val="21"/>
          <w:szCs w:val="21"/>
          <w:color w:val="auto"/>
        </w:rPr>
      </w:pPr>
    </w:p>
    <w:p>
      <w:pPr>
        <w:jc w:val="both"/>
        <w:ind w:left="328" w:right="280" w:hanging="328"/>
        <w:spacing w:after="0" w:line="239" w:lineRule="auto"/>
        <w:tabs>
          <w:tab w:leader="none" w:pos="31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of the Company;</w:t>
      </w:r>
    </w:p>
    <w:p>
      <w:pPr>
        <w:spacing w:after="0" w:line="207" w:lineRule="exact"/>
        <w:rPr>
          <w:rFonts w:ascii="Times New Roman" w:cs="Times New Roman" w:eastAsia="Times New Roman" w:hAnsi="Times New Roman"/>
          <w:sz w:val="22"/>
          <w:szCs w:val="22"/>
          <w:color w:val="auto"/>
        </w:rPr>
      </w:pPr>
    </w:p>
    <w:p>
      <w:pPr>
        <w:ind w:left="328" w:right="160" w:hanging="328"/>
        <w:spacing w:after="0" w:line="238" w:lineRule="auto"/>
        <w:tabs>
          <w:tab w:leader="none" w:pos="32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RSUs and any shares of Common Stock acquired under the Plan and the income from and value of same, are not granted as consideration for, or in connection with, the service the Participant may provide as a director of a Subsidiary or Affiliate; and</w:t>
      </w:r>
    </w:p>
    <w:p>
      <w:pPr>
        <w:spacing w:after="0" w:line="205" w:lineRule="exact"/>
        <w:rPr>
          <w:rFonts w:ascii="Times New Roman" w:cs="Times New Roman" w:eastAsia="Times New Roman" w:hAnsi="Times New Roman"/>
          <w:sz w:val="22"/>
          <w:szCs w:val="22"/>
          <w:color w:val="auto"/>
        </w:rPr>
      </w:pPr>
    </w:p>
    <w:p>
      <w:pPr>
        <w:ind w:left="308" w:hanging="308"/>
        <w:spacing w:after="0"/>
        <w:tabs>
          <w:tab w:leader="none" w:pos="30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the Participant is providing services outside the United States:</w:t>
      </w:r>
    </w:p>
    <w:p>
      <w:pPr>
        <w:sectPr>
          <w:pgSz w:w="11900" w:h="16838" w:orient="portrait"/>
          <w:cols w:equalWidth="0" w:num="1">
            <w:col w:w="10848"/>
          </w:cols>
          <w:pgMar w:left="652" w:top="1408" w:right="399" w:bottom="1440" w:gutter="0" w:footer="0" w:header="0"/>
        </w:sectPr>
      </w:pPr>
    </w:p>
    <w:bookmarkStart w:id="65" w:name="page66"/>
    <w:bookmarkEnd w:id="65"/>
    <w:p>
      <w:pPr>
        <w:ind w:left="968" w:right="220" w:firstLine="4"/>
        <w:spacing w:after="0" w:line="258" w:lineRule="auto"/>
        <w:tabs>
          <w:tab w:leader="none" w:pos="161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of Common Stock subject to the RSUs, and the income from and value of same, are not part of normal or expected compensation or salary for any purpose; and</w:t>
      </w:r>
    </w:p>
    <w:p>
      <w:pPr>
        <w:spacing w:after="0" w:line="185" w:lineRule="exact"/>
        <w:rPr>
          <w:rFonts w:ascii="Times New Roman" w:cs="Times New Roman" w:eastAsia="Times New Roman" w:hAnsi="Times New Roman"/>
          <w:sz w:val="22"/>
          <w:szCs w:val="22"/>
          <w:color w:val="auto"/>
        </w:rPr>
      </w:pPr>
    </w:p>
    <w:p>
      <w:pPr>
        <w:ind w:left="968" w:right="20" w:firstLine="4"/>
        <w:spacing w:after="0" w:line="239" w:lineRule="auto"/>
        <w:tabs>
          <w:tab w:leader="none" w:pos="161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Subsidiary or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of Common Stock acquired upon settlement.</w:t>
      </w:r>
    </w:p>
    <w:p>
      <w:pPr>
        <w:spacing w:after="0" w:line="193" w:lineRule="exact"/>
        <w:rPr>
          <w:rFonts w:ascii="Times New Roman" w:cs="Times New Roman" w:eastAsia="Times New Roman" w:hAnsi="Times New Roman"/>
          <w:sz w:val="22"/>
          <w:szCs w:val="22"/>
          <w:color w:val="auto"/>
        </w:rPr>
      </w:pPr>
    </w:p>
    <w:p>
      <w:pPr>
        <w:ind w:left="328" w:hanging="328"/>
        <w:spacing w:after="0" w:line="239" w:lineRule="auto"/>
        <w:tabs>
          <w:tab w:leader="none" w:pos="328"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Participant’s participation in the Plan, or the Participant’s acquisition or sale of the underlying shares of Common Stock. The Participant should consult with his or her own personal tax, legal and financial advisors regarding his or her participation in the Plan before taking any action related to the Plan.</w:t>
      </w:r>
    </w:p>
    <w:p>
      <w:pPr>
        <w:spacing w:after="0" w:line="207" w:lineRule="exact"/>
        <w:rPr>
          <w:rFonts w:ascii="Times New Roman" w:cs="Times New Roman" w:eastAsia="Times New Roman" w:hAnsi="Times New Roman"/>
          <w:sz w:val="22"/>
          <w:szCs w:val="22"/>
          <w:u w:val="single" w:color="auto"/>
          <w:color w:val="auto"/>
        </w:rPr>
      </w:pPr>
    </w:p>
    <w:p>
      <w:pPr>
        <w:ind w:left="328" w:hanging="328"/>
        <w:spacing w:after="0" w:line="232" w:lineRule="auto"/>
        <w:tabs>
          <w:tab w:leader="none" w:pos="328"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vesting/settlement of the RSUs prior to the completion of any registration or qualification of the shares of Common Stock under any local, state, federal or foreign securities or exchange control law or under rulings or regulations of the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of Common Stock with the SEC or any state or foreign securities commission or to seek approval or clearance from any governmental authority for the issuance or sale of the shares of Common Stock. Further, the Participant agrees that the Company shall have unilateral authority to amend the Plan and the Agreement without the Participant’s consent to the extent necessary to comply with securities or other laws applicable to issuance of shares of Common Stock.</w:t>
      </w:r>
    </w:p>
    <w:p>
      <w:pPr>
        <w:spacing w:after="0" w:line="209" w:lineRule="exact"/>
        <w:rPr>
          <w:rFonts w:ascii="Times New Roman" w:cs="Times New Roman" w:eastAsia="Times New Roman" w:hAnsi="Times New Roman"/>
          <w:sz w:val="22"/>
          <w:szCs w:val="22"/>
          <w:u w:val="single" w:color="auto"/>
          <w:color w:val="auto"/>
        </w:rPr>
      </w:pPr>
    </w:p>
    <w:p>
      <w:pPr>
        <w:ind w:left="328" w:right="60" w:hanging="328"/>
        <w:spacing w:after="0" w:line="239" w:lineRule="auto"/>
        <w:tabs>
          <w:tab w:leader="none" w:pos="328"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93" w:lineRule="exact"/>
        <w:rPr>
          <w:rFonts w:ascii="Times New Roman" w:cs="Times New Roman" w:eastAsia="Times New Roman" w:hAnsi="Times New Roman"/>
          <w:sz w:val="22"/>
          <w:szCs w:val="22"/>
          <w:u w:val="single" w:color="auto"/>
          <w:color w:val="auto"/>
        </w:rPr>
      </w:pPr>
    </w:p>
    <w:p>
      <w:pPr>
        <w:ind w:left="328" w:right="400" w:hanging="328"/>
        <w:spacing w:after="0" w:line="238" w:lineRule="auto"/>
        <w:tabs>
          <w:tab w:leader="none" w:pos="328"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he or she proficient in the English language, or has consulted with an advisor who is sufficiently proficient, so as to allow the Participant to understand the terms and conditions of this Agreement. If the Participant has received this Agreement, or any other document related to the RSUs and/or the Plan translated into a language other than English and if the meaning of the translated version is different than the English version, the English version will control.</w:t>
      </w:r>
    </w:p>
    <w:p>
      <w:pPr>
        <w:sectPr>
          <w:pgSz w:w="11900" w:h="16838" w:orient="portrait"/>
          <w:cols w:equalWidth="0" w:num="1">
            <w:col w:w="10908"/>
          </w:cols>
          <w:pgMar w:left="652" w:top="1408" w:right="339" w:bottom="1440" w:gutter="0" w:footer="0" w:header="0"/>
        </w:sectPr>
      </w:pPr>
    </w:p>
    <w:bookmarkStart w:id="66" w:name="page67"/>
    <w:bookmarkEnd w:id="66"/>
    <w:p>
      <w:pPr>
        <w:ind w:left="660" w:right="180" w:hanging="328"/>
        <w:spacing w:after="0" w:line="251" w:lineRule="auto"/>
        <w:tabs>
          <w:tab w:leader="none" w:pos="660" w:val="left"/>
        </w:tabs>
        <w:numPr>
          <w:ilvl w:val="0"/>
          <w:numId w:val="3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Notwithstanding any provisions in this Agreement, the RSU grant shall be subject to any special terms and conditions set forth in Appendix A to this Agreement for the Participant’s country (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Moreover, if the Participant relocates to one of the countries included in Appendix A, the special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95" w:lineRule="exact"/>
        <w:rPr>
          <w:rFonts w:ascii="Times New Roman" w:cs="Times New Roman" w:eastAsia="Times New Roman" w:hAnsi="Times New Roman"/>
          <w:sz w:val="21"/>
          <w:szCs w:val="21"/>
          <w:u w:val="single" w:color="auto"/>
          <w:color w:val="auto"/>
        </w:rPr>
      </w:pPr>
    </w:p>
    <w:p>
      <w:pPr>
        <w:jc w:val="both"/>
        <w:ind w:left="660" w:right="220" w:hanging="328"/>
        <w:spacing w:after="0" w:line="238" w:lineRule="auto"/>
        <w:tabs>
          <w:tab w:leader="none" w:pos="660"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Appendix B – Restrictive Covenants</w:t>
      </w:r>
      <w:r>
        <w:rPr>
          <w:rFonts w:ascii="Times New Roman" w:cs="Times New Roman" w:eastAsia="Times New Roman" w:hAnsi="Times New Roman"/>
          <w:sz w:val="22"/>
          <w:szCs w:val="22"/>
          <w:color w:val="auto"/>
        </w:rPr>
        <w:t>. Notwithstanding any provisions in this Agreement, the RSU grant shall be subject to and conditioned upon Participant’s compliance with the Restrictive Covenants Agreement set forth in Appendix B to this Agreement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Appendix B constitutes part of this Agreement.</w:t>
      </w:r>
    </w:p>
    <w:p>
      <w:pPr>
        <w:spacing w:after="0" w:line="205" w:lineRule="exact"/>
        <w:rPr>
          <w:rFonts w:ascii="Times New Roman" w:cs="Times New Roman" w:eastAsia="Times New Roman" w:hAnsi="Times New Roman"/>
          <w:sz w:val="22"/>
          <w:szCs w:val="22"/>
          <w:u w:val="single" w:color="auto"/>
          <w:color w:val="auto"/>
        </w:rPr>
      </w:pPr>
    </w:p>
    <w:p>
      <w:pPr>
        <w:ind w:left="660" w:hanging="328"/>
        <w:spacing w:after="0" w:line="255" w:lineRule="auto"/>
        <w:tabs>
          <w:tab w:leader="none" w:pos="660" w:val="left"/>
        </w:tabs>
        <w:numPr>
          <w:ilvl w:val="0"/>
          <w:numId w:val="3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the Participant’s participation in the Plan, on the RSUs and on any shares of Common Stock acquired upon vesting/settlement of the RSUs, to the extent the Company determines it is necessary or advisable for legal or administrative reasons, and to require the Participant to sign any additional agreements or undertakings that may be necessary to accomplish the foregoing.</w:t>
      </w:r>
    </w:p>
    <w:p>
      <w:pPr>
        <w:spacing w:after="0" w:line="188" w:lineRule="exact"/>
        <w:rPr>
          <w:rFonts w:ascii="Times New Roman" w:cs="Times New Roman" w:eastAsia="Times New Roman" w:hAnsi="Times New Roman"/>
          <w:sz w:val="21"/>
          <w:szCs w:val="21"/>
          <w:u w:val="single" w:color="auto"/>
          <w:color w:val="auto"/>
        </w:rPr>
      </w:pPr>
    </w:p>
    <w:p>
      <w:pPr>
        <w:ind w:left="660" w:right="20" w:hanging="328"/>
        <w:spacing w:after="0" w:line="233" w:lineRule="auto"/>
        <w:tabs>
          <w:tab w:leader="none" w:pos="660"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Participant Acknowledgment</w:t>
      </w:r>
      <w:r>
        <w:rPr>
          <w:rFonts w:ascii="Times New Roman" w:cs="Times New Roman" w:eastAsia="Times New Roman" w:hAnsi="Times New Roman"/>
          <w:sz w:val="22"/>
          <w:szCs w:val="22"/>
          <w:color w:val="auto"/>
        </w:rPr>
        <w:t>. By the Participant’s electronic acceptance of this Agreement, the Participant hereby acknowledges receipt of a copy of the Plan and agrees that this Award is granted under and governed by the terms and conditions of the Plan and this Agreement. The Participant further acknowledges that all decisions, determinations and interpretations of the Committee in respect of the Plan and this Agreement shall be final and conclusive. The Participant acknowledges that there may be adverse tax consequences upon vesting/settlement of the RSUs or disposition of the underlying shares of Common Stock and that the Participant should consult a tax advisor prior to such vesting or disposition. Finally, the Participant acknowledges that the Participant has reviewed the Plan and this Agreement in their entirety, has had an opportunity to obtain the advice of counsel prior to accepting this Agreement and fully understands all provisions of the Plan and this Agreement.</w:t>
      </w:r>
    </w:p>
    <w:p>
      <w:pPr>
        <w:spacing w:after="0" w:line="200" w:lineRule="exact"/>
        <w:rPr>
          <w:sz w:val="20"/>
          <w:szCs w:val="20"/>
          <w:color w:val="auto"/>
        </w:rPr>
      </w:pPr>
    </w:p>
    <w:p>
      <w:pPr>
        <w:spacing w:after="0" w:line="249"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spacing w:after="0" w:line="200" w:lineRule="exact"/>
        <w:rPr>
          <w:sz w:val="20"/>
          <w:szCs w:val="20"/>
          <w:color w:val="auto"/>
        </w:rPr>
      </w:pPr>
    </w:p>
    <w:p>
      <w:pPr>
        <w:spacing w:after="0" w:line="2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FF0000"/>
        </w:rPr>
        <w:t>###REQUIRED_SIGNATURE###</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w:t>
      </w:r>
    </w:p>
    <w:p>
      <w:pPr>
        <w:ind w:left="4540"/>
        <w:spacing w:after="0"/>
        <w:rPr>
          <w:sz w:val="20"/>
          <w:szCs w:val="20"/>
          <w:color w:val="auto"/>
        </w:rPr>
      </w:pPr>
      <w:r>
        <w:rPr>
          <w:rFonts w:ascii="Times New Roman" w:cs="Times New Roman" w:eastAsia="Times New Roman" w:hAnsi="Times New Roman"/>
          <w:sz w:val="22"/>
          <w:szCs w:val="22"/>
          <w:b w:val="1"/>
          <w:bCs w:val="1"/>
          <w:color w:val="FF0000"/>
        </w:rPr>
        <w:t>###PARTICIPANT_NAME###</w:t>
      </w:r>
    </w:p>
    <w:p>
      <w:pPr>
        <w:sectPr>
          <w:pgSz w:w="11900" w:h="16838" w:orient="portrait"/>
          <w:cols w:equalWidth="0" w:num="1">
            <w:col w:w="11240"/>
          </w:cols>
          <w:pgMar w:left="320" w:top="1408" w:right="339" w:bottom="1440" w:gutter="0" w:footer="0" w:header="0"/>
        </w:sectPr>
      </w:pPr>
    </w:p>
    <w:bookmarkStart w:id="67" w:name="page68"/>
    <w:bookmarkEnd w:id="67"/>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SABRE CORPORATION</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2025 OMNIBUS INCENTIVE COMPENSATION PLAN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GLOBAL FORM OF RESTRICTED STOCK UNIT GRANT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This Appendix A includes special terms and conditions that govern the RSUs granted to the Participant if the Participant resides in the countries listed herein. These terms and conditions are in addition to, or, if so indicated, in place of, the terms and conditions set forth in the Agreement.</w:t>
      </w:r>
    </w:p>
    <w:p>
      <w:pPr>
        <w:spacing w:after="0" w:line="20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i w:val="1"/>
          <w:iCs w:val="1"/>
          <w:color w:val="auto"/>
        </w:rPr>
        <w:t>If the Participant is a citizen or resident of a country other than the one in which the Participant is currently working, transfers employment and/or residency after the Grant Date, or is considered a resident of another country for local law purposes, the Company shall, in its discretion, determine to what extent the terms and conditions contained herein shall be applicable to the Participant.</w:t>
      </w:r>
    </w:p>
    <w:p>
      <w:pPr>
        <w:spacing w:after="0" w:line="203"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meanings assigned to them in the Agreement (of which this Appendix A is a part) and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Without limitation to Section 8 of the Agreement, the Participant agrees that the Participant is liable for all Tax-Related Items and hereby covenants to pay all such Tax-Related Items as and when requested by the Company or the Employer or by HM Revenue and Customs (“</w:t>
      </w:r>
      <w:r>
        <w:rPr>
          <w:rFonts w:ascii="Times New Roman" w:cs="Times New Roman" w:eastAsia="Times New Roman" w:hAnsi="Times New Roman"/>
          <w:sz w:val="21"/>
          <w:szCs w:val="21"/>
          <w:u w:val="single" w:color="auto"/>
          <w:color w:val="auto"/>
        </w:rPr>
        <w:t>HMRC</w:t>
      </w:r>
      <w:r>
        <w:rPr>
          <w:rFonts w:ascii="Times New Roman" w:cs="Times New Roman" w:eastAsia="Times New Roman" w:hAnsi="Times New Roman"/>
          <w:sz w:val="21"/>
          <w:szCs w:val="21"/>
          <w:color w:val="auto"/>
        </w:rPr>
        <w:t>”)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9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Notwithstanding the foregoing, if the Participant is a director or executive officer of the Company (within the meaning of Section 13(k) of the Exchange Act), the terms of the immediately foregoing provision will not apply. In such case, if the amount of any income tax due is not collected from or paid by the Participant within 90 days of the end of the UK tax year in which an event giving rise to the indemnification described above occurs, the amount of any uncollected income tax may constitute a benefit to the Participant on which additional income tax and national insurance contributions (“</w:t>
      </w:r>
      <w:r>
        <w:rPr>
          <w:rFonts w:ascii="Times New Roman" w:cs="Times New Roman" w:eastAsia="Times New Roman" w:hAnsi="Times New Roman"/>
          <w:sz w:val="22"/>
          <w:szCs w:val="22"/>
          <w:u w:val="single" w:color="auto"/>
          <w:color w:val="auto"/>
        </w:rPr>
        <w:t>NICs</w:t>
      </w:r>
      <w:r>
        <w:rPr>
          <w:rFonts w:ascii="Times New Roman" w:cs="Times New Roman" w:eastAsia="Times New Roman" w:hAnsi="Times New Roman"/>
          <w:sz w:val="22"/>
          <w:szCs w:val="22"/>
          <w:color w:val="auto"/>
        </w:rPr>
        <w:t>”) may be payable. The Participant acknowledges that he or she will be responsible for reporting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the Participant by any of the means referred to in Section 8 of the Agreement.</w:t>
      </w:r>
    </w:p>
    <w:p>
      <w:pPr>
        <w:sectPr>
          <w:pgSz w:w="11900" w:h="16838" w:orient="portrait"/>
          <w:cols w:equalWidth="0" w:num="1">
            <w:col w:w="11220"/>
          </w:cols>
          <w:pgMar w:left="320" w:top="1440" w:right="359" w:bottom="1440" w:gutter="0" w:footer="0" w:header="0"/>
        </w:sectPr>
      </w:pPr>
    </w:p>
    <w:bookmarkStart w:id="68" w:name="page69"/>
    <w:bookmarkEnd w:id="68"/>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Data Privacy.</w:t>
      </w:r>
    </w:p>
    <w:p>
      <w:pPr>
        <w:spacing w:after="0" w:line="233" w:lineRule="exact"/>
        <w:rPr>
          <w:sz w:val="20"/>
          <w:szCs w:val="20"/>
          <w:color w:val="auto"/>
        </w:rPr>
      </w:pPr>
    </w:p>
    <w:p>
      <w:pPr>
        <w:ind w:right="100"/>
        <w:spacing w:after="0" w:line="252" w:lineRule="exact"/>
        <w:rPr>
          <w:sz w:val="20"/>
          <w:szCs w:val="20"/>
          <w:color w:val="auto"/>
        </w:rPr>
      </w:pPr>
      <w:r>
        <w:rPr>
          <w:rFonts w:ascii="Times New Roman" w:cs="Times New Roman" w:eastAsia="Times New Roman" w:hAnsi="Times New Roman"/>
          <w:sz w:val="22"/>
          <w:szCs w:val="22"/>
          <w:color w:val="auto"/>
        </w:rPr>
        <w:t>The following provision supplements Section 12 of the Agreement: The Company does not sell Participants’ Personal Data or share it for cross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context behavioral advertising. The Company’s online California Consumer Privacy Act Privacy Policy can be found at https://www.sabre.com/about/privacy/. If the Participant has a visual disability, the Participant should contact his or her local human resources representative for accommodations.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TO SABRE CORPORATION 2025</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OMNIBUS INCENTIVE COMPENSATION PLAN</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GLOBAL FORM OF RESTRICTED STOCK UNIT GRANT AGREEMENT RESTRICTIVE COVENANTS</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This Restrictive Covenant Agreement (“</w:t>
      </w:r>
      <w:r>
        <w:rPr>
          <w:rFonts w:ascii="Times New Roman" w:cs="Times New Roman" w:eastAsia="Times New Roman" w:hAnsi="Times New Roman"/>
          <w:sz w:val="21"/>
          <w:szCs w:val="21"/>
          <w:u w:val="single" w:color="auto"/>
          <w:color w:val="auto"/>
        </w:rPr>
        <w:t>RC Agreement</w:t>
      </w:r>
      <w:r>
        <w:rPr>
          <w:rFonts w:ascii="Times New Roman" w:cs="Times New Roman" w:eastAsia="Times New Roman" w:hAnsi="Times New Roman"/>
          <w:sz w:val="21"/>
          <w:szCs w:val="21"/>
          <w:color w:val="auto"/>
        </w:rPr>
        <w:t>”) is entered by and between the Company and Participant as part of the foregoing Sabre Corporation Omnibus Incentive Compensation Plan Form of Restricted Stock Unit Grant Agreement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Because Participant wishes to become employed or continue to be employed by the Company, Participant wishes to enter the Grant Agreement, and the Company and Participant wish to enter this RC Agreement, the parties agree as follows: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NON-DISCLOSURE OF PROPRIETARY</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AND CONFIDENTIAL INFORMATION AGREEMENT</w:t>
      </w:r>
    </w:p>
    <w:p>
      <w:pPr>
        <w:spacing w:after="0" w:line="196" w:lineRule="exact"/>
        <w:rPr>
          <w:sz w:val="20"/>
          <w:szCs w:val="20"/>
          <w:color w:val="auto"/>
        </w:rPr>
      </w:pPr>
    </w:p>
    <w:p>
      <w:pPr>
        <w:ind w:firstLine="8"/>
        <w:spacing w:after="0" w:line="234" w:lineRule="auto"/>
        <w:tabs>
          <w:tab w:leader="none" w:pos="21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that the Company is engaged in a highly competitive industry. Participant further acknowledges that, as part of Participant’s employment with the Company, the Company will provide Participant “proprietary and confidential information” (as defined below) that is vital to the interests and success of the Company and which Participant did not previously have access to or knowledge of, or would not continue to have access to absent this RC Agreement. As consideration for this RC Agreement, the Company agrees to (a) invest significant resources in training Participant with respect to its business, (b) provide Participant “proprietary and confidential information,” and (c) enter into the Grant Agreement. Participant acknowledges that such training and information are necessary and desirable for Participant’s personal success as an employee of the Company. Participant also is receiving other good and valuable consideration, the adequacy of which Participant hereby expressly acknowledges.</w:t>
      </w:r>
    </w:p>
    <w:p>
      <w:pPr>
        <w:spacing w:after="0" w:line="210" w:lineRule="exact"/>
        <w:rPr>
          <w:rFonts w:ascii="Times New Roman" w:cs="Times New Roman" w:eastAsia="Times New Roman" w:hAnsi="Times New Roman"/>
          <w:sz w:val="22"/>
          <w:szCs w:val="22"/>
          <w:color w:val="auto"/>
        </w:rPr>
      </w:pPr>
    </w:p>
    <w:p>
      <w:pPr>
        <w:ind w:right="20" w:firstLine="8"/>
        <w:spacing w:after="0" w:line="234" w:lineRule="auto"/>
        <w:tabs>
          <w:tab w:leader="none" w:pos="21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“Proprietary and confidential information” means any information of the Company that is not generally known to the public or to the Company’s competitors in the industry, was not known by Participant prior to signing this RC Agreement, is used in the business of the Company, and gives Company an advantage over businesses that do not know the information. “Proprietary and confidential information” also means any information of one of the Company’s customers that is not generally known to the public or to the customer or the Company’s competitors in the industry, was not known by Participant prior to signing this RC Agreement, is used in the business of the customer or the Company, and gives the customer or the Company an advantage over businesses that do not know the information. Because of the nature and</w:t>
      </w:r>
    </w:p>
    <w:p>
      <w:pPr>
        <w:sectPr>
          <w:pgSz w:w="11900" w:h="16838" w:orient="portrait"/>
          <w:cols w:equalWidth="0" w:num="1">
            <w:col w:w="11200"/>
          </w:cols>
          <w:pgMar w:left="320" w:top="1440" w:right="379" w:bottom="1440" w:gutter="0" w:footer="0" w:header="0"/>
        </w:sectPr>
      </w:pPr>
    </w:p>
    <w:bookmarkStart w:id="69" w:name="page70"/>
    <w:bookmarkEnd w:id="69"/>
    <w:p>
      <w:pPr>
        <w:ind w:right="100"/>
        <w:spacing w:after="0" w:line="258" w:lineRule="auto"/>
        <w:rPr>
          <w:sz w:val="20"/>
          <w:szCs w:val="20"/>
          <w:color w:val="auto"/>
        </w:rPr>
      </w:pPr>
      <w:r>
        <w:rPr>
          <w:rFonts w:ascii="Times New Roman" w:cs="Times New Roman" w:eastAsia="Times New Roman" w:hAnsi="Times New Roman"/>
          <w:sz w:val="22"/>
          <w:szCs w:val="22"/>
          <w:color w:val="auto"/>
        </w:rPr>
        <w:t>sensitivity of this information, Participant acknowledges that the Company has legitimate business and competitive interests and legal rights to require non-disclosure of the information and to require that it be used only for the Company’s benefit.</w:t>
      </w:r>
    </w:p>
    <w:p>
      <w:pPr>
        <w:spacing w:after="0" w:line="185" w:lineRule="exact"/>
        <w:rPr>
          <w:sz w:val="20"/>
          <w:szCs w:val="20"/>
          <w:color w:val="auto"/>
        </w:rPr>
      </w:pPr>
    </w:p>
    <w:p>
      <w:pPr>
        <w:ind w:right="60" w:firstLine="8"/>
        <w:spacing w:after="0" w:line="234" w:lineRule="auto"/>
        <w:tabs>
          <w:tab w:leader="none" w:pos="2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consideration set forth herein, Participant agrees not to disclose, nor use, directly or indirectly, either for Participant’s own benefit or for the benefit of any other individual or business, any “proprietary and confidential information,” except in the carrying out of Participant’s employment responsibilities for the Company. All files, records, lists, or other documents, in whatever form maintained, relating to “proprietary and confidential information,” whether prepared by Participant or otherwise coming into Participant’s possession during Participant’s employment with the Company, shall be the exclusive property of the Company and shall be delivered to the Company upon termination of employment for any reason, or upon the Company’s request.</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NON-SOLICITATION OF employees AGREEMENT</w:t>
      </w:r>
    </w:p>
    <w:p>
      <w:pPr>
        <w:spacing w:after="0" w:line="237" w:lineRule="exact"/>
        <w:rPr>
          <w:sz w:val="20"/>
          <w:szCs w:val="20"/>
          <w:color w:val="auto"/>
        </w:rPr>
      </w:pPr>
    </w:p>
    <w:p>
      <w:pPr>
        <w:ind w:right="20" w:firstLine="8"/>
        <w:spacing w:after="0" w:line="232" w:lineRule="auto"/>
        <w:tabs>
          <w:tab w:leader="none" w:pos="21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consideration set forth herein, Participant agrees that during Participant’s employment with the Company and for a period of two (2) years following the termination of such employment for any reason, Participant shall not, either directly or indirectly, call on, solicit, or induce any employee or officer of the Company whom Participant had contact with in the course of such employee or officer’s employment with the Company to terminate his or her employment with the Company, and will not assist any other person or entity in such a solicitation. Participant further agrees not to (a) communicate, by any means whatsoever, with any such employee or officer of the Company regarding the termination of such individual’s employment with the Company, or (b) hire, retain, or assist any other person or entity, directly or indirectly, in hiring or retaining any such individual, during the time period set forth above. Should any such employee or officer of the Company initiate any such communication with Participant, Participant shall immediately change the subject and take reasonable measures to prevent any further communication related to the issue.</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NON-SOLICITATION OF CUSTOMERS AGREEMENT</w:t>
      </w:r>
    </w:p>
    <w:p>
      <w:pPr>
        <w:spacing w:after="0" w:line="237" w:lineRule="exact"/>
        <w:rPr>
          <w:sz w:val="20"/>
          <w:szCs w:val="20"/>
          <w:color w:val="auto"/>
        </w:rPr>
      </w:pPr>
    </w:p>
    <w:p>
      <w:pPr>
        <w:ind w:firstLine="8"/>
        <w:spacing w:after="0" w:line="247" w:lineRule="auto"/>
        <w:tabs>
          <w:tab w:leader="none" w:pos="2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exchange for the consideration set forth herein, Participant agrees that, for a period of two (2) years following the separation of Participant’s employment with the Company for any reason, Participant shall not, either directly or indirectly, on behalf of any person or entity engaged in “competition” (as defined below) with the Company, call on, service, solicit, or accept competing business from the Company’s customers or prospective customers whom or which Participant, within the previous two (2) years,</w:t>
      </w:r>
    </w:p>
    <w:p>
      <w:pPr>
        <w:spacing w:after="0" w:line="1" w:lineRule="exact"/>
        <w:rPr>
          <w:rFonts w:ascii="Times New Roman" w:cs="Times New Roman" w:eastAsia="Times New Roman" w:hAnsi="Times New Roman"/>
          <w:sz w:val="21"/>
          <w:szCs w:val="21"/>
          <w:color w:val="auto"/>
        </w:rPr>
      </w:pPr>
    </w:p>
    <w:p>
      <w:pPr>
        <w:ind w:right="2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had or made contact with regarding the Company’s business, or (b) had access to the Company’s information or files about. Participant further agrees not to assist any other person or entity in such a solicitation.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NON-COMPETITION AGREEMENT</w:t>
      </w:r>
    </w:p>
    <w:p>
      <w:pPr>
        <w:spacing w:after="0" w:line="237" w:lineRule="exact"/>
        <w:rPr>
          <w:sz w:val="20"/>
          <w:szCs w:val="20"/>
          <w:color w:val="auto"/>
        </w:rPr>
      </w:pPr>
    </w:p>
    <w:p>
      <w:pPr>
        <w:ind w:right="100" w:firstLine="8"/>
        <w:spacing w:after="0" w:line="244" w:lineRule="auto"/>
        <w:tabs>
          <w:tab w:leader="none" w:pos="2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consideration set forth herein, Participant agrees that, for a period of one (1) year following the separation of his or her employment with the Company for any reason, Participant shall not, either directly or indirectly, engage in “competition” (as defined below) within the “geographic region” (as defined below).</w:t>
      </w:r>
    </w:p>
    <w:p>
      <w:pPr>
        <w:sectPr>
          <w:pgSz w:w="11900" w:h="16838" w:orient="portrait"/>
          <w:cols w:equalWidth="0" w:num="1">
            <w:col w:w="11200"/>
          </w:cols>
          <w:pgMar w:left="320" w:top="1408" w:right="379" w:bottom="1440" w:gutter="0" w:footer="0" w:header="0"/>
        </w:sectPr>
      </w:pPr>
    </w:p>
    <w:bookmarkStart w:id="70" w:name="page71"/>
    <w:bookmarkEnd w:id="70"/>
    <w:p>
      <w:pPr>
        <w:ind w:firstLine="656"/>
        <w:spacing w:after="0" w:line="236" w:lineRule="auto"/>
        <w:tabs>
          <w:tab w:leader="none" w:pos="94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is defined as: (i) engaging in the business of the Company as described on its website as of the date of the separation of Participant’s employment with the Company, including without limitation providing software and solutions for the global travel industry; (ii) engaging in other types of business performed by the Company or in which the Company has plans to engage or has engaged in the one (1) year period immediately preceding the termination of Participant’s employment if Participant has knowledge or information about such activities; and (iii) rendering advice or services to, or otherwise assisting, any other person or entity in the business of (i) or (ii) above.</w:t>
      </w:r>
    </w:p>
    <w:p>
      <w:pPr>
        <w:spacing w:after="0" w:line="194" w:lineRule="exact"/>
        <w:rPr>
          <w:rFonts w:ascii="Times New Roman" w:cs="Times New Roman" w:eastAsia="Times New Roman" w:hAnsi="Times New Roman"/>
          <w:sz w:val="22"/>
          <w:szCs w:val="22"/>
          <w:color w:val="auto"/>
        </w:rPr>
      </w:pPr>
    </w:p>
    <w:p>
      <w:pPr>
        <w:ind w:right="20" w:firstLine="656"/>
        <w:spacing w:after="0" w:line="238" w:lineRule="auto"/>
        <w:tabs>
          <w:tab w:leader="none" w:pos="95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“Geographic region” means any and all counties in which Participant has worked for the Company, performed services for the Company, or been engaged in the Company’s business, whether in person or through any other means whatsoever, during the one (1) year period immediately preceding the separation of Participant’s employment with the Company. “Geographic region” includes but is not limited to the region encompassed by a 50-mile radius from each office of the Company from which Participant has worked or performed services for the Company.</w:t>
      </w:r>
    </w:p>
    <w:p>
      <w:pPr>
        <w:spacing w:after="0" w:line="204"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2"/>
          <w:szCs w:val="22"/>
          <w:color w:val="auto"/>
        </w:rPr>
        <w:t xml:space="preserve">Participant acknowledges that the foregoing restrictions limit Participant’s ability to engage in certain activities in the “geographic region” and during the period provided for above. </w:t>
      </w:r>
      <w:r>
        <w:rPr>
          <w:rFonts w:ascii="Times New Roman" w:cs="Times New Roman" w:eastAsia="Times New Roman" w:hAnsi="Times New Roman"/>
          <w:sz w:val="22"/>
          <w:szCs w:val="22"/>
          <w:b w:val="1"/>
          <w:bCs w:val="1"/>
          <w:color w:val="auto"/>
        </w:rPr>
        <w:t>Participant expressly warrants and represents that these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restrictions with respect to time, geographic territory, and scope of activity are reasonable and necessary to protect the “proprietary and confidential information” the Company has agreed to provide Participant. Participant also warrants and represents that employment opportunities outside the scope of the restrictions exist and remain available to Participant, and that Participant’s skill sets are transferable to other industries and businesses not in competition with Company.</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PROVISIONS APPLICABLE TO ALL AGREEMENTS</w:t>
      </w:r>
    </w:p>
    <w:p>
      <w:pPr>
        <w:spacing w:after="0" w:line="237" w:lineRule="exact"/>
        <w:rPr>
          <w:sz w:val="20"/>
          <w:szCs w:val="20"/>
          <w:color w:val="auto"/>
        </w:rPr>
      </w:pPr>
    </w:p>
    <w:p>
      <w:pPr>
        <w:ind w:right="40" w:firstLine="8"/>
        <w:spacing w:after="0" w:line="249" w:lineRule="auto"/>
        <w:tabs>
          <w:tab w:leader="none" w:pos="21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RC Agreement shall continue to be binding upon Participant, notwithstanding termination of employment with the Company. Should any provision(s) in this RC Agreement be held by a court of competent jurisdiction to be invalid, void, or unenforceable, that provision(s) shall be fully severable and the remaining provisions shall be unaffected and shall continue in full force and effect, and the invalid, void, or unenforceable provision(s) shall be deemed not to be part of this RC Agreement. Furthermore, in lieu of any invalid, void, or unenforceable provision(s), there shall be added automatically as a part of this RC Agreement a provision(s) as similar in terms to the questioned provision(s) as may be possible and still be valid and enforceable.</w:t>
      </w:r>
    </w:p>
    <w:p>
      <w:pPr>
        <w:spacing w:after="0" w:line="197" w:lineRule="exact"/>
        <w:rPr>
          <w:rFonts w:ascii="Times New Roman" w:cs="Times New Roman" w:eastAsia="Times New Roman" w:hAnsi="Times New Roman"/>
          <w:sz w:val="21"/>
          <w:szCs w:val="21"/>
          <w:color w:val="auto"/>
        </w:rPr>
      </w:pPr>
    </w:p>
    <w:p>
      <w:pPr>
        <w:ind w:right="60" w:firstLine="8"/>
        <w:spacing w:after="0" w:line="246" w:lineRule="auto"/>
        <w:tabs>
          <w:tab w:leader="none" w:pos="21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failure by the Company at any time to give notice of any breach by Participant of, or to require compliance with, any condition or provision of this RC Agreement shall be deemed a waiver of any provisions or conditions of this RC Agreement. This RC Agreement shall be binding upon and inure to the benefit of the Company and any other person, association, or entity that may acquire or succeed to all or substantially all of the business or assets of the Company. the Company may assign this RC Agreement to any affiliate or other entity. Participant’s rights and obligations under this RC Agreement are personal, and they shall not be assigned or transferred without the Company’s prior written consent. The language of this RC Agreement</w:t>
      </w:r>
    </w:p>
    <w:p>
      <w:pPr>
        <w:sectPr>
          <w:pgSz w:w="11900" w:h="16838" w:orient="portrait"/>
          <w:cols w:equalWidth="0" w:num="1">
            <w:col w:w="11180"/>
          </w:cols>
          <w:pgMar w:left="320" w:top="1408"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color w:val="auto"/>
        </w:rPr>
        <w:t>shall be construed as a whole, according to its fair meaning, and not strictly for or against either party.</w:t>
      </w:r>
    </w:p>
    <w:p>
      <w:pPr>
        <w:sectPr>
          <w:pgSz w:w="11900" w:h="16838" w:orient="portrait"/>
          <w:cols w:equalWidth="0" w:num="1">
            <w:col w:w="10139"/>
          </w:cols>
          <w:pgMar w:left="320" w:top="1408"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SABRE CORPORATION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2025 OMNIBUS INCENTIVE COMPENSATION PLAN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EXECUTIVE RESTRICTED STOCK UNIT GRANT AGREEMENT</w:t>
      </w:r>
    </w:p>
    <w:p>
      <w:pPr>
        <w:spacing w:after="0" w:line="209"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THIS AGREEMENT, including any special terms and conditions in the appendix attached hereto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made as of this </w:t>
      </w:r>
      <w:r>
        <w:rPr>
          <w:rFonts w:ascii="Times New Roman" w:cs="Times New Roman" w:eastAsia="Times New Roman" w:hAnsi="Times New Roman"/>
          <w:sz w:val="22"/>
          <w:szCs w:val="22"/>
          <w:b w:val="1"/>
          <w:bCs w:val="1"/>
          <w:color w:val="FF0000"/>
        </w:rPr>
        <w:t>###GRANT_DATE###</w:t>
      </w:r>
      <w:r>
        <w:rPr>
          <w:rFonts w:ascii="Times New Roman" w:cs="Times New Roman" w:eastAsia="Times New Roman" w:hAnsi="Times New Roman"/>
          <w:sz w:val="22"/>
          <w:szCs w:val="22"/>
          <w:color w:val="auto"/>
        </w:rPr>
        <w:t xml:space="preserve"> between Sabre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FF0000"/>
        </w:rPr>
        <w:t>###PARTICIPANT_NAME###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right="100" w:firstLine="648"/>
        <w:spacing w:after="0" w:line="255" w:lineRule="auto"/>
        <w:rPr>
          <w:sz w:val="20"/>
          <w:szCs w:val="20"/>
          <w:color w:val="auto"/>
        </w:rPr>
      </w:pPr>
      <w:r>
        <w:rPr>
          <w:rFonts w:ascii="Times New Roman" w:cs="Times New Roman" w:eastAsia="Times New Roman" w:hAnsi="Times New Roman"/>
          <w:sz w:val="21"/>
          <w:szCs w:val="21"/>
          <w:color w:val="auto"/>
        </w:rPr>
        <w:t>WHEREAS, the Company has adopted the Sabre Corporation 2025 Omnibus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to promote the interests of the Company and its stockholders by providing the employees of the Company or its Subsidiaries and Affiliates, who are responsible for the management, growth, and protection of the business of the Company, with incentives and rewards to encourage them to continue in the service of the Company or its Subsidiaries and Affiliates; and</w:t>
      </w:r>
    </w:p>
    <w:p>
      <w:pPr>
        <w:spacing w:after="0" w:line="189" w:lineRule="exact"/>
        <w:rPr>
          <w:sz w:val="20"/>
          <w:szCs w:val="20"/>
          <w:color w:val="auto"/>
        </w:rPr>
      </w:pPr>
    </w:p>
    <w:p>
      <w:pPr>
        <w:ind w:right="820" w:firstLine="648"/>
        <w:spacing w:after="0" w:line="258" w:lineRule="auto"/>
        <w:rPr>
          <w:sz w:val="20"/>
          <w:szCs w:val="20"/>
          <w:color w:val="auto"/>
        </w:rPr>
      </w:pPr>
      <w:r>
        <w:rPr>
          <w:rFonts w:ascii="Times New Roman" w:cs="Times New Roman" w:eastAsia="Times New Roman" w:hAnsi="Times New Roman"/>
          <w:sz w:val="22"/>
          <w:szCs w:val="22"/>
          <w:color w:val="auto"/>
        </w:rPr>
        <w:t>WHEREAS, Section 7 of the Plan provides for the Grant to Participants of Other Stock-Based Awards, including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hereinafter set forth, the parties hereto hereby agree as follows:</w:t>
      </w:r>
    </w:p>
    <w:p>
      <w:pPr>
        <w:spacing w:after="0" w:line="185" w:lineRule="exact"/>
        <w:rPr>
          <w:sz w:val="20"/>
          <w:szCs w:val="20"/>
          <w:color w:val="auto"/>
        </w:rPr>
      </w:pPr>
    </w:p>
    <w:p>
      <w:pPr>
        <w:ind w:left="660" w:right="60" w:hanging="328"/>
        <w:spacing w:after="0" w:line="236" w:lineRule="auto"/>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RSUs</w:t>
      </w:r>
      <w:r>
        <w:rPr>
          <w:rFonts w:ascii="Times New Roman" w:cs="Times New Roman" w:eastAsia="Times New Roman" w:hAnsi="Times New Roman"/>
          <w:sz w:val="22"/>
          <w:szCs w:val="22"/>
          <w:color w:val="auto"/>
        </w:rPr>
        <w:t xml:space="preserve">. Pursuant to, and subject to, the terms and conditions set forth herein and in the Plan, the Company hereby grants to the Participant </w:t>
      </w:r>
      <w:r>
        <w:rPr>
          <w:rFonts w:ascii="Times New Roman" w:cs="Times New Roman" w:eastAsia="Times New Roman" w:hAnsi="Times New Roman"/>
          <w:sz w:val="22"/>
          <w:szCs w:val="22"/>
          <w:b w:val="1"/>
          <w:bCs w:val="1"/>
          <w:color w:val="FF0000"/>
        </w:rPr>
        <w:t>###TOTAL_AWARDS###</w:t>
      </w:r>
      <w:r>
        <w:rPr>
          <w:rFonts w:ascii="Times New Roman" w:cs="Times New Roman" w:eastAsia="Times New Roman" w:hAnsi="Times New Roman"/>
          <w:sz w:val="22"/>
          <w:szCs w:val="22"/>
          <w:color w:val="auto"/>
        </w:rPr>
        <w:t xml:space="preserve"> RSUs. Each RSU granted hereunder represents the right to receive one share of the Company’s Common Stock on the Settlement Date (as defined herein), upon the terms and subject to the conditions (including the vesting conditions) set forth in this Agreement and the Plan.</w:t>
      </w:r>
    </w:p>
    <w:p>
      <w:pPr>
        <w:spacing w:after="0" w:line="20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xml:space="preserve">. The grant date of the RSUs is </w:t>
      </w:r>
      <w:r>
        <w:rPr>
          <w:rFonts w:ascii="Times New Roman" w:cs="Times New Roman" w:eastAsia="Times New Roman" w:hAnsi="Times New Roman"/>
          <w:sz w:val="22"/>
          <w:szCs w:val="22"/>
          <w:b w:val="1"/>
          <w:bCs w:val="1"/>
          <w:color w:val="FF0000"/>
        </w:rPr>
        <w:t>###GRANT_DATE###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RSUs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0" w:firstLine="656"/>
        <w:spacing w:after="0" w:line="253" w:lineRule="auto"/>
        <w:tabs>
          <w:tab w:leader="none" w:pos="94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shall vest per the vesting schedule below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provided that the Participant remains continuously employed by the Company through the applicable Vesting Date except as provided in Sections 3(b), 3(c), 3(d) and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3(e) hereof:</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FF0000"/>
        </w:rPr>
        <w:t>###VEST_SCHEDULE_TABLE###</w:t>
      </w:r>
    </w:p>
    <w:p>
      <w:pPr>
        <w:spacing w:after="0" w:line="237" w:lineRule="exact"/>
        <w:rPr>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Participant’s Employment terminates prior to a Vesting Date for any reason other than the Participant’s</w:t>
      </w:r>
    </w:p>
    <w:p>
      <w:pPr>
        <w:spacing w:after="0" w:line="25" w:lineRule="exact"/>
        <w:rPr>
          <w:rFonts w:ascii="Times New Roman" w:cs="Times New Roman" w:eastAsia="Times New Roman" w:hAnsi="Times New Roman"/>
          <w:sz w:val="21"/>
          <w:szCs w:val="21"/>
          <w:color w:val="auto"/>
        </w:rPr>
      </w:pPr>
    </w:p>
    <w:p>
      <w:pPr>
        <w:ind w:right="20" w:firstLine="8"/>
        <w:spacing w:after="0" w:line="231" w:lineRule="auto"/>
        <w:tabs>
          <w:tab w:leader="none" w:pos="30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(as defined in Section 3(c)), (2) Qualifying Termination following a Change in Control or (3) death, as provided in Sections 3(c), 3(d) and 3(e) hereof, any unvested RSUs will be immediately forfeited as of the date of such termination of Employment.</w:t>
      </w:r>
    </w:p>
    <w:p>
      <w:pPr>
        <w:spacing w:after="0" w:line="204" w:lineRule="exact"/>
        <w:rPr>
          <w:sz w:val="20"/>
          <w:szCs w:val="20"/>
          <w:color w:val="auto"/>
        </w:rPr>
      </w:pPr>
    </w:p>
    <w:p>
      <w:pPr>
        <w:jc w:val="both"/>
        <w:ind w:right="100" w:firstLine="656"/>
        <w:spacing w:after="0" w:line="244" w:lineRule="auto"/>
        <w:tabs>
          <w:tab w:leader="none" w:pos="86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Participant’s Employment terminates due to Retirement, the unvested RSUs that would have vested on the first and second Vesting Dates immediately following such termination had the Participant’s Employment continued through such date will vest on the applicable Vesting Date.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for purposes of this Agreement shall mean the</w:t>
      </w:r>
    </w:p>
    <w:p>
      <w:pPr>
        <w:sectPr>
          <w:pgSz w:w="11900" w:h="16838" w:orient="portrait"/>
          <w:cols w:equalWidth="0" w:num="1">
            <w:col w:w="11240"/>
          </w:cols>
          <w:pgMar w:left="320" w:top="1404" w:right="339" w:bottom="1440" w:gutter="0" w:footer="0" w:header="0"/>
        </w:sectPr>
      </w:pPr>
    </w:p>
    <w:bookmarkStart w:id="73" w:name="page74"/>
    <w:bookmarkEnd w:id="73"/>
    <w:p>
      <w:pPr>
        <w:ind w:right="160"/>
        <w:spacing w:after="0" w:line="249" w:lineRule="auto"/>
        <w:rPr>
          <w:sz w:val="20"/>
          <w:szCs w:val="20"/>
          <w:color w:val="auto"/>
        </w:rPr>
      </w:pPr>
      <w:r>
        <w:rPr>
          <w:rFonts w:ascii="Times New Roman" w:cs="Times New Roman" w:eastAsia="Times New Roman" w:hAnsi="Times New Roman"/>
          <w:sz w:val="21"/>
          <w:szCs w:val="21"/>
          <w:color w:val="auto"/>
        </w:rPr>
        <w:t>Participant’s voluntary or involuntary termination of Employment (and shall not include a termination by the Company (or if different, the employer) of the Participant’s Employment for Cause or if the Company determines, in its sole discretion, that the Participant is not in good standing at the time of such termination) on a date when (i) the Participant has reached the age of 60,</w:t>
      </w:r>
    </w:p>
    <w:p>
      <w:pPr>
        <w:spacing w:after="0" w:line="1" w:lineRule="exact"/>
        <w:rPr>
          <w:sz w:val="20"/>
          <w:szCs w:val="20"/>
          <w:color w:val="auto"/>
        </w:rPr>
      </w:pPr>
    </w:p>
    <w:p>
      <w:pPr>
        <w:ind w:right="180" w:firstLine="8"/>
        <w:spacing w:after="0" w:line="230" w:lineRule="auto"/>
        <w:tabs>
          <w:tab w:leader="none" w:pos="3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completed at least five (5) years of continuous Employment and (iii) the sum of the Participant’s age and number of completed years of continuous Employment by the Participant is not less than 70.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purposes of this Agreement shall have the meaning set forth in the Sabre Corporation Executive Severance Plan, as amended from time to time without regard to whether the Participant participates or is eligible to participate in the Sabre Corporation Executive Severance Plan.</w:t>
      </w:r>
    </w:p>
    <w:p>
      <w:pPr>
        <w:spacing w:after="0" w:line="208" w:lineRule="exact"/>
        <w:rPr>
          <w:rFonts w:ascii="Times New Roman" w:cs="Times New Roman" w:eastAsia="Times New Roman" w:hAnsi="Times New Roman"/>
          <w:sz w:val="22"/>
          <w:szCs w:val="22"/>
          <w:color w:val="auto"/>
        </w:rPr>
      </w:pPr>
    </w:p>
    <w:p>
      <w:pPr>
        <w:ind w:right="280" w:firstLine="656"/>
        <w:spacing w:after="0" w:line="244" w:lineRule="auto"/>
        <w:tabs>
          <w:tab w:leader="none" w:pos="95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RSUs are assumed, continued or substituted in connection with a Change in Control and the Participant’s Employment terminates by reason of a Qualifying Termination during the one-year period following a Change in Control, all unvested RSUs will immediately vest on the date of such Qualifying Termination.</w:t>
      </w:r>
    </w:p>
    <w:p>
      <w:pPr>
        <w:spacing w:after="0" w:line="200" w:lineRule="exact"/>
        <w:rPr>
          <w:sz w:val="20"/>
          <w:szCs w:val="20"/>
          <w:color w:val="auto"/>
        </w:rPr>
      </w:pPr>
    </w:p>
    <w:p>
      <w:pPr>
        <w:ind w:right="1060" w:firstLine="648"/>
        <w:spacing w:after="0" w:line="258" w:lineRule="auto"/>
        <w:rPr>
          <w:sz w:val="20"/>
          <w:szCs w:val="20"/>
          <w:color w:val="auto"/>
        </w:rPr>
      </w:pPr>
      <w:r>
        <w:rPr>
          <w:rFonts w:ascii="Times New Roman" w:cs="Times New Roman" w:eastAsia="Times New Roman" w:hAnsi="Times New Roman"/>
          <w:sz w:val="22"/>
          <w:szCs w:val="22"/>
          <w:color w:val="auto"/>
        </w:rPr>
        <w:t>(e)In the event the Participant’s Employment terminates due to the Participant’s death, all unvested RSUs will immediately vest on the date of such termination.</w:t>
      </w:r>
    </w:p>
    <w:p>
      <w:pPr>
        <w:spacing w:after="0" w:line="185" w:lineRule="exact"/>
        <w:rPr>
          <w:sz w:val="20"/>
          <w:szCs w:val="20"/>
          <w:color w:val="auto"/>
        </w:rPr>
      </w:pPr>
    </w:p>
    <w:p>
      <w:pPr>
        <w:ind w:firstLine="656"/>
        <w:spacing w:after="0" w:line="243" w:lineRule="auto"/>
        <w:tabs>
          <w:tab w:leader="none" w:pos="864" w:val="left"/>
        </w:tabs>
        <w:numPr>
          <w:ilvl w:val="0"/>
          <w:numId w:val="4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Settlement of any RSUs granted hereunder will be made in the form of shares of Common Stock no later than thirty (30) days following the applicable Vesting Date or, in the event of a Qualifying Termination, the date the Qualifying Termination occurs (each such date, a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For purposes of clarification, if the Participant’s Employment terminates after the applicable Vesting Date of any RSUs but prior to the Settlement Date of such RSUs (including as a result of a Qualifying Termination following a Change in Control), such RSUs will remain vested and be subject to settlement by the Company. Notwithstanding the foregoing, for purposes of complying with Code Section 409A, if the RSUs are considered deferred compensation under Code Section 409A (“</w:t>
      </w:r>
      <w:r>
        <w:rPr>
          <w:rFonts w:ascii="Times New Roman" w:cs="Times New Roman" w:eastAsia="Times New Roman" w:hAnsi="Times New Roman"/>
          <w:sz w:val="21"/>
          <w:szCs w:val="21"/>
          <w:u w:val="single" w:color="auto"/>
          <w:color w:val="auto"/>
        </w:rPr>
        <w:t>Deferred Compensation</w:t>
      </w:r>
      <w:r>
        <w:rPr>
          <w:rFonts w:ascii="Times New Roman" w:cs="Times New Roman" w:eastAsia="Times New Roman" w:hAnsi="Times New Roman"/>
          <w:sz w:val="21"/>
          <w:szCs w:val="21"/>
          <w:color w:val="auto"/>
        </w:rPr>
        <w:t>”), the Participant is a U.S. taxpayer and the shares of Common Stock are to be settled by reference to the termination of the Participant’s Employment, the RSUs shall not be settled until the Participant experiences a “separation from service” within the meaning of Code Section 409A. In addition, if the foregoing sentence applies and the Participant is a “specified employee,” within the meaning of Code Section 409A, on the date the Participant experiences a separation from service, then the RSUs shall be settled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210" w:lineRule="exact"/>
        <w:rPr>
          <w:rFonts w:ascii="Times New Roman" w:cs="Times New Roman" w:eastAsia="Times New Roman" w:hAnsi="Times New Roman"/>
          <w:sz w:val="21"/>
          <w:szCs w:val="21"/>
          <w:u w:val="single" w:color="auto"/>
          <w:color w:val="auto"/>
        </w:rPr>
      </w:pPr>
    </w:p>
    <w:p>
      <w:pPr>
        <w:ind w:firstLine="656"/>
        <w:spacing w:after="0" w:line="235" w:lineRule="auto"/>
        <w:tabs>
          <w:tab w:leader="none" w:pos="864"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w:t>
      </w:r>
    </w:p>
    <w:p>
      <w:pPr>
        <w:spacing w:after="0" w:line="205" w:lineRule="exact"/>
        <w:rPr>
          <w:rFonts w:ascii="Times New Roman" w:cs="Times New Roman" w:eastAsia="Times New Roman" w:hAnsi="Times New Roman"/>
          <w:sz w:val="22"/>
          <w:szCs w:val="22"/>
          <w:u w:val="single" w:color="auto"/>
          <w:color w:val="auto"/>
        </w:rPr>
      </w:pPr>
    </w:p>
    <w:p>
      <w:pPr>
        <w:ind w:right="120" w:firstLine="656"/>
        <w:spacing w:after="0" w:line="261" w:lineRule="auto"/>
        <w:tabs>
          <w:tab w:leader="none" w:pos="864" w:val="left"/>
        </w:tabs>
        <w:numPr>
          <w:ilvl w:val="0"/>
          <w:numId w:val="4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w:t>
      </w:r>
    </w:p>
    <w:p>
      <w:pPr>
        <w:sectPr>
          <w:pgSz w:w="11900" w:h="16838" w:orient="portrait"/>
          <w:cols w:equalWidth="0" w:num="1">
            <w:col w:w="11200"/>
          </w:cols>
          <w:pgMar w:left="320" w:top="1408" w:right="379" w:bottom="1440" w:gutter="0" w:footer="0" w:header="0"/>
        </w:sectPr>
      </w:pPr>
    </w:p>
    <w:bookmarkStart w:id="74" w:name="page75"/>
    <w:bookmarkEnd w:id="74"/>
    <w:p>
      <w:pPr>
        <w:ind w:right="60"/>
        <w:spacing w:after="0" w:line="244" w:lineRule="auto"/>
        <w:rPr>
          <w:sz w:val="20"/>
          <w:szCs w:val="20"/>
          <w:color w:val="auto"/>
        </w:rPr>
      </w:pPr>
      <w:r>
        <w:rPr>
          <w:rFonts w:ascii="Times New Roman" w:cs="Times New Roman" w:eastAsia="Times New Roman" w:hAnsi="Times New Roman"/>
          <w:sz w:val="22"/>
          <w:szCs w:val="22"/>
          <w:color w:val="auto"/>
        </w:rPr>
        <w:t>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w:t>
      </w:r>
    </w:p>
    <w:p>
      <w:pPr>
        <w:spacing w:after="0" w:line="200" w:lineRule="exact"/>
        <w:rPr>
          <w:sz w:val="20"/>
          <w:szCs w:val="20"/>
          <w:color w:val="auto"/>
        </w:rPr>
      </w:pPr>
    </w:p>
    <w:p>
      <w:pPr>
        <w:jc w:val="both"/>
        <w:ind w:right="20" w:firstLine="656"/>
        <w:spacing w:after="0" w:line="261" w:lineRule="auto"/>
        <w:tabs>
          <w:tab w:leader="none" w:pos="864" w:val="left"/>
        </w:tabs>
        <w:numPr>
          <w:ilvl w:val="0"/>
          <w:numId w:val="5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spacing w:after="0" w:line="170" w:lineRule="exact"/>
        <w:rPr>
          <w:rFonts w:ascii="Times New Roman" w:cs="Times New Roman" w:eastAsia="Times New Roman" w:hAnsi="Times New Roman"/>
          <w:sz w:val="21"/>
          <w:szCs w:val="21"/>
          <w:u w:val="single" w:color="auto"/>
          <w:color w:val="auto"/>
        </w:rPr>
      </w:pPr>
    </w:p>
    <w:p>
      <w:pPr>
        <w:ind w:right="20" w:firstLine="656"/>
        <w:spacing w:after="0" w:line="245" w:lineRule="exact"/>
        <w:tabs>
          <w:tab w:leader="none" w:pos="864" w:val="left"/>
        </w:tabs>
        <w:numPr>
          <w:ilvl w:val="0"/>
          <w:numId w:val="5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Participant acknowledges that, regardless of any action taken by the Company or, if different, the Participant’s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the ultimate liability for all income tax, social insurance, payroll tax, fringe benefits tax, payment on account or other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related to the Participant’s participation in the Plan and legally applicable to the Participant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of Common Stock acquired pursuant to such settlement and the receipt of any dividends and/or dividend equivalent;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1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by one or a combination of the following: (a) withholding from the Participant’s wages or other cash compensation paid to the Participant by the Company and/or the Employer; or (b) withholding from proceeds of the sale of shares of Common Stock acquired upon vesting/settlement of the RSUs either through a voluntary sale or through a mandatory sale arranged by the Company (on the Participant’s behalf pursuant to this authorization); or (c) withholding in shares of Common Stock to be issued upon settlement of the RSUs, provided, however that if the Participant is a Section 16 officer of the Company under the Exchange Act, then the Company will withhold shares of Common Stock to be issued upon settlement of the RSUs upon the relevant taxable or tax withholding event, as applicable, unless the Committee (as constituted in accordance with Rule 16b-3 under the Exchange Act) establishes a different method of withholding from alternatives (a) or (b).</w:t>
      </w:r>
    </w:p>
    <w:p>
      <w:pPr>
        <w:spacing w:after="0" w:line="20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1"/>
          <w:szCs w:val="21"/>
          <w:color w:val="auto"/>
        </w:rPr>
        <w:t>The Company may withhold or account for Tax-Related Items by considering applicable minimum statutory withholding rates or other applicable withholding rates, including maximum applicable rates in the Participant’s jurisdiction, in which case the Participant may receive a refund of any over-withheld amount in cash (with no entitlement to the equivalent in Common</w:t>
      </w:r>
    </w:p>
    <w:p>
      <w:pPr>
        <w:sectPr>
          <w:pgSz w:w="11900" w:h="16838" w:orient="portrait"/>
          <w:cols w:equalWidth="0" w:num="1">
            <w:col w:w="11240"/>
          </w:cols>
          <w:pgMar w:left="320" w:top="1408" w:right="339" w:bottom="1440" w:gutter="0" w:footer="0" w:header="0"/>
        </w:sectPr>
      </w:pPr>
    </w:p>
    <w:bookmarkStart w:id="75" w:name="page76"/>
    <w:bookmarkEnd w:id="75"/>
    <w:p>
      <w:pPr>
        <w:ind w:right="80"/>
        <w:spacing w:after="0" w:line="236" w:lineRule="auto"/>
        <w:rPr>
          <w:sz w:val="20"/>
          <w:szCs w:val="20"/>
          <w:color w:val="auto"/>
        </w:rPr>
      </w:pPr>
      <w:r>
        <w:rPr>
          <w:rFonts w:ascii="Times New Roman" w:cs="Times New Roman" w:eastAsia="Times New Roman" w:hAnsi="Times New Roman"/>
          <w:sz w:val="22"/>
          <w:szCs w:val="22"/>
          <w:color w:val="auto"/>
        </w:rPr>
        <w:t>Stock),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of Common Stock, for tax purposes, the Participant is deemed to have been issued the full number of shares of Common Stock subject to the vested RSUs, notwithstanding that a number of the shares of Common Stock are held back solely for the purpose of paying the Tax-Related Items.</w:t>
      </w:r>
    </w:p>
    <w:p>
      <w:pPr>
        <w:spacing w:after="0" w:line="19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of the sale of shares of Common Stock if the Participant fails to comply with the Participant’s obligations in connection with the Tax-Related Items.</w:t>
      </w:r>
    </w:p>
    <w:p>
      <w:pPr>
        <w:spacing w:after="0" w:line="204" w:lineRule="exact"/>
        <w:rPr>
          <w:sz w:val="20"/>
          <w:szCs w:val="20"/>
          <w:color w:val="auto"/>
        </w:rPr>
      </w:pPr>
    </w:p>
    <w:p>
      <w:pPr>
        <w:ind w:right="160" w:firstLine="656"/>
        <w:spacing w:after="0" w:line="233" w:lineRule="auto"/>
        <w:tabs>
          <w:tab w:leader="none" w:pos="864"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Construction of Agreement</w:t>
      </w:r>
      <w:r>
        <w:rPr>
          <w:rFonts w:ascii="Times New Roman" w:cs="Times New Roman" w:eastAsia="Times New Roman" w:hAnsi="Times New Roman"/>
          <w:sz w:val="22"/>
          <w:szCs w:val="22"/>
          <w:color w:val="auto"/>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spacing w:after="0" w:line="206" w:lineRule="exact"/>
        <w:rPr>
          <w:rFonts w:ascii="Times New Roman" w:cs="Times New Roman" w:eastAsia="Times New Roman" w:hAnsi="Times New Roman"/>
          <w:sz w:val="22"/>
          <w:szCs w:val="22"/>
          <w:u w:val="single" w:color="auto"/>
          <w:color w:val="auto"/>
        </w:rPr>
      </w:pPr>
    </w:p>
    <w:p>
      <w:pPr>
        <w:ind w:right="120" w:firstLine="656"/>
        <w:spacing w:after="0" w:line="235" w:lineRule="auto"/>
        <w:tabs>
          <w:tab w:leader="none" w:pos="972"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Delays or Omissions</w:t>
      </w:r>
      <w:r>
        <w:rPr>
          <w:rFonts w:ascii="Times New Roman" w:cs="Times New Roman" w:eastAsia="Times New Roman" w:hAnsi="Times New Roman"/>
          <w:sz w:val="22"/>
          <w:szCs w:val="22"/>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196" w:lineRule="exact"/>
        <w:rPr>
          <w:rFonts w:ascii="Times New Roman" w:cs="Times New Roman" w:eastAsia="Times New Roman" w:hAnsi="Times New Roman"/>
          <w:sz w:val="22"/>
          <w:szCs w:val="22"/>
          <w:u w:val="single" w:color="auto"/>
          <w:color w:val="auto"/>
        </w:rPr>
      </w:pPr>
    </w:p>
    <w:p>
      <w:pPr>
        <w:ind w:firstLine="656"/>
        <w:spacing w:after="0" w:line="235" w:lineRule="auto"/>
        <w:tabs>
          <w:tab w:leader="none" w:pos="964"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Special Employment Rights; No Right to Award</w:t>
      </w:r>
      <w:r>
        <w:rPr>
          <w:rFonts w:ascii="Times New Roman" w:cs="Times New Roman" w:eastAsia="Times New Roman" w:hAnsi="Times New Roman"/>
          <w:sz w:val="22"/>
          <w:szCs w:val="22"/>
          <w:color w:val="auto"/>
        </w:rPr>
        <w:t>. Nothing contained in the Plan or any Award shall confer upon the Participant any right with respect to the continuation of his Employment by or service to the Company or the Employer or interfere in any way with the right of the Company or the Employer at any time to terminate such Employment or service or to increase or decrease the compensation of the Participant from the rate in existence at the time of the grant of the RSUs. 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(ii) the loss or termination of his or her office or Employment with the</w:t>
      </w:r>
    </w:p>
    <w:p>
      <w:pPr>
        <w:sectPr>
          <w:pgSz w:w="11900" w:h="16838" w:orient="portrait"/>
          <w:cols w:equalWidth="0" w:num="1">
            <w:col w:w="11220"/>
          </w:cols>
          <w:pgMar w:left="320" w:top="1408" w:right="359" w:bottom="1440" w:gutter="0" w:footer="0" w:header="0"/>
        </w:sectPr>
      </w:pPr>
    </w:p>
    <w:bookmarkStart w:id="76" w:name="page77"/>
    <w:bookmarkEnd w:id="76"/>
    <w:p>
      <w:pPr>
        <w:ind w:right="480"/>
        <w:spacing w:after="0" w:line="258" w:lineRule="auto"/>
        <w:rPr>
          <w:sz w:val="20"/>
          <w:szCs w:val="20"/>
          <w:color w:val="auto"/>
        </w:rPr>
      </w:pPr>
      <w:r>
        <w:rPr>
          <w:rFonts w:ascii="Times New Roman" w:cs="Times New Roman" w:eastAsia="Times New Roman" w:hAnsi="Times New Roman"/>
          <w:sz w:val="22"/>
          <w:szCs w:val="22"/>
          <w:color w:val="auto"/>
        </w:rPr>
        <w:t>Company or its Subsidiaries or Affiliates for any reason whatsoever; or (iii) whether or not the termination (and/or giving of notice) is ultimately held to be wrongful or unfair.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12. Data Privacy</w:t>
      </w:r>
      <w:r>
        <w:rPr>
          <w:rFonts w:ascii="Times New Roman" w:cs="Times New Roman" w:eastAsia="Times New Roman" w:hAnsi="Times New Roman"/>
          <w:sz w:val="22"/>
          <w:szCs w:val="22"/>
          <w:b w:val="1"/>
          <w:bCs w:val="1"/>
          <w:color w:val="auto"/>
        </w:rPr>
        <w:t>.</w:t>
      </w:r>
    </w:p>
    <w:p>
      <w:pPr>
        <w:spacing w:after="0" w:line="231" w:lineRule="exact"/>
        <w:rPr>
          <w:sz w:val="20"/>
          <w:szCs w:val="20"/>
          <w:color w:val="auto"/>
        </w:rPr>
      </w:pPr>
    </w:p>
    <w:p>
      <w:pPr>
        <w:ind w:left="660" w:right="20" w:hanging="328"/>
        <w:spacing w:after="0" w:line="233" w:lineRule="auto"/>
        <w:tabs>
          <w:tab w:leader="none" w:pos="65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The Participant hereby acknowledges that he or she has been notified of the processing of the Participant’s personal data by or on behalf of the Company, the Employer and/or any Subsidiary or Affiliates as described in this Agreement and any other Award grant materials (the “</w:t>
      </w:r>
      <w:r>
        <w:rPr>
          <w:rFonts w:ascii="Times New Roman" w:cs="Times New Roman" w:eastAsia="Times New Roman" w:hAnsi="Times New Roman"/>
          <w:sz w:val="22"/>
          <w:szCs w:val="22"/>
          <w:b w:val="1"/>
          <w:bCs w:val="1"/>
          <w:i w:val="1"/>
          <w:iCs w:val="1"/>
          <w:u w:val="single" w:color="auto"/>
          <w:color w:val="auto"/>
        </w:rPr>
        <w:t>Personal Data</w:t>
      </w:r>
      <w:r>
        <w:rPr>
          <w:rFonts w:ascii="Times New Roman" w:cs="Times New Roman" w:eastAsia="Times New Roman" w:hAnsi="Times New Roman"/>
          <w:sz w:val="22"/>
          <w:szCs w:val="22"/>
          <w:b w:val="1"/>
          <w:bCs w:val="1"/>
          <w:i w:val="1"/>
          <w:iCs w:val="1"/>
          <w:color w:val="auto"/>
        </w:rPr>
        <w:t>”) and, if employed by a European and/or UK affiliate of the Company, has received a Privacy Notice provided by or on behalf of the Employer explaining how his/her Personal Data has been collected and will be used including for the purposes of the grant of Awards. Where applicable for other Participants based outside Europe and/or the UK, the Participant hereby consents to the processing of his/her Personal Data as described in this Agreement and any other Award grant materials. As regards the processing of the Participant’s Personal Data in connection with the Plan and this Agreement, the Participant understands that the Company is the data controller of the Participant’s Personal Data (as defined under applicable European/UK data protection laws).</w:t>
      </w:r>
    </w:p>
    <w:p>
      <w:pPr>
        <w:spacing w:after="0" w:line="203" w:lineRule="exact"/>
        <w:rPr>
          <w:rFonts w:ascii="Times New Roman" w:cs="Times New Roman" w:eastAsia="Times New Roman" w:hAnsi="Times New Roman"/>
          <w:sz w:val="22"/>
          <w:szCs w:val="22"/>
          <w:color w:val="auto"/>
        </w:rPr>
      </w:pPr>
    </w:p>
    <w:p>
      <w:pPr>
        <w:ind w:left="660" w:hanging="328"/>
        <w:spacing w:after="0" w:line="233" w:lineRule="auto"/>
        <w:tabs>
          <w:tab w:leader="none" w:pos="655" w:val="left"/>
        </w:tabs>
        <w:numPr>
          <w:ilvl w:val="0"/>
          <w:numId w:val="5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Processing and Legal Basis</w:t>
      </w:r>
      <w:r>
        <w:rPr>
          <w:rFonts w:ascii="Times New Roman" w:cs="Times New Roman" w:eastAsia="Times New Roman" w:hAnsi="Times New Roman"/>
          <w:sz w:val="22"/>
          <w:szCs w:val="22"/>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or Affiliates, details of all Awards or any other entitlement to shares of stock or equivalent benefits awarded, canceled, exercised, vested, unvested or outstanding in the Participant’s favor. The legal basis for the processing of the Participant’s Personal Data is to comply with the Company’s contractual obligations to the Participant and also to comply with its legal obligations as set out in the Privacy Notice. Where applicable for Participants employed outside Europe/the UK, the Participants hereby consent to the use of the Personal Data for these purposes.</w:t>
      </w:r>
    </w:p>
    <w:p>
      <w:pPr>
        <w:spacing w:after="0" w:line="200" w:lineRule="exact"/>
        <w:rPr>
          <w:rFonts w:ascii="Times New Roman" w:cs="Times New Roman" w:eastAsia="Times New Roman" w:hAnsi="Times New Roman"/>
          <w:sz w:val="22"/>
          <w:szCs w:val="22"/>
          <w:b w:val="1"/>
          <w:bCs w:val="1"/>
          <w:i w:val="1"/>
          <w:iCs w:val="1"/>
          <w:color w:val="auto"/>
        </w:rPr>
      </w:pPr>
    </w:p>
    <w:p>
      <w:pPr>
        <w:ind w:left="660" w:right="80" w:hanging="328"/>
        <w:spacing w:after="0" w:line="233" w:lineRule="auto"/>
        <w:tabs>
          <w:tab w:leader="none" w:pos="657" w:val="left"/>
        </w:tabs>
        <w:numPr>
          <w:ilvl w:val="0"/>
          <w:numId w:val="52"/>
        </w:numPr>
        <w:rPr>
          <w:rFonts w:ascii="Times New Roman" w:cs="Times New Roman" w:eastAsia="Times New Roman" w:hAnsi="Times New Roman"/>
          <w:sz w:val="22"/>
          <w:szCs w:val="22"/>
          <w:b w:val="1"/>
          <w:bCs w:val="1"/>
          <w:i w:val="1"/>
          <w:iCs w:val="1"/>
          <w:u w:val="single" w:color="auto"/>
          <w:color w:val="auto"/>
        </w:rPr>
      </w:pP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The Participant understands that the Company transfers the Participant’s Personal Data, or parts thereof, to Morgan Stanley Smith Barney (and its affiliated companies), an independent service provider based in the United States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ectPr>
          <w:pgSz w:w="11900" w:h="16838" w:orient="portrait"/>
          <w:cols w:equalWidth="0" w:num="1">
            <w:col w:w="11220"/>
          </w:cols>
          <w:pgMar w:left="320" w:top="1408" w:right="359" w:bottom="1440" w:gutter="0" w:footer="0" w:header="0"/>
        </w:sectPr>
      </w:pPr>
    </w:p>
    <w:bookmarkStart w:id="77" w:name="page78"/>
    <w:bookmarkEnd w:id="77"/>
    <w:p>
      <w:pPr>
        <w:ind w:left="328" w:right="60" w:hanging="328"/>
        <w:spacing w:after="0" w:line="233" w:lineRule="auto"/>
        <w:tabs>
          <w:tab w:leader="none" w:pos="323" w:val="left"/>
        </w:tabs>
        <w:numPr>
          <w:ilvl w:val="0"/>
          <w:numId w:val="53"/>
        </w:numPr>
        <w:rPr>
          <w:rFonts w:ascii="Times New Roman" w:cs="Times New Roman" w:eastAsia="Times New Roman" w:hAnsi="Times New Roman"/>
          <w:sz w:val="22"/>
          <w:szCs w:val="22"/>
          <w:b w:val="1"/>
          <w:bCs w:val="1"/>
          <w:i w:val="1"/>
          <w:iCs w:val="1"/>
          <w:u w:val="single" w:color="auto"/>
          <w:color w:val="auto"/>
        </w:rPr>
      </w:pPr>
      <w:r>
        <w:rPr>
          <w:rFonts w:ascii="Times New Roman" w:cs="Times New Roman" w:eastAsia="Times New Roman" w:hAnsi="Times New Roman"/>
          <w:sz w:val="22"/>
          <w:szCs w:val="22"/>
          <w:b w:val="1"/>
          <w:bCs w:val="1"/>
          <w:i w:val="1"/>
          <w:iCs w:val="1"/>
          <w:u w:val="single" w:color="auto"/>
          <w:color w:val="auto"/>
        </w:rPr>
        <w:t>International Data Transfers.</w:t>
      </w:r>
      <w:r>
        <w:rPr>
          <w:rFonts w:ascii="Times New Roman" w:cs="Times New Roman" w:eastAsia="Times New Roman" w:hAnsi="Times New Roman"/>
          <w:sz w:val="22"/>
          <w:szCs w:val="22"/>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The Participant acknowledges that the Personal Data may be transferred to recipients in the member states of the European Economic Area, the UK and other countries that may not be deemed to have “adequate” data protection laws, such as the United States, which has less stringent data privacy laws and protections than those in the country of the Participant’s residence. Further, the Participant acknowledges and understands that the transfer of the Personal Data to the Company, or to any third parties, is necessary for the Participant’s participation in the Plan. The Company’s legal basis for the transfer of the Participant’s Personal Data is to comply with the Company’s contractual obligations to the Participant.</w:t>
      </w:r>
    </w:p>
    <w:p>
      <w:pPr>
        <w:spacing w:after="0" w:line="200" w:lineRule="exact"/>
        <w:rPr>
          <w:rFonts w:ascii="Times New Roman" w:cs="Times New Roman" w:eastAsia="Times New Roman" w:hAnsi="Times New Roman"/>
          <w:sz w:val="22"/>
          <w:szCs w:val="22"/>
          <w:b w:val="1"/>
          <w:bCs w:val="1"/>
          <w:i w:val="1"/>
          <w:iCs w:val="1"/>
          <w:u w:val="single" w:color="auto"/>
          <w:color w:val="auto"/>
        </w:rPr>
      </w:pPr>
    </w:p>
    <w:p>
      <w:pPr>
        <w:ind w:left="328" w:right="20" w:hanging="328"/>
        <w:spacing w:after="0" w:line="247" w:lineRule="auto"/>
        <w:tabs>
          <w:tab w:leader="none" w:pos="325" w:val="left"/>
        </w:tabs>
        <w:numPr>
          <w:ilvl w:val="0"/>
          <w:numId w:val="53"/>
        </w:numPr>
        <w:rPr>
          <w:rFonts w:ascii="Times New Roman" w:cs="Times New Roman" w:eastAsia="Times New Roman" w:hAnsi="Times New Roman"/>
          <w:sz w:val="21"/>
          <w:szCs w:val="21"/>
          <w:b w:val="1"/>
          <w:bCs w:val="1"/>
          <w:i w:val="1"/>
          <w:iCs w:val="1"/>
          <w:u w:val="single" w:color="auto"/>
          <w:color w:val="auto"/>
        </w:rPr>
      </w:pPr>
      <w:r>
        <w:rPr>
          <w:rFonts w:ascii="Times New Roman" w:cs="Times New Roman" w:eastAsia="Times New Roman" w:hAnsi="Times New Roman"/>
          <w:sz w:val="21"/>
          <w:szCs w:val="21"/>
          <w:b w:val="1"/>
          <w:bCs w:val="1"/>
          <w:i w:val="1"/>
          <w:iCs w:val="1"/>
          <w:u w:val="single" w:color="auto"/>
          <w:color w:val="auto"/>
        </w:rPr>
        <w:t>Data Retention.</w:t>
      </w:r>
      <w:r>
        <w:rPr>
          <w:rFonts w:ascii="Times New Roman" w:cs="Times New Roman" w:eastAsia="Times New Roman" w:hAnsi="Times New Roman"/>
          <w:sz w:val="21"/>
          <w:szCs w:val="21"/>
          <w:b w:val="1"/>
          <w:bCs w:val="1"/>
          <w:i w:val="1"/>
          <w:iCs w:val="1"/>
          <w:color w:val="auto"/>
        </w:rPr>
        <w:t xml:space="preserve"> The Participant understands that the Company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Company’s legal basis for the processing of the Participant’s Personal Data would be compliance with the relevant laws or regulations or the pursuit by the Company of respective legitimate interests not outweighed by the Participant’s interests, rights or freedoms. When the Company no longer needs the Participant’s Personal Data for any of the above purposes, the Participant understands the Company will remove it from its systems.</w:t>
      </w:r>
    </w:p>
    <w:p>
      <w:pPr>
        <w:spacing w:after="0" w:line="190" w:lineRule="exact"/>
        <w:rPr>
          <w:rFonts w:ascii="Times New Roman" w:cs="Times New Roman" w:eastAsia="Times New Roman" w:hAnsi="Times New Roman"/>
          <w:sz w:val="21"/>
          <w:szCs w:val="21"/>
          <w:b w:val="1"/>
          <w:bCs w:val="1"/>
          <w:i w:val="1"/>
          <w:iCs w:val="1"/>
          <w:u w:val="single" w:color="auto"/>
          <w:color w:val="auto"/>
        </w:rPr>
      </w:pPr>
    </w:p>
    <w:p>
      <w:pPr>
        <w:ind w:left="328" w:hanging="328"/>
        <w:spacing w:after="0" w:line="232" w:lineRule="auto"/>
        <w:tabs>
          <w:tab w:leader="none" w:pos="328" w:val="left"/>
        </w:tabs>
        <w:numPr>
          <w:ilvl w:val="0"/>
          <w:numId w:val="53"/>
        </w:numPr>
        <w:rPr>
          <w:rFonts w:ascii="Times New Roman" w:cs="Times New Roman" w:eastAsia="Times New Roman" w:hAnsi="Times New Roman"/>
          <w:sz w:val="22"/>
          <w:szCs w:val="22"/>
          <w:b w:val="1"/>
          <w:bCs w:val="1"/>
          <w:i w:val="1"/>
          <w:iCs w:val="1"/>
          <w:u w:val="single" w:color="auto"/>
          <w:color w:val="auto"/>
        </w:rPr>
      </w:pPr>
      <w:r>
        <w:rPr>
          <w:rFonts w:ascii="Times New Roman" w:cs="Times New Roman" w:eastAsia="Times New Roman" w:hAnsi="Times New Roman"/>
          <w:sz w:val="22"/>
          <w:szCs w:val="22"/>
          <w:b w:val="1"/>
          <w:bCs w:val="1"/>
          <w:i w:val="1"/>
          <w:iCs w:val="1"/>
          <w:u w:val="single" w:color="auto"/>
          <w:color w:val="auto"/>
        </w:rPr>
        <w:t>Data Subject Rights.</w:t>
      </w:r>
      <w:r>
        <w:rPr>
          <w:rFonts w:ascii="Times New Roman" w:cs="Times New Roman" w:eastAsia="Times New Roman" w:hAnsi="Times New Roman"/>
          <w:sz w:val="22"/>
          <w:szCs w:val="22"/>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and is carried out by automated means. The Participant further acknowledges that the exercise of such rights are subject to the limitations and exemptions under applicable data protection</w:t>
      </w:r>
    </w:p>
    <w:p>
      <w:pPr>
        <w:sectPr>
          <w:pgSz w:w="11900" w:h="16838" w:orient="portrait"/>
          <w:cols w:equalWidth="0" w:num="1">
            <w:col w:w="10888"/>
          </w:cols>
          <w:pgMar w:left="652" w:top="1402" w:right="359" w:bottom="1440" w:gutter="0" w:footer="0" w:header="0"/>
        </w:sectPr>
      </w:pPr>
    </w:p>
    <w:bookmarkStart w:id="78" w:name="page79"/>
    <w:bookmarkEnd w:id="78"/>
    <w:p>
      <w:pPr>
        <w:ind w:left="4" w:right="2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laws and that any request to restrict or delete the Personal Data may affect the Participant’s ability to exercise or realize benefits from the Award, and the Participant’s ability to participate in the Plan. In case of concerns, the Participant understands that the Participant may also have the right to lodge a complaint with the competent local data protection authority. To exercise these rights, the Participant may contact the Company’s Data Privacy Officer.</w:t>
      </w:r>
    </w:p>
    <w:p>
      <w:pPr>
        <w:spacing w:after="0" w:line="205" w:lineRule="exact"/>
        <w:rPr>
          <w:sz w:val="20"/>
          <w:szCs w:val="20"/>
          <w:color w:val="auto"/>
        </w:rPr>
      </w:pPr>
    </w:p>
    <w:p>
      <w:pPr>
        <w:ind w:left="-656" w:right="80" w:firstLine="656"/>
        <w:spacing w:after="0" w:line="235" w:lineRule="auto"/>
        <w:tabs>
          <w:tab w:leader="none" w:pos="31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spacing w:after="0" w:line="205" w:lineRule="exact"/>
        <w:rPr>
          <w:rFonts w:ascii="Times New Roman" w:cs="Times New Roman" w:eastAsia="Times New Roman" w:hAnsi="Times New Roman"/>
          <w:sz w:val="22"/>
          <w:szCs w:val="22"/>
          <w:u w:val="single" w:color="auto"/>
          <w:color w:val="auto"/>
        </w:rPr>
      </w:pPr>
    </w:p>
    <w:p>
      <w:pPr>
        <w:ind w:left="-656" w:firstLine="656"/>
        <w:spacing w:after="0" w:line="232" w:lineRule="auto"/>
        <w:tabs>
          <w:tab w:leader="none" w:pos="31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Notwithstanding anything in the Plan to the contrary, the Company or any of its Subsidiaries or Affiliates will be entitled (i) to recoup compensation of whatever kind paid to a Participant under the Plan by the Company or any of its Subsidiaries or Affiliates at any time to the extent permitted or required by applicable law, Company policy, including but not limited to the Sabre Corporation Clawback Policy, and/or the requirements of an exchange on which the Company’s shares of Common Stock are listed for trading, in each case, as in effect from time to time, and (ii) to cancel all or any portion of the RSUs (whether vested or unvested) and/or require repayment of any sums (including, in the case of shares of Common Stock, the value of such shares) or amounts which were received by the Participant in respect of the RSUs in the event the Company believes in good faith that the Participant has breached any existing protective covenants, including but not limited to confidentiality, non-solicitation, non-interference, or non-competition agreements with the Company or any of its Subsidiaries or Affiliates, and by accepting the RSUs pursuant to the Plan and this Agreement, Participant authorizes such clawback and agrees to comply and cooperate with any Company request or demand for such recoupment.</w:t>
      </w:r>
    </w:p>
    <w:p>
      <w:pPr>
        <w:spacing w:after="0" w:line="212" w:lineRule="exact"/>
        <w:rPr>
          <w:rFonts w:ascii="Times New Roman" w:cs="Times New Roman" w:eastAsia="Times New Roman" w:hAnsi="Times New Roman"/>
          <w:sz w:val="22"/>
          <w:szCs w:val="22"/>
          <w:u w:val="single" w:color="auto"/>
          <w:color w:val="auto"/>
        </w:rPr>
      </w:pPr>
    </w:p>
    <w:p>
      <w:pPr>
        <w:ind w:left="-656" w:right="20" w:firstLine="656"/>
        <w:spacing w:after="0" w:line="232" w:lineRule="auto"/>
        <w:tabs>
          <w:tab w:leader="none" w:pos="31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Policy Against Insider Trading</w:t>
      </w:r>
      <w:r>
        <w:rPr>
          <w:rFonts w:ascii="Times New Roman" w:cs="Times New Roman" w:eastAsia="Times New Roman" w:hAnsi="Times New Roman"/>
          <w:sz w:val="22"/>
          <w:szCs w:val="22"/>
          <w:color w:val="auto"/>
        </w:rPr>
        <w:t>. By accepting this grant of RSUs, the Participant acknowledges that the Participant is bound by all the terms and conditions of the Company’s insider trading policy as may be in effect from time to time. The Participant further acknowledges that the Participant may be subject to insider trading restrictions and/or market abuse laws based on the exchange on which the shares of Common Stock are listed and in applicable jurisdictions, including the United States, the Participant’s country and the designated broker’s country, which may affect the Participant’s ability to accept, acquire, sell or otherwise dispose of shares of Common Stock, rights to shares of Common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RSUs) or rights linked to the value of shares of Common Stock under the Plan during such times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The</w:t>
      </w:r>
    </w:p>
    <w:p>
      <w:pPr>
        <w:sectPr>
          <w:pgSz w:w="11900" w:h="16838" w:orient="portrait"/>
          <w:cols w:equalWidth="0" w:num="1">
            <w:col w:w="10584"/>
          </w:cols>
          <w:pgMar w:left="976" w:top="1402" w:right="339" w:bottom="1440" w:gutter="0" w:footer="0" w:header="0"/>
        </w:sectPr>
      </w:pPr>
    </w:p>
    <w:bookmarkStart w:id="79" w:name="page80"/>
    <w:bookmarkEnd w:id="79"/>
    <w:p>
      <w:pPr>
        <w:ind w:right="160"/>
        <w:spacing w:after="0" w:line="258" w:lineRule="auto"/>
        <w:rPr>
          <w:sz w:val="20"/>
          <w:szCs w:val="20"/>
          <w:color w:val="auto"/>
        </w:rPr>
      </w:pPr>
      <w:r>
        <w:rPr>
          <w:rFonts w:ascii="Times New Roman" w:cs="Times New Roman" w:eastAsia="Times New Roman" w:hAnsi="Times New Roman"/>
          <w:sz w:val="22"/>
          <w:szCs w:val="22"/>
          <w:color w:val="auto"/>
        </w:rPr>
        <w:t>Participant acknowledges that it is the Participant’s responsibility to comply with any applicable restrictions, and the Participant should speak to his or her personal advisor on this matter.</w:t>
      </w:r>
    </w:p>
    <w:p>
      <w:pPr>
        <w:spacing w:after="0" w:line="185" w:lineRule="exact"/>
        <w:rPr>
          <w:sz w:val="20"/>
          <w:szCs w:val="20"/>
          <w:color w:val="auto"/>
        </w:rPr>
      </w:pPr>
    </w:p>
    <w:p>
      <w:pPr>
        <w:ind w:right="80" w:firstLine="656"/>
        <w:spacing w:after="0" w:line="233" w:lineRule="auto"/>
        <w:tabs>
          <w:tab w:leader="none" w:pos="972" w:val="left"/>
        </w:tabs>
        <w:numPr>
          <w:ilvl w:val="1"/>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Foreign Asset/Account, Exchange Control and Tax Reporting</w:t>
      </w:r>
      <w:r>
        <w:rPr>
          <w:rFonts w:ascii="Times New Roman" w:cs="Times New Roman" w:eastAsia="Times New Roman" w:hAnsi="Times New Roman"/>
          <w:sz w:val="22"/>
          <w:szCs w:val="22"/>
          <w:color w:val="auto"/>
        </w:rPr>
        <w:t>. The Participant may be subject to foreign asset/account, exchange control and/or tax reporting requirements as a result of the acquisition, holding and/or transfer of shares of Common Stock or cash (including dividends and the proceeds arising from the sale of shares of Common Stock) derived from his or her participation in the Plan, to and/or from a brokerage/bank account or legal entity located outside the Participant’s country. The applicable laws of the Participant’s country may require that he or she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should consult his or her personal legal advisor on this matter.</w:t>
      </w:r>
    </w:p>
    <w:p>
      <w:pPr>
        <w:spacing w:after="0" w:line="208" w:lineRule="exact"/>
        <w:rPr>
          <w:rFonts w:ascii="Times New Roman" w:cs="Times New Roman" w:eastAsia="Times New Roman" w:hAnsi="Times New Roman"/>
          <w:sz w:val="22"/>
          <w:szCs w:val="22"/>
          <w:u w:val="single" w:color="auto"/>
          <w:color w:val="auto"/>
        </w:rPr>
      </w:pPr>
    </w:p>
    <w:p>
      <w:pPr>
        <w:ind w:right="640" w:firstLine="656"/>
        <w:spacing w:after="0" w:line="258" w:lineRule="auto"/>
        <w:tabs>
          <w:tab w:leader="none" w:pos="972" w:val="left"/>
        </w:tabs>
        <w:numPr>
          <w:ilvl w:val="1"/>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shall constitute one and the same instrument.</w:t>
      </w:r>
    </w:p>
    <w:p>
      <w:pPr>
        <w:spacing w:after="0" w:line="185" w:lineRule="exact"/>
        <w:rPr>
          <w:rFonts w:ascii="Times New Roman" w:cs="Times New Roman" w:eastAsia="Times New Roman" w:hAnsi="Times New Roman"/>
          <w:sz w:val="22"/>
          <w:szCs w:val="22"/>
          <w:u w:val="single" w:color="auto"/>
          <w:color w:val="auto"/>
        </w:rPr>
      </w:pPr>
    </w:p>
    <w:p>
      <w:pPr>
        <w:ind w:right="80" w:firstLine="656"/>
        <w:spacing w:after="0" w:line="258" w:lineRule="auto"/>
        <w:tabs>
          <w:tab w:leader="none" w:pos="972" w:val="left"/>
        </w:tabs>
        <w:numPr>
          <w:ilvl w:val="1"/>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 the State of Delaware without regard to the provisions governing conflict of laws.</w:t>
      </w:r>
    </w:p>
    <w:p>
      <w:pPr>
        <w:spacing w:after="0" w:line="185" w:lineRule="exact"/>
        <w:rPr>
          <w:rFonts w:ascii="Times New Roman" w:cs="Times New Roman" w:eastAsia="Times New Roman" w:hAnsi="Times New Roman"/>
          <w:sz w:val="22"/>
          <w:szCs w:val="22"/>
          <w:u w:val="single" w:color="auto"/>
          <w:color w:val="auto"/>
        </w:rPr>
      </w:pPr>
    </w:p>
    <w:p>
      <w:pPr>
        <w:ind w:right="20" w:firstLine="656"/>
        <w:spacing w:after="0" w:line="236" w:lineRule="auto"/>
        <w:tabs>
          <w:tab w:leader="none" w:pos="972" w:val="left"/>
        </w:tabs>
        <w:numPr>
          <w:ilvl w:val="1"/>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For purposes of litigating any dispute that arises directly or indirectly from the relationship of the parties evidenced by this Award and this Agreement, the parties hereby submit to and consent to the exclusive jurisdiction of the State of Texas and agree that such litigation shall be conducted only in the courts of Tarrant County, Texas, or the federal courts for the Northern District of Texas, and no other courts where the grant of this Award is made and/or to be performed.</w:t>
      </w:r>
    </w:p>
    <w:p>
      <w:pPr>
        <w:spacing w:after="0" w:line="206" w:lineRule="exact"/>
        <w:rPr>
          <w:rFonts w:ascii="Times New Roman" w:cs="Times New Roman" w:eastAsia="Times New Roman" w:hAnsi="Times New Roman"/>
          <w:sz w:val="22"/>
          <w:szCs w:val="22"/>
          <w:u w:val="single" w:color="auto"/>
          <w:color w:val="auto"/>
        </w:rPr>
      </w:pPr>
    </w:p>
    <w:p>
      <w:pPr>
        <w:ind w:left="980" w:hanging="324"/>
        <w:spacing w:after="0"/>
        <w:tabs>
          <w:tab w:leader="none" w:pos="980" w:val="left"/>
        </w:tabs>
        <w:numPr>
          <w:ilvl w:val="1"/>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RSUs, the Participant acknowledges, understands and agrees that:</w:t>
      </w:r>
    </w:p>
    <w:p>
      <w:pPr>
        <w:spacing w:after="0" w:line="14" w:lineRule="exact"/>
        <w:rPr>
          <w:rFonts w:ascii="Times New Roman" w:cs="Times New Roman" w:eastAsia="Times New Roman" w:hAnsi="Times New Roman"/>
          <w:sz w:val="22"/>
          <w:szCs w:val="22"/>
          <w:u w:val="single" w:color="auto"/>
          <w:color w:val="auto"/>
        </w:rPr>
      </w:pPr>
    </w:p>
    <w:p>
      <w:pPr>
        <w:ind w:left="660" w:right="580" w:hanging="328"/>
        <w:spacing w:after="0" w:line="230" w:lineRule="auto"/>
        <w:tabs>
          <w:tab w:leader="none" w:pos="65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may be amended, suspended or terminated by the Company at any time, to the extent permitted by the Plan;</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RSU or other grants, if any, will be at the sole discretion of the Company;</w:t>
      </w:r>
    </w:p>
    <w:p>
      <w:pPr>
        <w:ind w:left="660" w:hanging="328"/>
        <w:spacing w:after="0" w:line="230" w:lineRule="auto"/>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ind w:left="660" w:right="140" w:hanging="328"/>
        <w:spacing w:after="0" w:line="224" w:lineRule="auto"/>
        <w:tabs>
          <w:tab w:leader="none" w:pos="65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any shares of Common Stock acquired under the Plan, and the income from and value of the same, are not intended to replace any pension rights or compensation;</w:t>
      </w:r>
    </w:p>
    <w:p>
      <w:pPr>
        <w:ind w:left="660" w:right="60" w:hanging="328"/>
        <w:spacing w:after="0" w:line="234" w:lineRule="auto"/>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any shares of Common Stock acquired under the Plan,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w:t>
      </w:r>
    </w:p>
    <w:p>
      <w:pPr>
        <w:sectPr>
          <w:pgSz w:w="11900" w:h="16838" w:orient="portrait"/>
          <w:cols w:equalWidth="0" w:num="1">
            <w:col w:w="11220"/>
          </w:cols>
          <w:pgMar w:left="320" w:top="1408" w:right="359" w:bottom="1440" w:gutter="0" w:footer="0" w:header="0"/>
        </w:sectPr>
      </w:pPr>
    </w:p>
    <w:bookmarkStart w:id="80" w:name="page81"/>
    <w:bookmarkEnd w:id="80"/>
    <w:p>
      <w:pPr>
        <w:ind w:left="328" w:right="760" w:hanging="328"/>
        <w:spacing w:after="0" w:line="241" w:lineRule="auto"/>
        <w:tabs>
          <w:tab w:leader="none" w:pos="32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of Common Stock underlying the RSUs is unknown, indeterminable, and cannot be predicted with certainty;</w:t>
      </w:r>
    </w:p>
    <w:p>
      <w:pPr>
        <w:spacing w:after="0" w:line="1" w:lineRule="exact"/>
        <w:rPr>
          <w:rFonts w:ascii="Times New Roman" w:cs="Times New Roman" w:eastAsia="Times New Roman" w:hAnsi="Times New Roman"/>
          <w:sz w:val="22"/>
          <w:szCs w:val="22"/>
          <w:color w:val="auto"/>
        </w:rPr>
      </w:pPr>
    </w:p>
    <w:p>
      <w:pPr>
        <w:ind w:left="328" w:hanging="328"/>
        <w:spacing w:after="0" w:line="227" w:lineRule="auto"/>
        <w:tabs>
          <w:tab w:leader="none" w:pos="32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(i) forfeiture of the RSUs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or (ii) or the application of any clawback or compensation recovery policy as described in Section 14 above;</w:t>
      </w:r>
    </w:p>
    <w:p>
      <w:pPr>
        <w:spacing w:after="0" w:line="5" w:lineRule="exact"/>
        <w:rPr>
          <w:rFonts w:ascii="Times New Roman" w:cs="Times New Roman" w:eastAsia="Times New Roman" w:hAnsi="Times New Roman"/>
          <w:sz w:val="22"/>
          <w:szCs w:val="22"/>
          <w:color w:val="auto"/>
        </w:rPr>
      </w:pPr>
    </w:p>
    <w:p>
      <w:pPr>
        <w:ind w:left="328" w:right="20" w:hanging="328"/>
        <w:spacing w:after="0"/>
        <w:tabs>
          <w:tab w:leader="none" w:pos="31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RSUs, the Participant’s Employment or service relationship will be considered terminated as of the date the Participant is no longer actively providing services to the Company, the Employer, or any of the Subsidiaries or Affiliates of the Company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Agreement or determined by the Company, the Participant’s right to vest in the RSUs under the Plan, if any, will terminate as of such date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Participant’s period of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his or her RSU grant (including whether the Participant may still be considered to be providing services while on a leave of absence);</w:t>
      </w:r>
    </w:p>
    <w:p>
      <w:pPr>
        <w:spacing w:after="0" w:line="3" w:lineRule="exact"/>
        <w:rPr>
          <w:rFonts w:ascii="Times New Roman" w:cs="Times New Roman" w:eastAsia="Times New Roman" w:hAnsi="Times New Roman"/>
          <w:sz w:val="21"/>
          <w:szCs w:val="21"/>
          <w:color w:val="auto"/>
        </w:rPr>
      </w:pPr>
    </w:p>
    <w:p>
      <w:pPr>
        <w:jc w:val="both"/>
        <w:ind w:left="328" w:right="280" w:hanging="328"/>
        <w:spacing w:after="0" w:line="230" w:lineRule="auto"/>
        <w:tabs>
          <w:tab w:leader="none" w:pos="3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of the Company;</w:t>
      </w:r>
    </w:p>
    <w:p>
      <w:pPr>
        <w:spacing w:after="0" w:line="2" w:lineRule="exact"/>
        <w:rPr>
          <w:rFonts w:ascii="Times New Roman" w:cs="Times New Roman" w:eastAsia="Times New Roman" w:hAnsi="Times New Roman"/>
          <w:sz w:val="22"/>
          <w:szCs w:val="22"/>
          <w:color w:val="auto"/>
        </w:rPr>
      </w:pPr>
    </w:p>
    <w:p>
      <w:pPr>
        <w:ind w:left="328" w:right="160" w:hanging="328"/>
        <w:spacing w:after="0" w:line="230" w:lineRule="auto"/>
        <w:tabs>
          <w:tab w:leader="none" w:pos="32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RSUs and any shares of Common Stock acquired under the Plan and the income from and value of same, are not granted as consideration for, or in connection with, the service the Participant may provide as a director of a Subsidiary or Affiliate; and</w:t>
      </w:r>
    </w:p>
    <w:p>
      <w:pPr>
        <w:spacing w:after="0" w:line="1" w:lineRule="exact"/>
        <w:rPr>
          <w:rFonts w:ascii="Times New Roman" w:cs="Times New Roman" w:eastAsia="Times New Roman" w:hAnsi="Times New Roman"/>
          <w:sz w:val="22"/>
          <w:szCs w:val="22"/>
          <w:color w:val="auto"/>
        </w:rPr>
      </w:pPr>
    </w:p>
    <w:p>
      <w:pPr>
        <w:ind w:left="308" w:hanging="308"/>
        <w:spacing w:after="0"/>
        <w:tabs>
          <w:tab w:leader="none" w:pos="30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the Participant is providing services outside the United States:</w:t>
      </w:r>
    </w:p>
    <w:p>
      <w:pPr>
        <w:spacing w:after="0" w:line="209" w:lineRule="exact"/>
        <w:rPr>
          <w:rFonts w:ascii="Times New Roman" w:cs="Times New Roman" w:eastAsia="Times New Roman" w:hAnsi="Times New Roman"/>
          <w:sz w:val="22"/>
          <w:szCs w:val="22"/>
          <w:color w:val="auto"/>
        </w:rPr>
      </w:pPr>
    </w:p>
    <w:p>
      <w:pPr>
        <w:ind w:left="968" w:right="160" w:hanging="320"/>
        <w:spacing w:after="0" w:line="235" w:lineRule="auto"/>
        <w:tabs>
          <w:tab w:leader="none" w:pos="963"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of Common Stock subject to the RSUs, and the income from and value of same, are not part of normal or expected compensation or salary for any purpose; and</w:t>
      </w:r>
    </w:p>
    <w:p>
      <w:pPr>
        <w:spacing w:after="0" w:line="1" w:lineRule="exact"/>
        <w:rPr>
          <w:rFonts w:ascii="Times New Roman" w:cs="Times New Roman" w:eastAsia="Times New Roman" w:hAnsi="Times New Roman"/>
          <w:sz w:val="22"/>
          <w:szCs w:val="22"/>
          <w:color w:val="auto"/>
        </w:rPr>
      </w:pPr>
    </w:p>
    <w:p>
      <w:pPr>
        <w:ind w:left="968" w:right="200" w:hanging="320"/>
        <w:spacing w:after="0" w:line="234" w:lineRule="auto"/>
        <w:tabs>
          <w:tab w:leader="none" w:pos="963"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Subsidiary or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of Common Stock acquired upon settlement.</w:t>
      </w:r>
    </w:p>
    <w:p>
      <w:pPr>
        <w:spacing w:after="0" w:line="204" w:lineRule="exact"/>
        <w:rPr>
          <w:rFonts w:ascii="Times New Roman" w:cs="Times New Roman" w:eastAsia="Times New Roman" w:hAnsi="Times New Roman"/>
          <w:sz w:val="22"/>
          <w:szCs w:val="22"/>
          <w:color w:val="auto"/>
        </w:rPr>
      </w:pPr>
    </w:p>
    <w:p>
      <w:pPr>
        <w:ind w:left="-332" w:right="200" w:firstLine="656"/>
        <w:spacing w:after="0" w:line="244" w:lineRule="auto"/>
        <w:tabs>
          <w:tab w:leader="none" w:pos="640" w:val="left"/>
        </w:tabs>
        <w:numPr>
          <w:ilvl w:val="1"/>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Participant’s participation in the Plan, or the Participant’s acquisition or sale of the underlying shares of</w:t>
      </w:r>
    </w:p>
    <w:p>
      <w:pPr>
        <w:sectPr>
          <w:pgSz w:w="11900" w:h="16838" w:orient="portrait"/>
          <w:cols w:equalWidth="0" w:num="1">
            <w:col w:w="10848"/>
          </w:cols>
          <w:pgMar w:left="652" w:top="1408" w:right="399" w:bottom="1440" w:gutter="0" w:footer="0" w:header="0"/>
        </w:sectPr>
      </w:pPr>
    </w:p>
    <w:bookmarkStart w:id="81" w:name="page82"/>
    <w:bookmarkEnd w:id="81"/>
    <w:p>
      <w:pPr>
        <w:ind w:right="60"/>
        <w:spacing w:after="0" w:line="258" w:lineRule="auto"/>
        <w:rPr>
          <w:sz w:val="20"/>
          <w:szCs w:val="20"/>
          <w:color w:val="auto"/>
        </w:rPr>
      </w:pPr>
      <w:r>
        <w:rPr>
          <w:rFonts w:ascii="Times New Roman" w:cs="Times New Roman" w:eastAsia="Times New Roman" w:hAnsi="Times New Roman"/>
          <w:sz w:val="22"/>
          <w:szCs w:val="22"/>
          <w:color w:val="auto"/>
        </w:rPr>
        <w:t>Common Stock. The Participant should consult with his or her own personal tax, legal and financial advisors regarding his or her participation in the Plan before taking any action related to the Plan.</w:t>
      </w:r>
    </w:p>
    <w:p>
      <w:pPr>
        <w:spacing w:after="0" w:line="185" w:lineRule="exact"/>
        <w:rPr>
          <w:sz w:val="20"/>
          <w:szCs w:val="20"/>
          <w:color w:val="auto"/>
        </w:rPr>
      </w:pPr>
    </w:p>
    <w:p>
      <w:pPr>
        <w:ind w:firstLine="656"/>
        <w:spacing w:after="0" w:line="232" w:lineRule="auto"/>
        <w:tabs>
          <w:tab w:leader="none" w:pos="972"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vesting/settlement of the RSUs prior to the completion of any registration or qualification of the shares of Common Stock under any local, state, federal or foreign securities or exchange control law or under rulings or regulations of the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of Common Stock with the SEC or any state or foreign securities commission or to seek approval or clearance from any governmental authority for the issuance or sale of the shares of Common Stock. Further, the Participant agrees that the Company shall have unilateral authority to amend the Plan and the Agreement without the Participant’s consent to the extent necessary to comply with securities or other laws applicable to issuance of shares of Common Stock.</w:t>
      </w:r>
    </w:p>
    <w:p>
      <w:pPr>
        <w:spacing w:after="0" w:line="210" w:lineRule="exact"/>
        <w:rPr>
          <w:rFonts w:ascii="Times New Roman" w:cs="Times New Roman" w:eastAsia="Times New Roman" w:hAnsi="Times New Roman"/>
          <w:sz w:val="22"/>
          <w:szCs w:val="22"/>
          <w:u w:val="single" w:color="auto"/>
          <w:color w:val="auto"/>
        </w:rPr>
      </w:pPr>
    </w:p>
    <w:p>
      <w:pPr>
        <w:ind w:right="380" w:firstLine="656"/>
        <w:spacing w:after="0" w:line="236" w:lineRule="auto"/>
        <w:tabs>
          <w:tab w:leader="none" w:pos="972"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6" w:lineRule="exact"/>
        <w:rPr>
          <w:rFonts w:ascii="Times New Roman" w:cs="Times New Roman" w:eastAsia="Times New Roman" w:hAnsi="Times New Roman"/>
          <w:sz w:val="22"/>
          <w:szCs w:val="22"/>
          <w:u w:val="single" w:color="auto"/>
          <w:color w:val="auto"/>
        </w:rPr>
      </w:pPr>
    </w:p>
    <w:p>
      <w:pPr>
        <w:ind w:right="20" w:firstLine="656"/>
        <w:spacing w:after="0" w:line="238" w:lineRule="auto"/>
        <w:tabs>
          <w:tab w:leader="none" w:pos="972"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he or she proficient in the English language, or has consulted with an advisor who is sufficiently proficient, so as to allow the Participant to understand the terms and conditions of this Agreement. If the Participant has received this Agreement, or any other document related to the RSUs and/or the Plan translated into a language other than English and if the meaning of the translated version is different than the English version, the English version will control.</w:t>
      </w:r>
    </w:p>
    <w:p>
      <w:pPr>
        <w:spacing w:after="0" w:line="203" w:lineRule="exact"/>
        <w:rPr>
          <w:rFonts w:ascii="Times New Roman" w:cs="Times New Roman" w:eastAsia="Times New Roman" w:hAnsi="Times New Roman"/>
          <w:sz w:val="22"/>
          <w:szCs w:val="22"/>
          <w:u w:val="single" w:color="auto"/>
          <w:color w:val="auto"/>
        </w:rPr>
      </w:pPr>
    </w:p>
    <w:p>
      <w:pPr>
        <w:ind w:right="40" w:firstLine="656"/>
        <w:spacing w:after="0" w:line="235" w:lineRule="auto"/>
        <w:tabs>
          <w:tab w:leader="none" w:pos="972"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Notwithstanding any provisions in this Agreement, the RSU grant shall be subject to any special terms and conditions set forth in any appendix to this Agreement for the Participant’s country (the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205" w:lineRule="exact"/>
        <w:rPr>
          <w:rFonts w:ascii="Times New Roman" w:cs="Times New Roman" w:eastAsia="Times New Roman" w:hAnsi="Times New Roman"/>
          <w:sz w:val="22"/>
          <w:szCs w:val="22"/>
          <w:u w:val="single" w:color="auto"/>
          <w:color w:val="auto"/>
        </w:rPr>
      </w:pPr>
    </w:p>
    <w:p>
      <w:pPr>
        <w:jc w:val="both"/>
        <w:ind w:right="100" w:firstLine="656"/>
        <w:spacing w:after="0" w:line="239" w:lineRule="auto"/>
        <w:tabs>
          <w:tab w:leader="none" w:pos="972"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the Participant’s participation in the Plan, on the RSUs and on any shares of Common Stock acquired upon vesting/settlement of the RSUs, to the extent the Company determines it is necessary or advisable for legal or administrative reasons, and to require the Participant to sign any additional agreements or undertakings that may be necessary to accomplish the foregoing.</w:t>
      </w:r>
    </w:p>
    <w:p>
      <w:pPr>
        <w:sectPr>
          <w:pgSz w:w="11900" w:h="16838" w:orient="portrait"/>
          <w:cols w:equalWidth="0" w:num="1">
            <w:col w:w="11220"/>
          </w:cols>
          <w:pgMar w:left="320" w:top="1408" w:right="359" w:bottom="1440" w:gutter="0" w:footer="0" w:header="0"/>
        </w:sectPr>
      </w:pPr>
    </w:p>
    <w:bookmarkStart w:id="82" w:name="page83"/>
    <w:bookmarkEnd w:id="82"/>
    <w:p>
      <w:pPr>
        <w:spacing w:after="0" w:line="212" w:lineRule="exact"/>
        <w:rPr>
          <w:sz w:val="20"/>
          <w:szCs w:val="20"/>
          <w:color w:val="auto"/>
        </w:rPr>
      </w:pPr>
    </w:p>
    <w:p>
      <w:pPr>
        <w:ind w:firstLine="656"/>
        <w:spacing w:after="0" w:line="245" w:lineRule="auto"/>
        <w:tabs>
          <w:tab w:leader="none" w:pos="972" w:val="left"/>
        </w:tabs>
        <w:numPr>
          <w:ilvl w:val="0"/>
          <w:numId w:val="5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Participant Acknowledgment</w:t>
      </w:r>
      <w:r>
        <w:rPr>
          <w:rFonts w:ascii="Times New Roman" w:cs="Times New Roman" w:eastAsia="Times New Roman" w:hAnsi="Times New Roman"/>
          <w:sz w:val="21"/>
          <w:szCs w:val="21"/>
          <w:color w:val="auto"/>
        </w:rPr>
        <w:t>. By the Participant’s electronic acceptance of this Agreement, the Participant hereby acknowledges receipt of a copy of the Plan and agrees that this Award is granted under and governed by the terms and conditions of the Plan and this Agreement. The Participant further acknowledges that all decisions, determinations and interpretations of the Committee in respect of the Plan and this Agreement shall be final and conclusive. The Participant acknowledges that there may be adverse tax consequences upon vesting/settlement of the RSUs or disposition of the underlying shares of Common Stock and that the Participant should consult a tax advisor prior to such vesting or disposition. Finally, the Participant acknowledges that the Participant has reviewed the Plan and this Agreement in their entirety, has had an opportunity to obtain the advice of counsel prior to accepting this Agreement and fully understands all provisions of the Plan and this Agreement.</w:t>
      </w:r>
    </w:p>
    <w:p>
      <w:pPr>
        <w:spacing w:after="0" w:line="200" w:lineRule="exact"/>
        <w:rPr>
          <w:sz w:val="20"/>
          <w:szCs w:val="20"/>
          <w:color w:val="auto"/>
        </w:rPr>
      </w:pPr>
    </w:p>
    <w:p>
      <w:pPr>
        <w:spacing w:after="0" w:line="244"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Sabre Corporation</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 Shawn Williams</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Shawn Williams</w:t>
      </w:r>
    </w:p>
    <w:p>
      <w:pPr>
        <w:spacing w:after="0" w:line="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EVP and Chief Administrative Officer</w:t>
      </w:r>
    </w:p>
    <w:p>
      <w:pPr>
        <w:spacing w:after="0" w:line="200" w:lineRule="exact"/>
        <w:rPr>
          <w:sz w:val="20"/>
          <w:szCs w:val="20"/>
          <w:color w:val="auto"/>
        </w:rPr>
      </w:pPr>
    </w:p>
    <w:p>
      <w:pPr>
        <w:spacing w:after="0" w:line="2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FF0000"/>
        </w:rPr>
        <w:t>###REQUIRED_SIGNATURE###</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w:t>
      </w:r>
    </w:p>
    <w:p>
      <w:pPr>
        <w:ind w:left="1300"/>
        <w:spacing w:after="0"/>
        <w:rPr>
          <w:sz w:val="20"/>
          <w:szCs w:val="20"/>
          <w:color w:val="auto"/>
        </w:rPr>
      </w:pPr>
      <w:r>
        <w:rPr>
          <w:rFonts w:ascii="Times New Roman" w:cs="Times New Roman" w:eastAsia="Times New Roman" w:hAnsi="Times New Roman"/>
          <w:sz w:val="22"/>
          <w:szCs w:val="22"/>
          <w:b w:val="1"/>
          <w:bCs w:val="1"/>
          <w:color w:val="FF0000"/>
        </w:rPr>
        <w:t>###PARTICIPANT_NAME###</w:t>
      </w:r>
    </w:p>
    <w:p>
      <w:pPr>
        <w:sectPr>
          <w:pgSz w:w="11900" w:h="16838" w:orient="portrait"/>
          <w:cols w:equalWidth="0" w:num="1">
            <w:col w:w="11200"/>
          </w:cols>
          <w:pgMar w:left="320" w:top="1440" w:right="37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APPENDIX TO</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SABRE CORPORATION</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2025 OMNIBUS INCENTIVE COMPENSATION PLAN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GLOBAL FORM OF RESTRICTED STOCK UNIT GRANT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This Appendix includes special terms and conditions that govern the RSUs granted to the Participant if the Participant resides in the countries listed herein. These terms and conditions are in addition to, or, if so indicated, in place of, the terms and conditions set forth in the Agreement.</w:t>
      </w:r>
    </w:p>
    <w:p>
      <w:pPr>
        <w:spacing w:after="0" w:line="202"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2"/>
          <w:szCs w:val="22"/>
          <w:i w:val="1"/>
          <w:iCs w:val="1"/>
          <w:color w:val="auto"/>
        </w:rPr>
        <w:t>If the Participant is a citizen or resident of a country other than the one in which the Participant is currently working, transfers employment and/or residency after the Grant Date, or is considered a resident of another country for local law purposes, the Company shall, in its discretion, determine to what extent the terms and conditions contained herein shall be applicable to the Participant.</w:t>
      </w:r>
    </w:p>
    <w:p>
      <w:pPr>
        <w:spacing w:after="0" w:line="203"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meanings assigned to them in the Agreement (of which this Appendix is a part) and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Argentina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This provision supplements Section 20 of the Agreement:</w:t>
      </w:r>
    </w:p>
    <w:p>
      <w:pPr>
        <w:spacing w:after="0" w:line="2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In accepting the grant of the RSUs, the Participant acknowledges and agrees that the grant of the RSUs is made by the Company (not the Employer) in its sole discretion and that the value of any RSUs or shares of Common Stock acquired under the Plan shall not constitute salary or wages for any purpose under Argentine labor law, including the calculation of (i) any labor benefits including, but not limited to, vacation pay, thirteenth salary, compensation in lieu of notice, annual bonus, disability, and leave of absence payments, or (ii) any termination or severance indemnities.</w:t>
      </w:r>
    </w:p>
    <w:p>
      <w:pPr>
        <w:spacing w:after="0" w:line="206"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If, notwithstanding the foregoing, any benefits under the Plan are considered for purposes of calculating any termination or severance indemnities, the Participant acknowledges and agrees that such benefits shall not accrue more frequently than on an annual basis.</w:t>
      </w:r>
    </w:p>
    <w:p>
      <w:pPr>
        <w:spacing w:after="0" w:line="20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1"/>
          <w:szCs w:val="21"/>
          <w:u w:val="single" w:color="auto"/>
          <w:color w:val="auto"/>
        </w:rPr>
        <w:t>Securities Law Information</w:t>
      </w:r>
      <w:r>
        <w:rPr>
          <w:rFonts w:ascii="Times New Roman" w:cs="Times New Roman" w:eastAsia="Times New Roman" w:hAnsi="Times New Roman"/>
          <w:sz w:val="21"/>
          <w:szCs w:val="21"/>
          <w:color w:val="auto"/>
        </w:rPr>
        <w:t>. Neither the RSUs nor the underlying shares of Common Stock are publicly offered or listed on any stock exchange in Argentina. In addition, neither this nor any other offering material related to the RSUs, nor the underlying shares of Common Stock, may be utilized in connection with any general offering to the public in Argentina. Argentine residents who acquire RSUs under the Plan do so according to the terms of a private offering made from outside Argentina.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3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The grant of RSUs is being made pursuant to Division 1A, Part 7.12 of the Corporations Act 2001 (Cth). If the Participant offers shares of Common Stock for</w:t>
      </w:r>
    </w:p>
    <w:p>
      <w:pPr>
        <w:sectPr>
          <w:pgSz w:w="11900" w:h="16838" w:orient="portrait"/>
          <w:cols w:equalWidth="0" w:num="1">
            <w:col w:w="11200"/>
          </w:cols>
          <w:pgMar w:left="320" w:top="1404" w:right="379" w:bottom="1440" w:gutter="0" w:footer="0" w:header="0"/>
        </w:sectPr>
      </w:pPr>
    </w:p>
    <w:bookmarkStart w:id="84" w:name="page85"/>
    <w:bookmarkEnd w:id="84"/>
    <w:p>
      <w:pPr>
        <w:ind w:right="480"/>
        <w:spacing w:after="0" w:line="258" w:lineRule="auto"/>
        <w:rPr>
          <w:sz w:val="20"/>
          <w:szCs w:val="20"/>
          <w:color w:val="auto"/>
        </w:rPr>
      </w:pPr>
      <w:r>
        <w:rPr>
          <w:rFonts w:ascii="Times New Roman" w:cs="Times New Roman" w:eastAsia="Times New Roman" w:hAnsi="Times New Roman"/>
          <w:sz w:val="22"/>
          <w:szCs w:val="22"/>
          <w:color w:val="auto"/>
        </w:rPr>
        <w:t>sale to a person or entity resident in Australia, the offer may be subject to disclosure requirements under Australian law. The Participant personally should obtain legal advice on applicable disclosure obligations prior to making any such offer.</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u w:val="single" w:color="auto"/>
          <w:color w:val="auto"/>
        </w:rPr>
        <w:t>Tax Information.</w:t>
      </w:r>
      <w:r>
        <w:rPr>
          <w:rFonts w:ascii="Times New Roman" w:cs="Times New Roman" w:eastAsia="Times New Roman" w:hAnsi="Times New Roman"/>
          <w:sz w:val="22"/>
          <w:szCs w:val="22"/>
          <w:color w:val="auto"/>
        </w:rPr>
        <w:t xml:space="preserve"> Subdivision 83A-C of the Income Tax Assessment Act, 1997, applies to RSUs granted under the Plan, such that the RSUs are intended to be subject to deferred taxation.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Bahrain</w:t>
      </w:r>
    </w:p>
    <w:p>
      <w:pPr>
        <w:spacing w:after="0" w:line="23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The Agreement, the Plan and all other materials the Participant may receive regarding participation in the Plan do not constitute advertising or the offering of securities in Bahrain, nor do they constitute an allotment of securities in Bahrain. Any shares of Common Stock issued upon settlement of the RSUs will be deposited into a Company-designated brokerage account outside Bahrain. In no event will shares of Common Stock be issued or delivered in Bahrain. The issuance of shares of Common Stock pursuant to the RSUs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RSUs or shares of Common Stock in Bahrain, promote these shares of Common Stock to legal entities or individuals in Bahrain, or sell shares of Common Stock directly to other legal entities or individuals in Bahrain. Any disposition or sale of such shares of Common Stock must take place outside Bahrain.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Barbados</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u w:val="single" w:color="auto"/>
          <w:color w:val="auto"/>
        </w:rPr>
        <w:t>Form of Settlement.</w:t>
      </w:r>
      <w:r>
        <w:rPr>
          <w:rFonts w:ascii="Times New Roman" w:cs="Times New Roman" w:eastAsia="Times New Roman" w:hAnsi="Times New Roman"/>
          <w:sz w:val="22"/>
          <w:szCs w:val="22"/>
          <w:color w:val="auto"/>
        </w:rPr>
        <w:t xml:space="preserve"> Notwithstanding Sections 1 and 4 of the Agreement, due to regulatory requirements in Barbados, the grant of the RSUs does not provide any right for the Participant to receive shares of Common Stock upon settlement of the RSUs and settlement of any RSUs granted hereunder will be made in the form of a cash payment payable through local payroll. The Company reserves the right to provide the Participant with alternative methods of settlement depending on the development of local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Belgium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3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u w:val="single" w:color="auto"/>
          <w:color w:val="auto"/>
        </w:rPr>
        <w:t>Compliance with the Law</w:t>
      </w:r>
      <w:r>
        <w:rPr>
          <w:rFonts w:ascii="Times New Roman" w:cs="Times New Roman" w:eastAsia="Times New Roman" w:hAnsi="Times New Roman"/>
          <w:sz w:val="22"/>
          <w:szCs w:val="22"/>
          <w:color w:val="auto"/>
        </w:rPr>
        <w:t>. By accepting the RSUs, the Participant acknowledges his or her agreement to comply with applicable Brazilian laws and to pay any and all applicable Tax-Related Items.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This provision supplements Section 20 of the Agreement:</w:t>
      </w:r>
    </w:p>
    <w:p>
      <w:pPr>
        <w:sectPr>
          <w:pgSz w:w="11900" w:h="16838" w:orient="portrait"/>
          <w:cols w:equalWidth="0" w:num="1">
            <w:col w:w="11240"/>
          </w:cols>
          <w:pgMar w:left="320" w:top="1408" w:right="339" w:bottom="1440" w:gutter="0" w:footer="0" w:header="0"/>
        </w:sectPr>
      </w:pPr>
    </w:p>
    <w:bookmarkStart w:id="85" w:name="page86"/>
    <w:bookmarkEnd w:id="85"/>
    <w:p>
      <w:pPr>
        <w:ind w:right="280"/>
        <w:spacing w:after="0" w:line="239" w:lineRule="auto"/>
        <w:rPr>
          <w:sz w:val="20"/>
          <w:szCs w:val="20"/>
          <w:color w:val="auto"/>
        </w:rPr>
      </w:pPr>
      <w:r>
        <w:rPr>
          <w:rFonts w:ascii="Times New Roman" w:cs="Times New Roman" w:eastAsia="Times New Roman" w:hAnsi="Times New Roman"/>
          <w:sz w:val="22"/>
          <w:szCs w:val="22"/>
          <w:color w:val="auto"/>
        </w:rPr>
        <w:t>By accepting the RSUs, the Participant agrees that (i) the Participant is making an investment decision, (ii) shares of Common Stock will be issued to the Participant only if the vesting conditions are met, and (iii) the value of the underlying shares of Common Stock is not fixed and may increase or decrease over the vesting and holding periods without compensation to the Participant.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Bulgaria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The following provision supplements Section 4 of the Agreement:</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Notwithstanding any discretion contained in Section 7 of the Plan to the contrary, the RSUs shall be settled in shares of Common Stock only.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The following provision replaces Section 20(i) of the Agreement:</w:t>
      </w:r>
    </w:p>
    <w:p>
      <w:pPr>
        <w:spacing w:after="0" w:line="233" w:lineRule="exact"/>
        <w:rPr>
          <w:sz w:val="20"/>
          <w:szCs w:val="20"/>
          <w:color w:val="auto"/>
        </w:rPr>
      </w:pPr>
    </w:p>
    <w:p>
      <w:pPr>
        <w:ind w:firstLine="8"/>
        <w:spacing w:after="0" w:line="242" w:lineRule="auto"/>
        <w:tabs>
          <w:tab w:leader="none" w:pos="25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termination of the Participant’s Employment or service relationship (whether or not later found to be invalid or unlawful or in breach of employment laws in the jurisdiction where the Participant is employed or the terms of the Participant’s employment agreement, if any), unless otherwise provided in this Agreement or determined by the Company, the Participant’s right to vest in the RSUs under the Plan will terminate effective as of the earlier of (a) the date the Participant’s Employment or service relationship with the Company or any of its Subsidiaries or Affiliates is terminated (b) the date upon which the Participant ceases to provide services, or (c) the date upon which the Participant receives a notice of termination, regardless of any period during which notice, pay in lieu of notice or related payments or damages are provided or required to be provided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active services would not include any contractual notice period or any period of “garden leave” or similar period mandated under employment laws in the jurisdiction where the Participant is employed or the terms of the Participant’s employment agreement, if any). The Participant will not earn, or be entitled to earn, any pro-rated vesting for that portion of time before the date on which the Participant’s right to vest terminates, nor will the Participant be entitled to any compensation for lost vesting. In the event that the date the Participant is no longer actively providing services cannot be reasonably determined under the terms of the Agreement and the Plan, the Committee shall have the exclusive discretion to determine when the Participant is no longer actively providing services for purposes of the RSU grant (including whether the Participant may still be considered to be providing services while on a leave of absence). 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Participant may not be permitted to sell or otherwise dispose of the shares of Common Stock acquired upon settlement of the RSUs within Canada. The</w:t>
      </w:r>
    </w:p>
    <w:p>
      <w:pPr>
        <w:sectPr>
          <w:pgSz w:w="11900" w:h="16838" w:orient="portrait"/>
          <w:cols w:equalWidth="0" w:num="1">
            <w:col w:w="11200"/>
          </w:cols>
          <w:pgMar w:left="320" w:top="1408" w:right="379" w:bottom="1440" w:gutter="0" w:footer="0" w:header="0"/>
        </w:sectPr>
      </w:pPr>
    </w:p>
    <w:bookmarkStart w:id="86" w:name="page87"/>
    <w:bookmarkEnd w:id="86"/>
    <w:p>
      <w:pPr>
        <w:ind w:right="420"/>
        <w:spacing w:after="0" w:line="282" w:lineRule="auto"/>
        <w:rPr>
          <w:sz w:val="20"/>
          <w:szCs w:val="20"/>
          <w:color w:val="auto"/>
        </w:rPr>
      </w:pPr>
      <w:r>
        <w:rPr>
          <w:rFonts w:ascii="Times New Roman" w:cs="Times New Roman" w:eastAsia="Times New Roman" w:hAnsi="Times New Roman"/>
          <w:sz w:val="21"/>
          <w:szCs w:val="21"/>
          <w:color w:val="auto"/>
        </w:rPr>
        <w:t>Participant may only be permitted to sell or dispose of any shares of Common Stock acquired under the Plan if such sale or disposal takes place outside Canada on the facilities on which such shares of Common Stock are traded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on the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Chile</w:t>
      </w: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u w:val="single" w:color="auto"/>
          <w:color w:val="auto"/>
        </w:rPr>
        <w:t>Securities Law Information</w:t>
      </w:r>
      <w:r>
        <w:rPr>
          <w:rFonts w:ascii="Times New Roman" w:cs="Times New Roman" w:eastAsia="Times New Roman" w:hAnsi="Times New Roman"/>
          <w:sz w:val="21"/>
          <w:szCs w:val="21"/>
          <w:color w:val="auto"/>
        </w:rPr>
        <w:t>. The offer of RSUs constitutes a private offering of securities in Chile effective as of the Grant Date. This offer of RSUs is made subject to general ruling N° 336 of the Chilean Commission for the Financial Market (“</w:t>
      </w:r>
      <w:r>
        <w:rPr>
          <w:rFonts w:ascii="Times New Roman" w:cs="Times New Roman" w:eastAsia="Times New Roman" w:hAnsi="Times New Roman"/>
          <w:sz w:val="21"/>
          <w:szCs w:val="21"/>
          <w:u w:val="single" w:color="auto"/>
          <w:color w:val="auto"/>
        </w:rPr>
        <w:t>CMF</w:t>
      </w:r>
      <w:r>
        <w:rPr>
          <w:rFonts w:ascii="Times New Roman" w:cs="Times New Roman" w:eastAsia="Times New Roman" w:hAnsi="Times New Roman"/>
          <w:sz w:val="21"/>
          <w:szCs w:val="21"/>
          <w:color w:val="auto"/>
        </w:rPr>
        <w:t>”). The offer refers to securities not registered at the securities registry or at the foreign securities registry of the CMF, and, therefore, such securities are not subject to oversight of the CMF. Given that the RSUs are not registered in Chile, the Company is not required to provide public information about the RSUs or the shares of Common Stock in Chile. Unless the RSUs and/or the shares of Common Stock are registered with the CMF, a public offering of such securities cannot be made in Chile.</w:t>
      </w:r>
    </w:p>
    <w:p>
      <w:pPr>
        <w:spacing w:after="0" w:line="198"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i w:val="1"/>
          <w:iCs w:val="1"/>
          <w:color w:val="auto"/>
        </w:rPr>
        <w:t>Esta oferta de Unidades de Acciones Restringidas (“</w:t>
      </w:r>
      <w:r>
        <w:rPr>
          <w:rFonts w:ascii="Times New Roman" w:cs="Times New Roman" w:eastAsia="Times New Roman" w:hAnsi="Times New Roman"/>
          <w:sz w:val="22"/>
          <w:szCs w:val="22"/>
          <w:i w:val="1"/>
          <w:iCs w:val="1"/>
          <w:u w:val="single" w:color="auto"/>
          <w:color w:val="auto"/>
        </w:rPr>
        <w:t>RSU</w:t>
      </w:r>
      <w:r>
        <w:rPr>
          <w:rFonts w:ascii="Times New Roman" w:cs="Times New Roman" w:eastAsia="Times New Roman" w:hAnsi="Times New Roman"/>
          <w:sz w:val="22"/>
          <w:szCs w:val="22"/>
          <w:i w:val="1"/>
          <w:iCs w:val="1"/>
          <w:color w:val="auto"/>
        </w:rPr>
        <w:t>”) constituye una oferta privada de valores en Chile y se inicia en la Fecha de la Oferta. Esta oferta de RSU se acoge a las disposiciones de la Norma de Carácter General Nº 336 (“</w:t>
      </w:r>
      <w:r>
        <w:rPr>
          <w:rFonts w:ascii="Times New Roman" w:cs="Times New Roman" w:eastAsia="Times New Roman" w:hAnsi="Times New Roman"/>
          <w:sz w:val="22"/>
          <w:szCs w:val="22"/>
          <w:i w:val="1"/>
          <w:iCs w:val="1"/>
          <w:u w:val="single" w:color="auto"/>
          <w:color w:val="auto"/>
        </w:rPr>
        <w:t>NCG 336</w:t>
      </w:r>
      <w:r>
        <w:rPr>
          <w:rFonts w:ascii="Times New Roman" w:cs="Times New Roman" w:eastAsia="Times New Roman" w:hAnsi="Times New Roman"/>
          <w:sz w:val="22"/>
          <w:szCs w:val="22"/>
          <w:i w:val="1"/>
          <w:iCs w:val="1"/>
          <w:color w:val="auto"/>
        </w:rPr>
        <w:t>”) de la Comisión para el Mercado Financiero de Chile (“</w:t>
      </w:r>
      <w:r>
        <w:rPr>
          <w:rFonts w:ascii="Times New Roman" w:cs="Times New Roman" w:eastAsia="Times New Roman" w:hAnsi="Times New Roman"/>
          <w:sz w:val="22"/>
          <w:szCs w:val="22"/>
          <w:i w:val="1"/>
          <w:iCs w:val="1"/>
          <w:u w:val="single" w:color="auto"/>
          <w:color w:val="auto"/>
        </w:rPr>
        <w:t>CMF</w:t>
      </w:r>
      <w:r>
        <w:rPr>
          <w:rFonts w:ascii="Times New Roman" w:cs="Times New Roman" w:eastAsia="Times New Roman" w:hAnsi="Times New Roman"/>
          <w:sz w:val="22"/>
          <w:szCs w:val="22"/>
          <w:i w:val="1"/>
          <w:iCs w:val="1"/>
          <w:color w:val="auto"/>
        </w:rPr>
        <w:t>”). Esta oferta versa sobre valores no inscritos en el Registro de Valores o en el Registro de Valores Extranjeros que lleva la CMF, por lo que tales valores no están sujetos a la fiscalización de ésta. Por tratarse los RSU de valores no registrados en Chile, no existe obligación por parte de la Compañía de entregar en Chile información pública respecto de los RSU o sus acciones. Estos valores no podrán ser objeto de oferta pública en Chile mientras no sean inscritos en el Registro de Valores correspondiente.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Colombia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This provision supplements Section 20 of the Agreement:</w:t>
      </w:r>
    </w:p>
    <w:p>
      <w:pPr>
        <w:spacing w:after="0" w:line="23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1"/>
          <w:szCs w:val="21"/>
          <w:color w:val="auto"/>
        </w:rPr>
        <w:t>The Participant acknowledges that, pursuant to Article 128 of the Colombian Labor Code, the RSUs and related benefits do not constitute a component of the Participant’s “salary” for any legal purpose. Therefore, the RSUs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shares of Common Stock are not and will not be registered in the Colombian registry of publicly traded securities (</w:t>
      </w:r>
      <w:r>
        <w:rPr>
          <w:rFonts w:ascii="Times New Roman" w:cs="Times New Roman" w:eastAsia="Times New Roman" w:hAnsi="Times New Roman"/>
          <w:sz w:val="22"/>
          <w:szCs w:val="22"/>
          <w:i w:val="1"/>
          <w:iCs w:val="1"/>
          <w:color w:val="auto"/>
        </w:rPr>
        <w:t>Registro Nacional de Valores y Emisores</w:t>
      </w:r>
      <w:r>
        <w:rPr>
          <w:rFonts w:ascii="Times New Roman" w:cs="Times New Roman" w:eastAsia="Times New Roman" w:hAnsi="Times New Roman"/>
          <w:sz w:val="22"/>
          <w:szCs w:val="22"/>
          <w:color w:val="auto"/>
        </w:rPr>
        <w:t>) and, therefore, the shares of Common Stock may not be offered to the public in Colombia.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Nothing in this document should be construed as the making of a public offer of securities in Colombia.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Costa Rica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Cyprus</w:t>
      </w:r>
    </w:p>
    <w:p>
      <w:pPr>
        <w:sectPr>
          <w:pgSz w:w="11900" w:h="16838" w:orient="portrait"/>
          <w:cols w:equalWidth="0" w:num="1">
            <w:col w:w="11220"/>
          </w:cols>
          <w:pgMar w:left="320" w:top="1408" w:right="359" w:bottom="1440" w:gutter="0" w:footer="0" w:header="0"/>
        </w:sectPr>
      </w:pPr>
    </w:p>
    <w:bookmarkStart w:id="87" w:name="page88"/>
    <w:bookmarkEnd w:id="87"/>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Dominican Republic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Ecuador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Egypt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37"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u w:val="single" w:color="auto"/>
          <w:color w:val="auto"/>
        </w:rPr>
        <w:t>Award Not French-qualified</w:t>
      </w:r>
      <w:r>
        <w:rPr>
          <w:rFonts w:ascii="Times New Roman" w:cs="Times New Roman" w:eastAsia="Times New Roman" w:hAnsi="Times New Roman"/>
          <w:sz w:val="22"/>
          <w:szCs w:val="22"/>
          <w:color w:val="auto"/>
        </w:rPr>
        <w:t>. The Participant understands and acknowledges that the RSUs granted under the Agreement are not intended to qualify for specific tax and social security treatment pursuant to Sections L. 225-197-1 to L. 225-197-5 and Sections L. 22-10-59 to L. 22-10-60 of the French Commercial Code, as amended.</w:t>
      </w:r>
    </w:p>
    <w:p>
      <w:pPr>
        <w:spacing w:after="0" w:line="200"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By accepting the RSUs, the Participant confirms having read and understood this Appendix, the Agreement and the Plan, including all terms and conditions included therein, which were provided in the English language. The Participant accepts the terms of these documents accordingly.</w:t>
      </w:r>
    </w:p>
    <w:p>
      <w:pPr>
        <w:spacing w:after="0" w:line="196"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l’attribution, le Participant confirme avoir lu et compris cette Annexe, le Contrat et le Plan, incluant tous leurs termes et conditions, qui ont été transmis en langue anglaise. Le Participant accepte les dispositions de ces documents en connaissance de cause.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Germany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Greece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 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Hong Kong</w:t>
      </w:r>
    </w:p>
    <w:p>
      <w:pPr>
        <w:spacing w:after="0" w:line="237"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2"/>
          <w:szCs w:val="22"/>
          <w:u w:val="single" w:color="auto"/>
          <w:color w:val="auto"/>
        </w:rPr>
        <w:t>Form of Settlement</w:t>
      </w:r>
      <w:r>
        <w:rPr>
          <w:rFonts w:ascii="Times New Roman" w:cs="Times New Roman" w:eastAsia="Times New Roman" w:hAnsi="Times New Roman"/>
          <w:sz w:val="22"/>
          <w:szCs w:val="22"/>
          <w:color w:val="auto"/>
        </w:rPr>
        <w:t>. Notwithstanding any discretion contained in Section 7 of the Plan or anything to the contrary in the Agreement, the RSUs are only payable in shares of Common Stock.</w:t>
      </w:r>
    </w:p>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u w:val="single" w:color="auto"/>
          <w:color w:val="auto"/>
        </w:rPr>
        <w:t>Sale Restriction.</w:t>
      </w:r>
      <w:r>
        <w:rPr>
          <w:rFonts w:ascii="Times New Roman" w:cs="Times New Roman" w:eastAsia="Times New Roman" w:hAnsi="Times New Roman"/>
          <w:sz w:val="22"/>
          <w:szCs w:val="22"/>
          <w:color w:val="auto"/>
        </w:rPr>
        <w:t xml:space="preserve"> Shares of Common Stock received at vesting are accepted as a personal investment. In the event that the RSUs vest and shares of Common Stock are issued to the Participant (or the Participant’s heirs) within six months of the Grant Date, the Participant (or the</w:t>
      </w:r>
    </w:p>
    <w:p>
      <w:pPr>
        <w:sectPr>
          <w:pgSz w:w="11900" w:h="16838" w:orient="portrait"/>
          <w:cols w:equalWidth="0" w:num="1">
            <w:col w:w="11240"/>
          </w:cols>
          <w:pgMar w:left="320" w:top="1440" w:right="339" w:bottom="1440" w:gutter="0" w:footer="0" w:header="0"/>
        </w:sectPr>
      </w:pPr>
    </w:p>
    <w:bookmarkStart w:id="88" w:name="page89"/>
    <w:bookmarkEnd w:id="88"/>
    <w:p>
      <w:pPr>
        <w:ind w:right="180"/>
        <w:spacing w:after="0" w:line="258" w:lineRule="auto"/>
        <w:rPr>
          <w:sz w:val="20"/>
          <w:szCs w:val="20"/>
          <w:color w:val="auto"/>
        </w:rPr>
      </w:pPr>
      <w:r>
        <w:rPr>
          <w:rFonts w:ascii="Times New Roman" w:cs="Times New Roman" w:eastAsia="Times New Roman" w:hAnsi="Times New Roman"/>
          <w:sz w:val="22"/>
          <w:szCs w:val="22"/>
          <w:color w:val="auto"/>
        </w:rPr>
        <w:t>Participant’s heirs) agree that the shares of Common Stock will not be offered to the public or otherwise disposed of prior to the six-month anniversary of the Grant Date.</w:t>
      </w:r>
    </w:p>
    <w:p>
      <w:pPr>
        <w:spacing w:after="0" w:line="18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WARNING: The contents of this document have not been reviewed by any regulatory authority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Hong Kong. The Participant should exercise caution in relation to the offer. If the Participant is in any doubt about any of the contents of this document, he or she should obtain independent professional advice. Neither the grant of the RSUs nor the issuance of shares of Common Stock upon vesting of the RSUs constitutes a public offering of securities under Hong Kong law and are available only to employees of the Company and its Subsidiaries and Affiliates. The Agreement, including this Appendix, the Plan and other incidental communication materials distributed in connection with the RSUs (i) have not been prepared in accordance with and are not intended to constitute a “prospectus” for a public offering of securities under the applicable securities legislation in Hong Kong, and (ii) are intended only for the personal use of each eligible employee of the Company or its Subsidiaries and Affiliates and may not be distributed to any other person.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Iceland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Israel</w:t>
      </w:r>
    </w:p>
    <w:p>
      <w:pPr>
        <w:spacing w:after="0" w:line="2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The following provisions apply to Participants who are or are deemed to be residents of the State of Israel for tax purposes or are otherwise subject to taxation in Israel with respect to RSUs on the Grant Date. </w:t>
      </w:r>
      <w:r>
        <w:rPr>
          <w:rFonts w:ascii="Times New Roman" w:cs="Times New Roman" w:eastAsia="Times New Roman" w:hAnsi="Times New Roman"/>
          <w:sz w:val="22"/>
          <w:szCs w:val="22"/>
          <w:color w:val="auto"/>
        </w:rPr>
        <w:t>Capitalized terms used but not defined in these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or the Plan or the Agreement shall have the meanings ascribed to them in the subplan to the Plan for Israel (the “</w:t>
      </w:r>
      <w:r>
        <w:rPr>
          <w:rFonts w:ascii="Times New Roman" w:cs="Times New Roman" w:eastAsia="Times New Roman" w:hAnsi="Times New Roman"/>
          <w:sz w:val="22"/>
          <w:szCs w:val="22"/>
          <w:u w:val="single" w:color="auto"/>
          <w:color w:val="auto"/>
        </w:rPr>
        <w:t>Israeli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Subplan</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u w:val="single" w:color="auto"/>
          <w:color w:val="auto"/>
        </w:rPr>
        <w:t>Trust Arrangement</w:t>
      </w:r>
      <w:r>
        <w:rPr>
          <w:rFonts w:ascii="Times New Roman" w:cs="Times New Roman" w:eastAsia="Times New Roman" w:hAnsi="Times New Roman"/>
          <w:sz w:val="22"/>
          <w:szCs w:val="22"/>
          <w:color w:val="auto"/>
        </w:rPr>
        <w:t>. The RSUs are offered to the Participant subject to, and in accordance with, the terms of the Plan, the Israeli Subplan, the Agreement and the Trust Agreement.</w:t>
      </w:r>
    </w:p>
    <w:p>
      <w:pPr>
        <w:spacing w:after="0" w:line="18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RSUs are intended to be 102 Capital Gains Track Grants and qualify for 102 Capital Gains Track tax treatment. Certain events may affect the status of the RSUs and the shares of Common Stock subject to the RSUs as qualified under Section 102 and the RSUs and the shares of Common Stock subject to the RSUs may be disqualified in the future. The Company does not make any undertaking or representation to maintain the 102 Capital Gains Track status of the RSUs and the shares of Common Stock subject to the RSUs.</w:t>
      </w:r>
    </w:p>
    <w:p>
      <w:pPr>
        <w:spacing w:after="0" w:line="20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The Participant agrees that, upon request of the Company or the Employer, the Participant will execute the 102 Capital Gains Track Grant acceptance prescribed by the Company or the</w:t>
      </w:r>
    </w:p>
    <w:p>
      <w:pPr>
        <w:sectPr>
          <w:pgSz w:w="11900" w:h="16838" w:orient="portrait"/>
          <w:cols w:equalWidth="0" w:num="1">
            <w:col w:w="11240"/>
          </w:cols>
          <w:pgMar w:left="320" w:top="1408" w:right="339" w:bottom="1440" w:gutter="0" w:footer="0" w:header="0"/>
        </w:sectPr>
      </w:pPr>
    </w:p>
    <w:bookmarkStart w:id="89" w:name="page90"/>
    <w:bookmarkEnd w:id="89"/>
    <w:p>
      <w:pPr>
        <w:ind w:right="120"/>
        <w:spacing w:after="0" w:line="244" w:lineRule="auto"/>
        <w:rPr>
          <w:sz w:val="20"/>
          <w:szCs w:val="20"/>
          <w:color w:val="auto"/>
        </w:rPr>
      </w:pPr>
      <w:r>
        <w:rPr>
          <w:rFonts w:ascii="Times New Roman" w:cs="Times New Roman" w:eastAsia="Times New Roman" w:hAnsi="Times New Roman"/>
          <w:sz w:val="22"/>
          <w:szCs w:val="22"/>
          <w:color w:val="auto"/>
        </w:rPr>
        <w:t>Trustee, according to the procedures and timeline set forth by the Company and the Trustee (which may include executing the Agreement in writing). If the Participant does not comply with any such request, the qualified status of the RSUs and the shares of Common Stock under Section 102 may not apply.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This provision supplements Section 20 of the Agreement:</w:t>
      </w:r>
    </w:p>
    <w:p>
      <w:pPr>
        <w:spacing w:after="0" w:line="2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By accepting the RSUs, the Participant (a) acknowledges receipt of and represents that the Participant has read and is familiar with the Plan, the Israeli Subplan, and the Agreement; (b) accepts the RSUs subject to all of the terms and conditions of Plan, the Israeli Subplan, and the Agreement; and (c) agrees that the RSUs, the shares of Common Stock and any rights issued pursuant to the RSUs and the shares of Common Stock (other than cash dividends) will be issued to and registered in the name of or under the supervision of the Trustee and shall be held in trust for the Participant’s benefit for the Required Holding Period and as otherwise required by the ITO, the Rules and any ruling or approval of the ITA pursuant to the terms of the ITO, the Rules and the Trust Agreement.</w:t>
      </w:r>
    </w:p>
    <w:p>
      <w:pPr>
        <w:spacing w:after="0" w:line="20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Furthermore, by accepting the RSUs, the Participant confirms that the Participant is familiar with the terms and provisions of Section 102, particularly the 102 Capital Gains Track described in subsection (b)(2) and (b)(3) thereof, and agrees that the Participant will not require the Trustee to release the RSUs or the shares of Common Stock to the Participant, or to sell the RSUs or the shares of Common Stock to a third party, during the Required Holding Period, unless permitted to do so by the Company and the ITO or the Rules.</w:t>
      </w:r>
    </w:p>
    <w:p>
      <w:pPr>
        <w:spacing w:after="0" w:line="20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The Company may in its sole discretion replace the Trustee from time to time and instruct the transfer of all RSUs and shares of Common Stock held or administered by such Trustee at such time to its successor and the provisions of the Agreement shall apply to the new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This provision supplements Section 8 of the Agreement:</w:t>
      </w:r>
    </w:p>
    <w:p>
      <w:pPr>
        <w:spacing w:after="0" w:line="233"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1"/>
          <w:szCs w:val="21"/>
          <w:color w:val="auto"/>
        </w:rPr>
        <w:t>In the event the RSUs vest and shares of Common Stock are to be issued to the Participant after the expiration of the Required Holding Period, the shares of Common Stock issued upon vesting shall either be (a) issued to and registered in the name of or under the supervision of the Trustee to be held in trust for the Participant’s benefit, or (b) transferred to the Participant directly upon the Participant’s request, provided that the Participant first complies with the Participant’s obligations with respect to Tax-Related Items. In the event that the Participant elects to have the shares of Common Stock transferred to the Participant without selling such shares of Common Stock, the Participant shall become liable to pay Tax-Related Items immediately in accordance with the provisions of the ITO and Section 8 of the Agreement, as supplemented by this provision.</w:t>
      </w:r>
    </w:p>
    <w:p>
      <w:pPr>
        <w:spacing w:after="0" w:line="180"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22"/>
          <w:szCs w:val="22"/>
          <w:i w:val="1"/>
          <w:iCs w:val="1"/>
          <w:color w:val="auto"/>
        </w:rPr>
        <w:t>The following provisions apply to Participants who permanently transfer to Israel after the Grant Date who do not hold 102 Capital Gains Track Grants.</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1"/>
          <w:szCs w:val="21"/>
          <w:u w:val="single" w:color="auto"/>
          <w:color w:val="auto"/>
        </w:rPr>
        <w:t>Vesting/Sale of Shares</w:t>
      </w:r>
      <w:r>
        <w:rPr>
          <w:rFonts w:ascii="Times New Roman" w:cs="Times New Roman" w:eastAsia="Times New Roman" w:hAnsi="Times New Roman"/>
          <w:sz w:val="21"/>
          <w:szCs w:val="21"/>
          <w:color w:val="auto"/>
        </w:rPr>
        <w:t>. To facilitate compliance with tax withholding obligations in Israel, the Company reserves the right to (a) require the Participant to sell all shares of Common Stock issued under the Agreement either (i) as soon as practicable upon receipt of such shares, or (ii) upon termination of the Participant’s Employment, or (b) to maintain the shares of Common</w:t>
      </w:r>
    </w:p>
    <w:p>
      <w:pPr>
        <w:sectPr>
          <w:pgSz w:w="11900" w:h="16838" w:orient="portrait"/>
          <w:cols w:equalWidth="0" w:num="1">
            <w:col w:w="11160"/>
          </w:cols>
          <w:pgMar w:left="320" w:top="1408" w:right="419" w:bottom="1440" w:gutter="0" w:footer="0" w:header="0"/>
        </w:sectPr>
      </w:pPr>
    </w:p>
    <w:bookmarkStart w:id="90" w:name="page91"/>
    <w:bookmarkEnd w:id="90"/>
    <w:p>
      <w:pPr>
        <w:ind w:right="40"/>
        <w:spacing w:after="0" w:line="233" w:lineRule="auto"/>
        <w:rPr>
          <w:sz w:val="20"/>
          <w:szCs w:val="20"/>
          <w:color w:val="auto"/>
        </w:rPr>
      </w:pPr>
      <w:r>
        <w:rPr>
          <w:rFonts w:ascii="Times New Roman" w:cs="Times New Roman" w:eastAsia="Times New Roman" w:hAnsi="Times New Roman"/>
          <w:sz w:val="22"/>
          <w:szCs w:val="22"/>
          <w:color w:val="auto"/>
        </w:rPr>
        <w:t>Stock issued under the Agreement in an account with the Company’s designated broker, until the shares of Common Stock are sold. By accepting the Agreement, the Participant authorizes the Company to instruct the designated broker to assist with the mandatory sale of such shares of Common Stock (on the Participant’s behalf pursuant to this authorization) and the Participant expressly authorizes the designated broker to complete the sale of such shares. The Participant agrees to sign any forms and/or consents required by the Company or the designated broker to effectuate the sale of the shares of Common Stock. The Participant acknowledges that the designated broker is under no obligation to arrange for the sale of the shares of Common Stock at any particular price. Upon the sale of the shares of Common Stock, the cash proceeds from the sale of the shares of Common Stock, less any brokerage fees or commissions and any Tax-Related Items, will be delivered to the Participant.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applies to all Participants in Israel.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grant of the RSUs does not constitute a public offering under the Securities Law, 1968.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u w:val="single" w:color="auto"/>
          <w:color w:val="auto"/>
        </w:rPr>
        <w:t>Plan Document Acknowledgement</w:t>
      </w:r>
      <w:r>
        <w:rPr>
          <w:rFonts w:ascii="Times New Roman" w:cs="Times New Roman" w:eastAsia="Times New Roman" w:hAnsi="Times New Roman"/>
          <w:sz w:val="22"/>
          <w:szCs w:val="22"/>
          <w:color w:val="auto"/>
        </w:rPr>
        <w:t>. In accepting the RSUs, the Participant acknowledges that he or she has received a copy of the Plan and this Agreement and has reviewed the Plan and this Agreement, in their entirety and fully understands and accepts all provisions of the Plan and this Agreement. The Participant further acknowledges that he or she has read and specifically and expressly approves the following sections of the Agreement: Sections 3, 4, 5, 8, 14, 18, 19, 20, and 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Japan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Jordan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Kazakhstan</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Securities Law Information.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Korea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Kuwait</w:t>
      </w:r>
    </w:p>
    <w:p>
      <w:pPr>
        <w:sectPr>
          <w:pgSz w:w="11900" w:h="16838" w:orient="portrait"/>
          <w:cols w:equalWidth="0" w:num="1">
            <w:col w:w="11240"/>
          </w:cols>
          <w:pgMar w:left="320" w:top="1408" w:right="339" w:bottom="1440" w:gutter="0" w:footer="0" w:header="0"/>
        </w:sectPr>
      </w:pPr>
    </w:p>
    <w:bookmarkStart w:id="91" w:name="page92"/>
    <w:bookmarkEnd w:id="91"/>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Securities Law Information. The Plan does not constitute the marketing or offering of securities in Kuwait pursuant to Law No. 7 of 2010 as amended (establishing the Capital Markets Authority) and its implementing regulations. Offerings under the Plan are being made only to eligible employees of the Company or one of its Subsidiaries or Affiliates.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Lebanon</w:t>
      </w:r>
    </w:p>
    <w:p>
      <w:pPr>
        <w:spacing w:after="0" w:line="23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Securities Law Information. The Plan does not constitute the marketing or offering of securities in Lebanon pursuant to Law No. 161 (2011), the Capital Markets Law. Offerings under the Plan are being made only to eligible employees of the Company or ones of its Subsidiaries or Affiliates.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Malaysia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23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u w:val="single" w:color="auto"/>
          <w:color w:val="auto"/>
        </w:rPr>
        <w:t>Plan Document Acknowledgement</w:t>
      </w:r>
      <w:r>
        <w:rPr>
          <w:rFonts w:ascii="Times New Roman" w:cs="Times New Roman" w:eastAsia="Times New Roman" w:hAnsi="Times New Roman"/>
          <w:sz w:val="22"/>
          <w:szCs w:val="22"/>
          <w:color w:val="auto"/>
        </w:rPr>
        <w:t>. By accepting the RSUs, the Participant acknowledges that he or she has received a copy of the Plan and the Agreement, including this Appendix, which the Participant has reviewed. The Participant acknowledges further that he or she accepts all the provisions of the Plan and the Agreement, including this Appendix. The Participant also acknowledges that he or she has read and specifically and expressly approves the terms and conditions set forth in Section 20 (“</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the Agreement, which clearly provides as follows:</w:t>
      </w:r>
    </w:p>
    <w:p>
      <w:pPr>
        <w:spacing w:after="0" w:line="204"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participation in the Plan does not constitute an acquired right;</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the Participant’s participation in it are offered by the Company on a wholly discretionary basis;</w:t>
      </w:r>
    </w:p>
    <w:p>
      <w:pPr>
        <w:spacing w:after="0" w:line="219"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participation in the Plan is voluntary; and</w:t>
      </w:r>
    </w:p>
    <w:p>
      <w:pPr>
        <w:spacing w:after="0" w:line="233" w:lineRule="exact"/>
        <w:rPr>
          <w:rFonts w:ascii="Times New Roman" w:cs="Times New Roman" w:eastAsia="Times New Roman" w:hAnsi="Times New Roman"/>
          <w:sz w:val="22"/>
          <w:szCs w:val="22"/>
          <w:color w:val="auto"/>
        </w:rPr>
      </w:pPr>
    </w:p>
    <w:p>
      <w:pPr>
        <w:ind w:right="180" w:firstLine="8"/>
        <w:spacing w:after="0" w:line="258" w:lineRule="auto"/>
        <w:tabs>
          <w:tab w:leader="none" w:pos="30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its Subsidiaries and Affiliates are not responsible for any decrease in the value of any shares of Common Stock acquired at vesting and settlement of the RSUs. </w:t>
      </w:r>
      <w:r>
        <w:rPr>
          <w:rFonts w:ascii="Times New Roman" w:cs="Times New Roman" w:eastAsia="Times New Roman" w:hAnsi="Times New Roman"/>
          <w:sz w:val="22"/>
          <w:szCs w:val="22"/>
          <w:u w:val="single" w:color="auto"/>
          <w:color w:val="auto"/>
        </w:rPr>
        <w:t>Labor</w:t>
      </w:r>
    </w:p>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u w:val="single" w:color="auto"/>
          <w:color w:val="auto"/>
        </w:rPr>
        <w:t>Law Policy and Acknowledgment</w:t>
      </w:r>
      <w:r>
        <w:rPr>
          <w:rFonts w:ascii="Times New Roman" w:cs="Times New Roman" w:eastAsia="Times New Roman" w:hAnsi="Times New Roman"/>
          <w:sz w:val="21"/>
          <w:szCs w:val="21"/>
          <w:color w:val="auto"/>
        </w:rPr>
        <w:t>. By accepting the RSUs, the Participant expressly recognizes that the Company, with registered offices at 3150 Sabre Drive, Southlake, Texas 76092, U.S.A., is solely responsible for the administration of the Plan and that the Participant’s participation in the Plan and acquisition of shares of Common Stock do not constitute an employment relationship between the Participant and the Company because the Participant is participating in the Plan on a wholly commercial basis and his or her sole employer is Sabre Sociedad Tecnologica S.A. de C.V. (“</w:t>
      </w:r>
      <w:r>
        <w:rPr>
          <w:rFonts w:ascii="Times New Roman" w:cs="Times New Roman" w:eastAsia="Times New Roman" w:hAnsi="Times New Roman"/>
          <w:sz w:val="21"/>
          <w:szCs w:val="21"/>
          <w:u w:val="single" w:color="auto"/>
          <w:color w:val="auto"/>
        </w:rPr>
        <w:t>Sabre Mexico</w:t>
      </w:r>
      <w:r>
        <w:rPr>
          <w:rFonts w:ascii="Times New Roman" w:cs="Times New Roman" w:eastAsia="Times New Roman" w:hAnsi="Times New Roman"/>
          <w:sz w:val="21"/>
          <w:szCs w:val="21"/>
          <w:color w:val="auto"/>
        </w:rPr>
        <w:t>”), located at Boulevard Manuel Ávila Camacho Número 40, Piso 14, Colonia Lomas De Chapultepec, Alcaldía Miguel Hidalgo, Ciudad De México, C.P. 11000, Mexico. Based on the foregoing, the Participant expressly recognizes that the Plan and the benefits that he or she may derive from participating in the Plan do not establish any rights between the Participant and Sabre Mexico, and do not form part of the employment conditions and/or benefits provided by Sabre Mexico, and any modification of the Plan or its</w:t>
      </w:r>
    </w:p>
    <w:p>
      <w:pPr>
        <w:sectPr>
          <w:pgSz w:w="11900" w:h="16838" w:orient="portrait"/>
          <w:cols w:equalWidth="0" w:num="1">
            <w:col w:w="11200"/>
          </w:cols>
          <w:pgMar w:left="320" w:top="1408"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termination shall not constitute a change or impairment of the terms and conditions of the Participant’s Employment.</w:t>
      </w:r>
    </w:p>
    <w:p>
      <w:pPr>
        <w:spacing w:after="0" w:line="233"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The Participant further understands that his or her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200"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1"/>
          <w:szCs w:val="21"/>
          <w:color w:val="auto"/>
        </w:rPr>
        <w:t>Finally, the Participant hereby declares that he or she does not reserve to him- or herself any action or right to bring any claim against the Company for any compensation or damages regarding any provision of the Plan or the benefits derived under the Plan, and the Participant therefore grants a full and broad release to the Company, and its Subsidiaries, branches, representative offices, shareholders, directors, officers, employees, agents, or legal representatives with respect to any claim that may arise.</w:t>
      </w:r>
    </w:p>
    <w:p>
      <w:pPr>
        <w:spacing w:after="0" w:line="1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u w:val="single" w:color="auto"/>
          <w:color w:val="auto"/>
        </w:rPr>
        <w:t>Securities Law Information</w:t>
      </w:r>
      <w:r>
        <w:rPr>
          <w:rFonts w:ascii="Times New Roman" w:cs="Times New Roman" w:eastAsia="Times New Roman" w:hAnsi="Times New Roman"/>
          <w:sz w:val="21"/>
          <w:szCs w:val="21"/>
          <w:color w:val="auto"/>
        </w:rPr>
        <w:t>. The RSUs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Award may not be publicly distributed in Mexico. These materials are addressed to the Participant only because of the Participant’s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individuals who are present service providers of the Company’s Subsidiaries or Affiliates in Mexico made in accordance with the provisions of the Mexican Securities Market Law, and any rights under such offering shall not be assigned or transferred</w:t>
      </w:r>
      <w:r>
        <w:rPr>
          <w:rFonts w:ascii="Times New Roman" w:cs="Times New Roman" w:eastAsia="Times New Roman" w:hAnsi="Times New Roman"/>
          <w:sz w:val="21"/>
          <w:szCs w:val="21"/>
          <w:i w:val="1"/>
          <w:iCs w:val="1"/>
          <w:color w:val="auto"/>
        </w:rPr>
        <w:t>.</w:t>
      </w:r>
    </w:p>
    <w:p>
      <w:pPr>
        <w:spacing w:after="0" w:line="19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1"/>
          <w:szCs w:val="21"/>
          <w:i w:val="1"/>
          <w:iCs w:val="1"/>
          <w:u w:val="single" w:color="auto"/>
          <w:color w:val="auto"/>
        </w:rPr>
        <w:t>Reconocimiento del Documento del Plan</w:t>
      </w:r>
      <w:r>
        <w:rPr>
          <w:rFonts w:ascii="Times New Roman" w:cs="Times New Roman" w:eastAsia="Times New Roman" w:hAnsi="Times New Roman"/>
          <w:sz w:val="21"/>
          <w:szCs w:val="21"/>
          <w:i w:val="1"/>
          <w:iCs w:val="1"/>
          <w:color w:val="auto"/>
        </w:rPr>
        <w:t>. Al aceptar las Unidades de Acciones Restringidas (RSUs, por sus siglas en inglés), el Participante reconoce que ha recibido una copia del Plan y del Acuerdo, con inclusión de este Apéndice, lo cual el Participante ha revisado. El Participante reconoce, además, que acepta todas las disposiciones del Plan y del Acuerdo, incluyendo este Apéndice. El Participante también reconoce que ha leído y que concretamente aprueba de forma expresa los términos y condiciones establecidos en la Sección 20 (“</w:t>
      </w:r>
      <w:r>
        <w:rPr>
          <w:rFonts w:ascii="Times New Roman" w:cs="Times New Roman" w:eastAsia="Times New Roman" w:hAnsi="Times New Roman"/>
          <w:sz w:val="21"/>
          <w:szCs w:val="21"/>
          <w:i w:val="1"/>
          <w:iCs w:val="1"/>
          <w:u w:val="single" w:color="auto"/>
          <w:color w:val="auto"/>
        </w:rPr>
        <w:t>Naturaleza de la Subvención</w:t>
      </w:r>
      <w:r>
        <w:rPr>
          <w:rFonts w:ascii="Times New Roman" w:cs="Times New Roman" w:eastAsia="Times New Roman" w:hAnsi="Times New Roman"/>
          <w:sz w:val="21"/>
          <w:szCs w:val="21"/>
          <w:i w:val="1"/>
          <w:iCs w:val="1"/>
          <w:color w:val="auto"/>
        </w:rPr>
        <w:t>”) del Acuerdo, que claramente dispone lo siguiente:</w:t>
      </w:r>
    </w:p>
    <w:p>
      <w:pPr>
        <w:spacing w:after="0" w:line="192"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participación del Participante en el Plan no constituye un derecho adquirido;</w:t>
      </w:r>
    </w:p>
    <w:p>
      <w:pPr>
        <w:spacing w:after="0" w:line="233" w:lineRule="exact"/>
        <w:rPr>
          <w:rFonts w:ascii="Times New Roman" w:cs="Times New Roman" w:eastAsia="Times New Roman" w:hAnsi="Times New Roman"/>
          <w:sz w:val="22"/>
          <w:szCs w:val="22"/>
          <w:i w:val="1"/>
          <w:iCs w:val="1"/>
          <w:color w:val="auto"/>
        </w:rPr>
      </w:pPr>
    </w:p>
    <w:p>
      <w:pPr>
        <w:ind w:left="320" w:hanging="312"/>
        <w:spacing w:after="0"/>
        <w:tabs>
          <w:tab w:leader="none" w:pos="320" w:val="left"/>
        </w:tabs>
        <w:numPr>
          <w:ilvl w:val="0"/>
          <w:numId w:val="6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 Plan y la participación del Participante en el Plan se ofrecen por la Compañía en su discrecionalidad total;</w:t>
      </w:r>
    </w:p>
    <w:p>
      <w:pPr>
        <w:spacing w:after="0" w:line="233" w:lineRule="exact"/>
        <w:rPr>
          <w:rFonts w:ascii="Times New Roman" w:cs="Times New Roman" w:eastAsia="Times New Roman" w:hAnsi="Times New Roman"/>
          <w:sz w:val="22"/>
          <w:szCs w:val="22"/>
          <w:i w:val="1"/>
          <w:iCs w:val="1"/>
          <w:color w:val="auto"/>
        </w:rPr>
      </w:pPr>
    </w:p>
    <w:p>
      <w:pPr>
        <w:ind w:left="320" w:hanging="312"/>
        <w:spacing w:after="0"/>
        <w:tabs>
          <w:tab w:leader="none" w:pos="320" w:val="left"/>
        </w:tabs>
        <w:numPr>
          <w:ilvl w:val="0"/>
          <w:numId w:val="6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Que la participación del Participante en el Plan es voluntaria; y</w:t>
      </w:r>
    </w:p>
    <w:p>
      <w:pPr>
        <w:spacing w:after="0" w:line="233" w:lineRule="exact"/>
        <w:rPr>
          <w:rFonts w:ascii="Times New Roman" w:cs="Times New Roman" w:eastAsia="Times New Roman" w:hAnsi="Times New Roman"/>
          <w:sz w:val="22"/>
          <w:szCs w:val="22"/>
          <w:i w:val="1"/>
          <w:iCs w:val="1"/>
          <w:color w:val="auto"/>
        </w:rPr>
      </w:pPr>
    </w:p>
    <w:p>
      <w:pPr>
        <w:ind w:right="80" w:firstLine="8"/>
        <w:spacing w:after="0" w:line="262" w:lineRule="auto"/>
        <w:tabs>
          <w:tab w:leader="none" w:pos="306" w:val="left"/>
        </w:tabs>
        <w:numPr>
          <w:ilvl w:val="0"/>
          <w:numId w:val="6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Compañía y sus Filiales y Afiliadas no son responsables de ninguna disminución en el valor de las acciones adquiridas al conferir las RSUs.</w:t>
      </w:r>
    </w:p>
    <w:p>
      <w:pPr>
        <w:spacing w:after="0" w:line="177"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2"/>
          <w:szCs w:val="22"/>
          <w:i w:val="1"/>
          <w:iCs w:val="1"/>
          <w:u w:val="single" w:color="auto"/>
          <w:color w:val="auto"/>
        </w:rPr>
        <w:t>Política Laboral y Reconocimiento</w:t>
      </w:r>
      <w:r>
        <w:rPr>
          <w:rFonts w:ascii="Times New Roman" w:cs="Times New Roman" w:eastAsia="Times New Roman" w:hAnsi="Times New Roman"/>
          <w:sz w:val="22"/>
          <w:szCs w:val="22"/>
          <w:i w:val="1"/>
          <w:iCs w:val="1"/>
          <w:color w:val="auto"/>
        </w:rPr>
        <w:t>. Al aceptar las RSUs, el Participante expresamente reconoce que la Compañía, con sus oficinas registradas y ubicadas en 3150 Sabre Drive, Southlake, Texas 76092, EE.UU., es la única responsable por la administración del Plan y que la participación</w:t>
      </w:r>
    </w:p>
    <w:p>
      <w:pPr>
        <w:sectPr>
          <w:pgSz w:w="11900" w:h="16838" w:orient="portrait"/>
          <w:cols w:equalWidth="0" w:num="1">
            <w:col w:w="11240"/>
          </w:cols>
          <w:pgMar w:left="320" w:top="1408" w:right="339" w:bottom="1440" w:gutter="0" w:footer="0" w:header="0"/>
        </w:sectPr>
      </w:pPr>
    </w:p>
    <w:bookmarkStart w:id="93" w:name="page94"/>
    <w:bookmarkEnd w:id="93"/>
    <w:p>
      <w:pPr>
        <w:ind w:right="40"/>
        <w:spacing w:after="0" w:line="234" w:lineRule="auto"/>
        <w:rPr>
          <w:sz w:val="20"/>
          <w:szCs w:val="20"/>
          <w:color w:val="auto"/>
        </w:rPr>
      </w:pPr>
      <w:r>
        <w:rPr>
          <w:rFonts w:ascii="Times New Roman" w:cs="Times New Roman" w:eastAsia="Times New Roman" w:hAnsi="Times New Roman"/>
          <w:sz w:val="22"/>
          <w:szCs w:val="22"/>
          <w:i w:val="1"/>
          <w:iCs w:val="1"/>
          <w:color w:val="auto"/>
        </w:rPr>
        <w:t>del Participante en el Plan y en su caso la adquisición de acciones no constituyen una relación de trabajo entre el Participante y la Compañía, ya que el Participante participa en el Plan en un marco totalmente comercial y su único patrón es Sabre Sociedad Tecnologica S.A. de C.V. (“</w:t>
      </w:r>
      <w:r>
        <w:rPr>
          <w:rFonts w:ascii="Times New Roman" w:cs="Times New Roman" w:eastAsia="Times New Roman" w:hAnsi="Times New Roman"/>
          <w:sz w:val="22"/>
          <w:szCs w:val="22"/>
          <w:i w:val="1"/>
          <w:iCs w:val="1"/>
          <w:u w:val="single" w:color="auto"/>
          <w:color w:val="auto"/>
        </w:rPr>
        <w:t>Sabre Mexico</w:t>
      </w:r>
      <w:r>
        <w:rPr>
          <w:rFonts w:ascii="Times New Roman" w:cs="Times New Roman" w:eastAsia="Times New Roman" w:hAnsi="Times New Roman"/>
          <w:sz w:val="22"/>
          <w:szCs w:val="22"/>
          <w:i w:val="1"/>
          <w:iCs w:val="1"/>
          <w:color w:val="auto"/>
        </w:rPr>
        <w:t>”), located at Boulevard Manuel Ávila Camacho Número 40, Piso 14, Colonia Lomas De Chapultepec, Alcaldía Miguel Hidalgo, Ciudad De México, C.P. 11000, Mexico. Derivado de lo anterior, el Participante expresamente reconoce que el Plan y los beneficios que pudieran derivar de la participación en el Plan no establecen derecho alguno entre el Participante y el patrón, Sabre Mexico, y no forma parte de las condiciones de trabajo y/o las prestaciones otorgadas por Sabre Mexico, y que cualquier modificación al Plan o su terminación no constituye un cambio o desmejora de los términos y condiciones de la relación de trabajo del Participante.</w:t>
      </w:r>
    </w:p>
    <w:p>
      <w:pPr>
        <w:spacing w:after="0" w:line="200"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2"/>
          <w:szCs w:val="22"/>
          <w:i w:val="1"/>
          <w:iCs w:val="1"/>
          <w:color w:val="auto"/>
        </w:rPr>
        <w:t>Asimismo, el Participante reconoce que su participación en el Plan se ha resultado de una decisión unilateral y discrecional de la Compañía; por lo tanto, la Compañía se reserva el derecho absoluto de modificar y/o terminar la participación del Participante en cualquier momento y sin responsabilidad alguna frente el Participante.</w:t>
      </w:r>
    </w:p>
    <w:p>
      <w:pPr>
        <w:spacing w:after="0" w:line="194"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i w:val="1"/>
          <w:iCs w:val="1"/>
          <w:color w:val="auto"/>
        </w:rPr>
        <w:t>Finalmente, el Participante por este medio declara que no se reserva ninguna derecho o acción en contra de la Compañía por cualquier compensación o daños y perjuicios en relación de las disposiciones del Plan o de los beneficios derivados del Plan, y por lo tanto, el Participante otorga el más amplio finiquito que en derecho proceda a la Compañía, y sus filiales, oficinas de representación, accionistas, directores, autoridades, empleados, agentes, o representantes legales en relación con cualquier demanda que pudiera surgir.</w:t>
      </w:r>
    </w:p>
    <w:p>
      <w:pPr>
        <w:spacing w:after="0" w:line="20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i w:val="1"/>
          <w:iCs w:val="1"/>
          <w:u w:val="single" w:color="auto"/>
          <w:color w:val="auto"/>
        </w:rPr>
        <w:t>La Ley de Valores</w:t>
      </w:r>
      <w:r>
        <w:rPr>
          <w:rFonts w:ascii="Times New Roman" w:cs="Times New Roman" w:eastAsia="Times New Roman" w:hAnsi="Times New Roman"/>
          <w:sz w:val="22"/>
          <w:szCs w:val="22"/>
          <w:i w:val="1"/>
          <w:iCs w:val="1"/>
          <w:color w:val="auto"/>
        </w:rPr>
        <w:t>. Las unidades de acciones restringidas (“</w:t>
      </w:r>
      <w:r>
        <w:rPr>
          <w:rFonts w:ascii="Times New Roman" w:cs="Times New Roman" w:eastAsia="Times New Roman" w:hAnsi="Times New Roman"/>
          <w:sz w:val="22"/>
          <w:szCs w:val="22"/>
          <w:i w:val="1"/>
          <w:iCs w:val="1"/>
          <w:u w:val="single" w:color="auto"/>
          <w:color w:val="auto"/>
        </w:rPr>
        <w:t>RSUs</w:t>
      </w:r>
      <w:r>
        <w:rPr>
          <w:rFonts w:ascii="Times New Roman" w:cs="Times New Roman" w:eastAsia="Times New Roman" w:hAnsi="Times New Roman"/>
          <w:sz w:val="22"/>
          <w:szCs w:val="22"/>
          <w:i w:val="1"/>
          <w:iCs w:val="1"/>
          <w:color w:val="auto"/>
        </w:rPr>
        <w:t>,” por sus siglas en inglés) y las acciones comunes ofrecidas bajo el Plan no se han registrado con el Registro Nacional de Valores que se mantiene por la Comisión Nacional Bancaria y de Valores y no pueden ser ofrecidos públicamente en México. Además, el Plan, el Acuerdo y cualquier documento que se relata al Otorgamiento no puede ser distribuido públicamente en México. Esta materiales se dirigen al Participante solo por causa de la relación existente del Participante con la Compañía y estas materia no deben ser reproducidas en cualquier forma. La oferta que se contiene en estas materiales no constituye una oferta pública de valores, sino más bien constituye una colocación privada de valores que se dirige específicamente a individuos quienes están prestando servicios a las Subsidiarias o Filiales de la Compañía en México y se hace conforme con las provisiones de la Ley del Mercado de Valores, y cualquier derechos bajo tal oferta no serán asignados o transferidos.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Zealand</w:t>
      </w:r>
    </w:p>
    <w:p>
      <w:pPr>
        <w:spacing w:after="0" w:line="237"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WARNING: This is an offer of RSUs which, upon vesting and settlement in accordance with the terms of the Plan and the Agreement, will be converted into shares of Common Stock. Shares of Common Stock give the Participant a stake in the ownership of Sabre Corporation. The Participant may receive a return if dividends are paid.</w:t>
      </w:r>
    </w:p>
    <w:p>
      <w:pPr>
        <w:sectPr>
          <w:pgSz w:w="11900" w:h="16838" w:orient="portrait"/>
          <w:cols w:equalWidth="0" w:num="1">
            <w:col w:w="11220"/>
          </w:cols>
          <w:pgMar w:left="320" w:top="1404" w:right="359" w:bottom="1440" w:gutter="0" w:footer="0" w:header="0"/>
        </w:sectPr>
      </w:pPr>
    </w:p>
    <w:bookmarkStart w:id="94" w:name="page95"/>
    <w:bookmarkEnd w:id="94"/>
    <w:p>
      <w:pPr>
        <w:ind w:right="480"/>
        <w:spacing w:after="0" w:line="258" w:lineRule="auto"/>
        <w:rPr>
          <w:sz w:val="20"/>
          <w:szCs w:val="20"/>
          <w:color w:val="auto"/>
        </w:rPr>
      </w:pPr>
      <w:r>
        <w:rPr>
          <w:rFonts w:ascii="Times New Roman" w:cs="Times New Roman" w:eastAsia="Times New Roman" w:hAnsi="Times New Roman"/>
          <w:sz w:val="22"/>
          <w:szCs w:val="22"/>
          <w:color w:val="auto"/>
        </w:rPr>
        <w:t>If Sabre Corporation runs into financial difficulties and is wound up, the Participant will be paid only after all creditors and holders of preferred shares have been paid. The Participant may lose some or all of his or her investment.</w:t>
      </w:r>
    </w:p>
    <w:p>
      <w:pPr>
        <w:spacing w:after="0" w:line="18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the Participant may not be given all the information usually required. The Participant will also have fewer other legal protections for this investment.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Ask questions, read all documents carefully, and seek independent financial advice before committing.</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Prior to the vesting and settlement of the RSUs, the Participant will not have any rights of ownership (e.g., voting rights) with respect to the underlying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interest in any RSUs may be transferred (legally or beneficially), sold, pledged, hypothecated or encumbered.</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shares of Common Stock are quoted on the Nasdaq. This means that if the Participant acquires shares of Common Stock under the Plan, the Participant may be able to sell them on the Nasdaq if there are interested buyers. The Participant may get less than he or she invested. The price will depend on the demand for the shares of Common Stock.</w:t>
      </w:r>
    </w:p>
    <w:p>
      <w:pPr>
        <w:spacing w:after="0" w:line="200" w:lineRule="exact"/>
        <w:rPr>
          <w:sz w:val="20"/>
          <w:szCs w:val="20"/>
          <w:color w:val="auto"/>
        </w:rPr>
      </w:pPr>
    </w:p>
    <w:p>
      <w:pPr>
        <w:ind w:right="980"/>
        <w:spacing w:after="0" w:line="241" w:lineRule="auto"/>
        <w:rPr>
          <w:sz w:val="20"/>
          <w:szCs w:val="20"/>
          <w:color w:val="auto"/>
        </w:rPr>
      </w:pPr>
      <w:r>
        <w:rPr>
          <w:rFonts w:ascii="Times New Roman" w:cs="Times New Roman" w:eastAsia="Times New Roman" w:hAnsi="Times New Roman"/>
          <w:sz w:val="22"/>
          <w:szCs w:val="22"/>
          <w:color w:val="auto"/>
        </w:rPr>
        <w:t xml:space="preserve">The Participant also is hereby notified that the documents listed below are available for review on the SEC website at </w:t>
      </w:r>
      <w:r>
        <w:rPr>
          <w:rFonts w:ascii="Times New Roman" w:cs="Times New Roman" w:eastAsia="Times New Roman" w:hAnsi="Times New Roman"/>
          <w:sz w:val="22"/>
          <w:szCs w:val="22"/>
          <w:color w:val="0000FF"/>
        </w:rPr>
        <w:t xml:space="preserve">www.sec.gov </w:t>
      </w:r>
      <w:r>
        <w:rPr>
          <w:rFonts w:ascii="Times New Roman" w:cs="Times New Roman" w:eastAsia="Times New Roman" w:hAnsi="Times New Roman"/>
          <w:sz w:val="22"/>
          <w:szCs w:val="22"/>
          <w:color w:val="000000"/>
        </w:rPr>
        <w:t>or the library section of the Morgan Stanley Smith Barney website at</w:t>
      </w:r>
      <w:r>
        <w:rPr>
          <w:rFonts w:ascii="Times New Roman" w:cs="Times New Roman" w:eastAsia="Times New Roman" w:hAnsi="Times New Roman"/>
          <w:sz w:val="22"/>
          <w:szCs w:val="22"/>
          <w:color w:val="0000FF"/>
        </w:rPr>
        <w:t xml:space="preserve"> www.stockplanconnect.com</w:t>
      </w:r>
      <w:r>
        <w:rPr>
          <w:rFonts w:ascii="Times New Roman" w:cs="Times New Roman" w:eastAsia="Times New Roman" w:hAnsi="Times New Roman"/>
          <w:sz w:val="22"/>
          <w:szCs w:val="22"/>
          <w:color w:val="000000"/>
        </w:rPr>
        <w:t>:</w:t>
      </w:r>
    </w:p>
    <w:p>
      <w:pPr>
        <w:ind w:left="660" w:hanging="328"/>
        <w:spacing w:after="0" w:line="232"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Sabre Corporation’s most recent Annual Report (Form 10-K);</w:t>
      </w:r>
    </w:p>
    <w:p>
      <w:pPr>
        <w:ind w:left="660" w:right="280" w:hanging="328"/>
        <w:spacing w:after="0" w:line="223" w:lineRule="auto"/>
        <w:tabs>
          <w:tab w:leader="none" w:pos="651" w:val="left"/>
        </w:tabs>
        <w:numPr>
          <w:ilvl w:val="0"/>
          <w:numId w:val="63"/>
        </w:numPr>
        <w:rPr>
          <w:rFonts w:ascii="Arial" w:cs="Arial" w:eastAsia="Arial" w:hAnsi="Arial"/>
          <w:sz w:val="22"/>
          <w:szCs w:val="22"/>
          <w:color w:val="auto"/>
        </w:rPr>
      </w:pPr>
      <w:r>
        <w:rPr>
          <w:rFonts w:ascii="Times New Roman" w:cs="Times New Roman" w:eastAsia="Times New Roman" w:hAnsi="Times New Roman"/>
          <w:sz w:val="22"/>
          <w:szCs w:val="22"/>
          <w:color w:val="auto"/>
        </w:rPr>
        <w:t>Sabre Corporation’s most recent published financial statements (Form 10-Q or 10-K) and the auditor’s report on those financial statements;</w:t>
      </w:r>
    </w:p>
    <w:p>
      <w:pPr>
        <w:spacing w:after="0" w:line="1" w:lineRule="exact"/>
        <w:rPr>
          <w:rFonts w:ascii="Arial" w:cs="Arial" w:eastAsia="Arial" w:hAnsi="Arial"/>
          <w:sz w:val="22"/>
          <w:szCs w:val="22"/>
          <w:color w:val="auto"/>
        </w:rPr>
      </w:pPr>
    </w:p>
    <w:p>
      <w:pPr>
        <w:ind w:left="640" w:hanging="308"/>
        <w:spacing w:after="0" w:line="229" w:lineRule="auto"/>
        <w:tabs>
          <w:tab w:leader="none" w:pos="640" w:val="left"/>
        </w:tabs>
        <w:numPr>
          <w:ilvl w:val="0"/>
          <w:numId w:val="63"/>
        </w:numPr>
        <w:rPr>
          <w:rFonts w:ascii="Arial" w:cs="Arial" w:eastAsia="Arial" w:hAnsi="Arial"/>
          <w:sz w:val="22"/>
          <w:szCs w:val="22"/>
          <w:color w:val="auto"/>
        </w:rPr>
      </w:pPr>
      <w:r>
        <w:rPr>
          <w:rFonts w:ascii="Times New Roman" w:cs="Times New Roman" w:eastAsia="Times New Roman" w:hAnsi="Times New Roman"/>
          <w:sz w:val="22"/>
          <w:szCs w:val="22"/>
          <w:color w:val="auto"/>
        </w:rPr>
        <w:t>the Plan; and</w:t>
      </w:r>
    </w:p>
    <w:p>
      <w:pPr>
        <w:ind w:left="640" w:hanging="308"/>
        <w:spacing w:after="0"/>
        <w:tabs>
          <w:tab w:leader="none" w:pos="640" w:val="left"/>
        </w:tabs>
        <w:numPr>
          <w:ilvl w:val="0"/>
          <w:numId w:val="63"/>
        </w:numPr>
        <w:rPr>
          <w:rFonts w:ascii="Arial" w:cs="Arial" w:eastAsia="Arial" w:hAnsi="Arial"/>
          <w:sz w:val="22"/>
          <w:szCs w:val="22"/>
          <w:color w:val="auto"/>
        </w:rPr>
      </w:pPr>
      <w:r>
        <w:rPr>
          <w:rFonts w:ascii="Times New Roman" w:cs="Times New Roman" w:eastAsia="Times New Roman" w:hAnsi="Times New Roman"/>
          <w:sz w:val="22"/>
          <w:szCs w:val="22"/>
          <w:color w:val="auto"/>
        </w:rPr>
        <w:t>the Plan prospectus.</w:t>
      </w:r>
    </w:p>
    <w:p>
      <w:pPr>
        <w:spacing w:after="0" w:line="20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A copy of the above documents will be sent to the Participant free of charge on written request being mailed to: Sabre Equity, Sabre Corporation, 3150 Sabre Drive, Southlake, Texas 76092,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Oman</w:t>
      </w:r>
    </w:p>
    <w:p>
      <w:pPr>
        <w:spacing w:after="0" w:line="23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 is addressed only to eligible employees. The Plan, Agreement and any related documents do not constitute the marketing or offering of securities in Oman and consequently have not been registered or approved by the Central Bank of Oman, the Omani Ministry of Commerce and Industry, the Omani Capital Market Authority or any other authority in the Sultanate of Oman.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Pakistan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ectPr>
          <w:pgSz w:w="11900" w:h="16838" w:orient="portrait"/>
          <w:cols w:equalWidth="0" w:num="1">
            <w:col w:w="11140"/>
          </w:cols>
          <w:pgMar w:left="320" w:top="1408" w:right="439" w:bottom="1440" w:gutter="0" w:footer="0" w:header="0"/>
        </w:sectPr>
      </w:pPr>
    </w:p>
    <w:bookmarkStart w:id="95" w:name="page96"/>
    <w:bookmarkEnd w:id="95"/>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Peru</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Acknowledgement</w:t>
      </w:r>
      <w:r>
        <w:rPr>
          <w:rFonts w:ascii="Times New Roman" w:cs="Times New Roman" w:eastAsia="Times New Roman" w:hAnsi="Times New Roman"/>
          <w:sz w:val="22"/>
          <w:szCs w:val="22"/>
          <w:color w:val="auto"/>
        </w:rPr>
        <w:t>. The following provision supplements Section 20 of the Agreement:</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By accepting the RSUs, the Participant acknowledges, understands and agrees that the RSUs are being granted ex gratia to the Employee with the purpose of rewarding him or her.</w:t>
      </w:r>
    </w:p>
    <w:p>
      <w:pPr>
        <w:spacing w:after="0" w:line="18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 xml:space="preserve">Securities Law Information. The offer of the RSUs is considered a private offering in Peru and is therefore not subject to registration in Peru. For more information concerning this offer, please refer to the Plan, the Agreement and any other grant documents made available by the Company. For more information regarding the Company, please refer to the Company’s most recent annual report on Form 10-K and quarterly report on Form 10-Q available at </w:t>
      </w:r>
      <w:r>
        <w:rPr>
          <w:rFonts w:ascii="Times New Roman" w:cs="Times New Roman" w:eastAsia="Times New Roman" w:hAnsi="Times New Roman"/>
          <w:sz w:val="22"/>
          <w:szCs w:val="22"/>
          <w:color w:val="0000FF"/>
        </w:rPr>
        <w:t>www.sec.gov</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Poland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Portugal</w:t>
      </w:r>
    </w:p>
    <w:p>
      <w:pPr>
        <w:spacing w:after="0" w:line="2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u w:val="single" w:color="auto"/>
          <w:color w:val="auto"/>
        </w:rPr>
        <w:t>Language Consent</w:t>
      </w:r>
      <w:r>
        <w:rPr>
          <w:rFonts w:ascii="Times New Roman" w:cs="Times New Roman" w:eastAsia="Times New Roman" w:hAnsi="Times New Roman"/>
          <w:sz w:val="21"/>
          <w:szCs w:val="21"/>
          <w:color w:val="auto"/>
        </w:rPr>
        <w:t>. The Participant hereby expressly declares that he or she has full knowledge of the English language and has read, understood and freely accepted and agreed with the terms and conditions established in the Plan and the Agreement.</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21"/>
          <w:szCs w:val="21"/>
          <w:i w:val="1"/>
          <w:iCs w:val="1"/>
          <w:color w:val="auto"/>
        </w:rPr>
        <w:t>Conhecimento da Língua. Pela presente, o Participante declara expressamente que tem pleno conhecimento da língua inglesa e que leu, compreendeu e livremente aceitou e concordou com os termos e condições estabelecidas no Plano e no Acordo.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Romania</w:t>
      </w:r>
    </w:p>
    <w:p>
      <w:pPr>
        <w:spacing w:after="0" w:line="23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By accepting the grant of RSUs, the Participant acknowledges that he or she is proficient in reading and understanding English and fully understands the terms of the documents related to the grant (the Agreement and the Plan), which were provided in the English language. Participant accepts the terms of these documents accordingly.</w:t>
      </w:r>
    </w:p>
    <w:p>
      <w:pPr>
        <w:spacing w:after="0" w:line="202" w:lineRule="exact"/>
        <w:rPr>
          <w:sz w:val="20"/>
          <w:szCs w:val="20"/>
          <w:color w:val="auto"/>
        </w:rPr>
      </w:pPr>
    </w:p>
    <w:p>
      <w:pPr>
        <w:jc w:val="both"/>
        <w:ind w:right="100"/>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Consimtamant cu Privire la Limba</w:t>
      </w:r>
      <w:r>
        <w:rPr>
          <w:rFonts w:ascii="Times New Roman" w:cs="Times New Roman" w:eastAsia="Times New Roman" w:hAnsi="Times New Roman"/>
          <w:sz w:val="22"/>
          <w:szCs w:val="22"/>
          <w:i w:val="1"/>
          <w:iCs w:val="1"/>
          <w:color w:val="auto"/>
        </w:rPr>
        <w:t>. Prin acceptarea acordarii de RSU-uri, Participantul confirma ca acesta sau aceasta are un nivel adecvat de cunoastere in ce priveste cititirea si intelegerea limbii engleze, a citit si confirma ca a inteles pe deplin termenii documentelor referitoare la acordare (Acordul si Planul), care au fost furnizate in limba engleza. Participantul accepta termenii acestor documente in consecinta.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Singapore</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u w:val="single" w:color="auto"/>
          <w:color w:val="auto"/>
        </w:rPr>
        <w:t>Restrictions on Sale and Transferability</w:t>
      </w:r>
      <w:r>
        <w:rPr>
          <w:rFonts w:ascii="Times New Roman" w:cs="Times New Roman" w:eastAsia="Times New Roman" w:hAnsi="Times New Roman"/>
          <w:sz w:val="22"/>
          <w:szCs w:val="22"/>
          <w:color w:val="auto"/>
        </w:rPr>
        <w:t>. The Participant hereby agrees that any shares of Common Stock acquired pursuant to the RSUs will not be offered for sale in Singapore prior to the six-month anniversary of the Grant Date, unless such sale or offer is made pursuant to the exemption under Part XIII Division I Subdivision (4) (other than section 280) of the Securities</w:t>
      </w:r>
    </w:p>
    <w:p>
      <w:pPr>
        <w:sectPr>
          <w:pgSz w:w="11900" w:h="16838" w:orient="portrait"/>
          <w:cols w:equalWidth="0" w:num="1">
            <w:col w:w="11220"/>
          </w:cols>
          <w:pgMar w:left="320" w:top="1440" w:right="359" w:bottom="1440" w:gutter="0" w:footer="0" w:header="0"/>
        </w:sectPr>
      </w:pPr>
    </w:p>
    <w:bookmarkStart w:id="96" w:name="page97"/>
    <w:bookmarkEnd w:id="96"/>
    <w:p>
      <w:pPr>
        <w:ind w:right="340"/>
        <w:spacing w:after="0" w:line="258" w:lineRule="auto"/>
        <w:rPr>
          <w:sz w:val="20"/>
          <w:szCs w:val="20"/>
          <w:color w:val="auto"/>
        </w:rPr>
      </w:pPr>
      <w:r>
        <w:rPr>
          <w:rFonts w:ascii="Times New Roman" w:cs="Times New Roman" w:eastAsia="Times New Roman" w:hAnsi="Times New Roman"/>
          <w:sz w:val="22"/>
          <w:szCs w:val="22"/>
          <w:color w:val="auto"/>
        </w:rPr>
        <w:t>and Futures Act (Chap. 289, 2006 Ed.) (“</w:t>
      </w:r>
      <w:r>
        <w:rPr>
          <w:rFonts w:ascii="Times New Roman" w:cs="Times New Roman" w:eastAsia="Times New Roman" w:hAnsi="Times New Roman"/>
          <w:sz w:val="22"/>
          <w:szCs w:val="22"/>
          <w:u w:val="single" w:color="auto"/>
          <w:color w:val="auto"/>
        </w:rPr>
        <w:t>SFA</w:t>
      </w:r>
      <w:r>
        <w:rPr>
          <w:rFonts w:ascii="Times New Roman" w:cs="Times New Roman" w:eastAsia="Times New Roman" w:hAnsi="Times New Roman"/>
          <w:sz w:val="22"/>
          <w:szCs w:val="22"/>
          <w:color w:val="auto"/>
        </w:rPr>
        <w:t>”), or pursuant to, and in accordance with the conditions of, any other applicable provision(s) of the SFA.</w:t>
      </w:r>
    </w:p>
    <w:p>
      <w:pPr>
        <w:spacing w:after="0" w:line="18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grant of the RSUs is being made in reliance on section 273(1)(f) of the SFA, on which basis it is exempt from the prospectus and registration requirements under the SFA, and is not made to the Participant with a view to the RSUs or underlying shares of Common Stock being subsequently offered for sale to any other party. The Plan has not been lodged or registered as a prospectus with the Monetary Authority of Singapore.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Africa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following provision supplements Section 8 of the Agreement:</w:t>
      </w:r>
    </w:p>
    <w:p>
      <w:pPr>
        <w:spacing w:after="0" w:line="2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By accepting the RSUs, the Participant agrees to immediately notify the Employer of the amount of any gain realized upon vesting of the RSUs. If the Participant does not inform the Employer of the sale, transfer or other disposition of shares of Common Stock acquired under the Plan and the Employer is subject to penalties or interest as a result of not being able to withhold Tax-Related Items, the Employer may recover any such penalty and interest amounts from the Participant. In addition, if the Participant fails to advise the Employer of the gain realized upon vesting of the RSUs, then he or she may be liable for a fine. The Participant will be responsible for paying the difference between the actual Tax-Related Items liability and the amount withheld.</w:t>
      </w:r>
    </w:p>
    <w:p>
      <w:pPr>
        <w:spacing w:after="0" w:line="210"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Neither the RSUs nor the underlying shares of Common Stock shall be publicly offered or listed on any stock exchange in South Africa. The offer is intended to be private pursuant to Section 96(1)(g)(ii) of the Companies Act, 71 of 2008 and is not subject to the supervision of any South African governmental authority.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The following section supplements Section 20 of the Agreement:</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In accepting the grant of the RSUs, the Participant acknowledges that he or she consents to participation in the Plan and has received a copy of the Plan.</w:t>
      </w:r>
    </w:p>
    <w:p>
      <w:pPr>
        <w:spacing w:after="0" w:line="185"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The Participant understands that the Company, in its sole discretion, has unilaterally and gratuitously decided to grant the RSUs under the Plan to individuals who may be employees of the Company or a Subsidiary or Affiliate throughout the world. The decision is a limited decision that is entered into upon the express assumption and condition that any grant will not economically or otherwise bind the Company or any Subsidiary or Affiliate over and above the specific terms provided in the Plan and Agreement. Consequently, the Participant understands that the RSUs are granted on the assumption and condition that the RSUs and the shares of Common Stock issued upon settlement shall not become a part of any employment contract (either with the Company or any Subsidiary or Affiliate) and shall not be considered a mandatory benefit, salary for any purposes (including severance compensation) or any other right whatsoever.</w:t>
      </w:r>
    </w:p>
    <w:p>
      <w:pPr>
        <w:sectPr>
          <w:pgSz w:w="11900" w:h="16838" w:orient="portrait"/>
          <w:cols w:equalWidth="0" w:num="1">
            <w:col w:w="11240"/>
          </w:cols>
          <w:pgMar w:left="320" w:top="1408" w:right="339" w:bottom="1440" w:gutter="0" w:footer="0" w:header="0"/>
        </w:sectPr>
      </w:pPr>
    </w:p>
    <w:bookmarkStart w:id="97" w:name="page98"/>
    <w:bookmarkEnd w:id="97"/>
    <w:p>
      <w:pPr>
        <w:spacing w:after="0" w:line="234" w:lineRule="auto"/>
        <w:rPr>
          <w:sz w:val="20"/>
          <w:szCs w:val="20"/>
          <w:color w:val="auto"/>
        </w:rPr>
      </w:pPr>
      <w:r>
        <w:rPr>
          <w:rFonts w:ascii="Times New Roman" w:cs="Times New Roman" w:eastAsia="Times New Roman" w:hAnsi="Times New Roman"/>
          <w:sz w:val="22"/>
          <w:szCs w:val="22"/>
          <w:color w:val="auto"/>
        </w:rPr>
        <w:t>Further, the Participant understands and agrees that, unless otherwise expressly provided for by the Company or set forth in the Agreement, the RSUs will be cancelled without entitlement to any shares of Common Stock if the Participant ceases to be a Participant for any reason, including, but not limited to: resignation,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subject to a “</w:t>
      </w:r>
      <w:r>
        <w:rPr>
          <w:rFonts w:ascii="Times New Roman" w:cs="Times New Roman" w:eastAsia="Times New Roman" w:hAnsi="Times New Roman"/>
          <w:sz w:val="22"/>
          <w:szCs w:val="22"/>
          <w:i w:val="1"/>
          <w:iCs w:val="1"/>
          <w:color w:val="auto"/>
        </w:rPr>
        <w:t>despido improcedente</w:t>
      </w:r>
      <w:r>
        <w:rPr>
          <w:rFonts w:ascii="Times New Roman" w:cs="Times New Roman" w:eastAsia="Times New Roman" w:hAnsi="Times New Roman"/>
          <w:sz w:val="22"/>
          <w:szCs w:val="22"/>
          <w:color w:val="auto"/>
        </w:rPr>
        <w:t>”), material modification of the terms of employment under Article 41 of the Workers’ Statute, relocation under Article 40 of the Workers’ Statute, Article 50 of the Workers’ Statute, or under Article 10.3 of Royal Decree 1382/1985. The Company, in its sole discretion, shall determine the date when the Participant’s status as a Participant has terminated for purposes of the RSUs.</w:t>
      </w:r>
    </w:p>
    <w:p>
      <w:pPr>
        <w:spacing w:after="0" w:line="2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In addition, the Participant understands that this grant would not be made to the Participant but for the assumptions and conditions referred to above; thus, the Participant acknowledges and freely accepts that should any or all of the assumptions be mistaken or should any of the conditions not be met for any reason, then any grant of, or right to, the RSUs shall be null and void.</w:t>
      </w:r>
    </w:p>
    <w:p>
      <w:pPr>
        <w:spacing w:after="0" w:line="18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No “offer of securities to the public,” as defined under Spanish law, has taken place or will take place in the Spanish territory with respect to the RSUs. No public offering prospectus has been, nor will it be registered with the Comisión Nacional del Mercado de Valores (Spanish Securities Exchange Commission) (“</w:t>
      </w:r>
      <w:r>
        <w:rPr>
          <w:rFonts w:ascii="Times New Roman" w:cs="Times New Roman" w:eastAsia="Times New Roman" w:hAnsi="Times New Roman"/>
          <w:sz w:val="22"/>
          <w:szCs w:val="22"/>
          <w:u w:val="single" w:color="auto"/>
          <w:color w:val="auto"/>
        </w:rPr>
        <w:t>CNMV</w:t>
      </w:r>
      <w:r>
        <w:rPr>
          <w:rFonts w:ascii="Times New Roman" w:cs="Times New Roman" w:eastAsia="Times New Roman" w:hAnsi="Times New Roman"/>
          <w:sz w:val="22"/>
          <w:szCs w:val="22"/>
          <w:color w:val="auto"/>
        </w:rPr>
        <w:t>”). Neither the Plan nor the Agreement constitute a public offering prospectus and they have not been, nor will they be, registered with the CNMV.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Sri Lanka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Sweden</w:t>
      </w:r>
    </w:p>
    <w:p>
      <w:pPr>
        <w:spacing w:after="0" w:line="224"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following provision supplements Section 8 of the Agreement: Without limiting the Company’s or the Employer’s authority to satisfy their withholding obligations for Tax-Related Items as set forth in Section 8 of the Agreement, by accepting the grant of RSUs, the Participant authorizes the Company and/or the Employer to withhold shares of Common Stock or to sell shares of Common Stock otherwise deliverable to the Participant upon settlement to satisfy Tax-Related Items, regardless of whether the Company and/or the Employer have an obligation to withhold such Tax-Related Items.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Switzerland</w:t>
      </w:r>
    </w:p>
    <w:p>
      <w:pPr>
        <w:spacing w:after="0" w:line="23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Neither this document nor any other materials relating to the RSUs constitute a prospectus according to article 35 et seq. of the Swiss Federal Act on Financial Services (“</w:t>
      </w:r>
      <w:r>
        <w:rPr>
          <w:rFonts w:ascii="Times New Roman" w:cs="Times New Roman" w:eastAsia="Times New Roman" w:hAnsi="Times New Roman"/>
          <w:sz w:val="22"/>
          <w:szCs w:val="22"/>
          <w:u w:val="single" w:color="auto"/>
          <w:color w:val="auto"/>
        </w:rPr>
        <w:t>FinSA</w:t>
      </w:r>
      <w:r>
        <w:rPr>
          <w:rFonts w:ascii="Times New Roman" w:cs="Times New Roman" w:eastAsia="Times New Roman" w:hAnsi="Times New Roman"/>
          <w:sz w:val="22"/>
          <w:szCs w:val="22"/>
          <w:color w:val="auto"/>
        </w:rPr>
        <w:t>”), and neither this document nor any other materials relating to the RSUs may be publicly distributed nor otherwise made publicly available in Switzerland to any person other than an employee of the Company. Neither this document nor any other offering or marketing material relating to the RSUs have been or will be filed with, or approved or supervised by, any Swiss reviewing body according to article 51 FinSA or any Swiss regulatory authority (in particular, the Swiss Financial Market Supervisory Authority (FINMA)).</w:t>
      </w:r>
    </w:p>
    <w:p>
      <w:pPr>
        <w:sectPr>
          <w:pgSz w:w="11900" w:h="16838" w:orient="portrait"/>
          <w:cols w:equalWidth="0" w:num="1">
            <w:col w:w="11240"/>
          </w:cols>
          <w:pgMar w:left="320" w:top="1408" w:right="339" w:bottom="1440" w:gutter="0" w:footer="0" w:header="0"/>
        </w:sectPr>
      </w:pPr>
    </w:p>
    <w:bookmarkStart w:id="98" w:name="page99"/>
    <w:bookmarkEnd w:id="98"/>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Thailand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Turkey</w:t>
      </w:r>
    </w:p>
    <w:p>
      <w:pPr>
        <w:spacing w:after="0" w:line="23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RSUs are made available only to employees of the Company, its Subsidiaries and its Affiliates, and the offer of participation in the Plan is a private offering. The grant of RSUs and the issuance of shares of Common Stock at vesting take place outside of Turkey. The Participant is not permitted to sell any shares of Common Stock acquired under the Plan in Turkey. The shares are currently traded on the Nasdaq in the United States of America, under the ticker symbol of “SABR” and Shares acquired under the Plan may be sold through this exchange.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23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Agreement and the Plan and other incidental communication materials concerning the RSUs are intended for distribution only to employees of the Company or its Subsidiaries or Affiliates. The Dubai Technology and Media Free Zone Authority, Emirates Securities and Commodities Authority and/or the Central Bank has no responsibility for reviewing or verifying any documents in connection with the RSUs. Neither the Ministry of Economy nor the Dubai Department of Economic Development have approved these communications nor taken steps to verify the information set out in them, and have no responsibility for them.</w:t>
      </w:r>
    </w:p>
    <w:p>
      <w:pPr>
        <w:spacing w:after="0" w:line="20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Further, the shares of Common Stock underlying the RSUs may be illiquid and/or subject to restrictions on their resale. The Participant should conduct his or her own due diligence on the RSUs and the shares of Common Stock. If the Participant is in any doubt about any of the contents of the grant or other incidental documents, the Participant should obtain independent professional advice.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3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Without limitation to Section 8 of the Agreement, the Participant agrees that the Participant is liable for all Tax-Related Items and hereby covenants to pay all such Tax-Related Items as and when requested by the Company or the Employer or by HM Revenue and Customs (“</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20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Notwithstanding the foregoing, if the Participant is a director or executive officer of the Company (within the meaning of Section 13(k) of the Exchange Act), the terms of the immediately foregoing provision will not apply. In such case, if the amount of any income tax due is not collected from or paid by the Participant within 90 days of the end of the UK tax year in which an event giving rise to the indemnification described above occurs, the amount of any uncollected income tax may constitute a benefit to the Participant on which additional income</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38" w:lineRule="auto"/>
        <w:rPr>
          <w:sz w:val="20"/>
          <w:szCs w:val="20"/>
          <w:color w:val="auto"/>
        </w:rPr>
      </w:pPr>
      <w:r>
        <w:rPr>
          <w:rFonts w:ascii="Times New Roman" w:cs="Times New Roman" w:eastAsia="Times New Roman" w:hAnsi="Times New Roman"/>
          <w:sz w:val="22"/>
          <w:szCs w:val="22"/>
          <w:color w:val="auto"/>
        </w:rPr>
        <w:t>tax and national insurance contributions (“</w:t>
      </w:r>
      <w:r>
        <w:rPr>
          <w:rFonts w:ascii="Times New Roman" w:cs="Times New Roman" w:eastAsia="Times New Roman" w:hAnsi="Times New Roman"/>
          <w:sz w:val="22"/>
          <w:szCs w:val="22"/>
          <w:u w:val="single" w:color="auto"/>
          <w:color w:val="auto"/>
        </w:rPr>
        <w:t>NICs</w:t>
      </w:r>
      <w:r>
        <w:rPr>
          <w:rFonts w:ascii="Times New Roman" w:cs="Times New Roman" w:eastAsia="Times New Roman" w:hAnsi="Times New Roman"/>
          <w:sz w:val="22"/>
          <w:szCs w:val="22"/>
          <w:color w:val="auto"/>
        </w:rPr>
        <w:t>”) may be payable. The Participant acknowledges that he or she will be responsible for reporting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the Participant by any of the means referred to in Section 8 of the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xml:space="preserve"> The following provision supplements Section 12 of the Agreement:</w:t>
      </w:r>
    </w:p>
    <w:p>
      <w:pPr>
        <w:spacing w:after="0" w:line="185" w:lineRule="exact"/>
        <w:rPr>
          <w:sz w:val="20"/>
          <w:szCs w:val="20"/>
          <w:color w:val="auto"/>
        </w:rPr>
      </w:pPr>
    </w:p>
    <w:p>
      <w:pPr>
        <w:ind w:right="20"/>
        <w:spacing w:after="0" w:line="272" w:lineRule="exact"/>
        <w:rPr>
          <w:sz w:val="20"/>
          <w:szCs w:val="20"/>
          <w:color w:val="auto"/>
        </w:rPr>
      </w:pPr>
      <w:r>
        <w:rPr>
          <w:rFonts w:ascii="Times New Roman" w:cs="Times New Roman" w:eastAsia="Times New Roman" w:hAnsi="Times New Roman"/>
          <w:sz w:val="21"/>
          <w:szCs w:val="21"/>
          <w:color w:val="auto"/>
        </w:rPr>
        <w:t>The Company does not sell Participants’ Personal Data or share it for cross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context behavioral advertising. The Company’s online California Consumer Privacy Act Privacy Policy can be found at https://www.sabre.com/about/privacy/. If the Participant has a visual disability, the Participant should contact his or her local human resources representative for accommodations.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Uruguay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ectPr>
          <w:pgSz w:w="11900" w:h="16838" w:orient="portrait"/>
          <w:cols w:equalWidth="0" w:num="1">
            <w:col w:w="11120"/>
          </w:cols>
          <w:pgMar w:left="320" w:top="1408" w:right="4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31.1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Kurt Ekert, certify that:</w:t>
      </w:r>
    </w:p>
    <w:p>
      <w:pPr>
        <w:spacing w:after="0" w:line="22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Sabre Corporation;</w:t>
      </w:r>
    </w:p>
    <w:p>
      <w:pPr>
        <w:spacing w:after="0" w:line="234"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hanging="328"/>
        <w:spacing w:after="0" w:line="304"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680" w:val="left"/>
          <w:tab w:leader="none" w:pos="6420" w:val="left"/>
          <w:tab w:leader="none" w:pos="6800" w:val="left"/>
        </w:tabs>
        <w:rPr>
          <w:sz w:val="20"/>
          <w:szCs w:val="20"/>
          <w:color w:val="auto"/>
        </w:rPr>
      </w:pPr>
      <w:r>
        <w:rPr>
          <w:rFonts w:ascii="Arial" w:cs="Arial" w:eastAsia="Arial" w:hAnsi="Arial"/>
          <w:sz w:val="16"/>
          <w:szCs w:val="16"/>
          <w:color w:val="auto"/>
        </w:rPr>
        <w:t>Date:</w:t>
        <w:tab/>
        <w:t>August 7, 2025</w:t>
      </w:r>
      <w:r>
        <w:rPr>
          <w:sz w:val="20"/>
          <w:szCs w:val="20"/>
          <w:color w:val="auto"/>
        </w:rPr>
        <w:tab/>
      </w:r>
      <w:r>
        <w:rPr>
          <w:rFonts w:ascii="Arial" w:cs="Arial" w:eastAsia="Arial" w:hAnsi="Arial"/>
          <w:sz w:val="16"/>
          <w:szCs w:val="16"/>
          <w:color w:val="auto"/>
        </w:rPr>
        <w:t>By:</w:t>
        <w:tab/>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(principal executive officer of the registrant)</w:t>
      </w:r>
    </w:p>
    <w:p>
      <w:pPr>
        <w:sectPr>
          <w:pgSz w:w="11900" w:h="16838" w:orient="portrait"/>
          <w:cols w:equalWidth="0" w:num="1">
            <w:col w:w="11240"/>
          </w:cols>
          <w:pgMar w:left="320" w:top="100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31.2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Michael Randolfi, certify that:</w:t>
      </w:r>
    </w:p>
    <w:p>
      <w:pPr>
        <w:spacing w:after="0" w:line="22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Sabre Corporation;</w:t>
      </w:r>
    </w:p>
    <w:p>
      <w:pPr>
        <w:spacing w:after="0" w:line="234"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hanging="328"/>
        <w:spacing w:after="0" w:line="304"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00" w:val="left"/>
          <w:tab w:leader="none" w:pos="6060" w:val="left"/>
          <w:tab w:leader="none" w:pos="6440" w:val="left"/>
        </w:tabs>
        <w:rPr>
          <w:sz w:val="20"/>
          <w:szCs w:val="20"/>
          <w:color w:val="auto"/>
        </w:rPr>
      </w:pPr>
      <w:r>
        <w:rPr>
          <w:rFonts w:ascii="Arial" w:cs="Arial" w:eastAsia="Arial" w:hAnsi="Arial"/>
          <w:sz w:val="16"/>
          <w:szCs w:val="16"/>
          <w:color w:val="auto"/>
        </w:rPr>
        <w:t>Date:</w:t>
        <w:tab/>
        <w:t>August 7, 2025</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20955</wp:posOffset>
            </wp:positionV>
            <wp:extent cx="30518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4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(principal financial officer of the registrant)</w:t>
      </w:r>
    </w:p>
    <w:p>
      <w:pPr>
        <w:sectPr>
          <w:pgSz w:w="11900" w:h="16838" w:orient="portrait"/>
          <w:cols w:equalWidth="0" w:num="1">
            <w:col w:w="11240"/>
          </w:cols>
          <w:pgMar w:left="320" w:top="1003"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Executive Officer of Sabre Corporation, hereby certifies that to his knowledge, on the date hereof:</w:t>
      </w:r>
    </w:p>
    <w:p>
      <w:pPr>
        <w:spacing w:after="0" w:line="221" w:lineRule="exact"/>
        <w:rPr>
          <w:sz w:val="20"/>
          <w:szCs w:val="20"/>
          <w:color w:val="auto"/>
        </w:rPr>
      </w:pPr>
    </w:p>
    <w:p>
      <w:pPr>
        <w:ind w:left="660" w:right="20" w:hanging="328"/>
        <w:spacing w:after="0" w:line="286"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Form 10-Q of Sabre Corporation for the quarter ended June 30, 2025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740" w:val="left"/>
          <w:tab w:leader="none" w:pos="5560" w:val="left"/>
          <w:tab w:leader="none" w:pos="5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20955</wp:posOffset>
            </wp:positionV>
            <wp:extent cx="33686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(principal executive officer of the registrant)</w:t>
      </w:r>
    </w:p>
    <w:p>
      <w:pPr>
        <w:spacing w:after="0" w:line="3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89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3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Financial Officer of Sabre Corporation, hereby certifies that to his knowledge, on the date hereof:</w:t>
      </w:r>
    </w:p>
    <w:p>
      <w:pPr>
        <w:spacing w:after="0" w:line="221" w:lineRule="exact"/>
        <w:rPr>
          <w:sz w:val="20"/>
          <w:szCs w:val="20"/>
          <w:color w:val="auto"/>
        </w:rPr>
      </w:pPr>
    </w:p>
    <w:p>
      <w:pPr>
        <w:ind w:left="660" w:right="20" w:hanging="328"/>
        <w:spacing w:after="0" w:line="28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Form 10-Q of Sabre Corporation for the quarter ended June 30, 2025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660" w:val="left"/>
          <w:tab w:leader="none" w:pos="5560" w:val="left"/>
          <w:tab w:leader="none" w:pos="5940" w:val="left"/>
        </w:tabs>
        <w:rPr>
          <w:sz w:val="20"/>
          <w:szCs w:val="20"/>
          <w:color w:val="auto"/>
        </w:rPr>
      </w:pPr>
      <w:r>
        <w:rPr>
          <w:rFonts w:ascii="Arial" w:cs="Arial" w:eastAsia="Arial" w:hAnsi="Arial"/>
          <w:sz w:val="16"/>
          <w:szCs w:val="16"/>
          <w:color w:val="auto"/>
        </w:rPr>
        <w:t>Date:</w:t>
        <w:tab/>
        <w:t>August 7, 2025</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20955</wp:posOffset>
            </wp:positionV>
            <wp:extent cx="33686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4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(principal financial officer of the registrant)</w:t>
      </w:r>
    </w:p>
    <w:p>
      <w:pPr>
        <w:spacing w:after="0" w:line="3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1"/>
    </w:lvl>
    <w:lvl w:ilvl="1">
      <w:lvlJc w:val="left"/>
      <w:lvlText w:val="(%2)"/>
      <w:numFmt w:val="lowerLetter"/>
      <w:start w:val="1"/>
    </w:lvl>
  </w:abstractNum>
  <w:abstractNum w:abstractNumId="11">
    <w:nsid w:val="51EAD36B"/>
    <w:multiLevelType w:val="hybridMultilevel"/>
    <w:lvl w:ilvl="0">
      <w:lvlJc w:val="left"/>
      <w:lvlText w:val="%1"/>
      <w:numFmt w:val="decimal"/>
      <w:start w:val="1"/>
    </w:lvl>
    <w:lvl w:ilvl="1">
      <w:lvlJc w:val="left"/>
      <w:lvlText w:val="(%2)"/>
      <w:numFmt w:val="lowerLetter"/>
      <w:start w:val="3"/>
    </w:lvl>
  </w:abstractNum>
  <w:abstractNum w:abstractNumId="12">
    <w:nsid w:val="2D517796"/>
    <w:multiLevelType w:val="hybridMultilevel"/>
    <w:lvl w:ilvl="0">
      <w:lvlJc w:val="left"/>
      <w:lvlText w:val="(%1)"/>
      <w:numFmt w:val="decimal"/>
      <w:start w:val="3"/>
    </w:lvl>
    <w:lvl w:ilvl="1">
      <w:lvlJc w:val="left"/>
      <w:lvlText w:val="%2"/>
      <w:numFmt w:val="lowerLetter"/>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lowerRoman"/>
      <w:start w:val="2"/>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lowerLetter"/>
      <w:start w:val="3"/>
    </w:lvl>
  </w:abstractNum>
  <w:abstractNum w:abstractNumId="24">
    <w:nsid w:val="4B588F54"/>
    <w:multiLevelType w:val="hybridMultilevel"/>
    <w:lvl w:ilvl="0">
      <w:lvlJc w:val="left"/>
      <w:lvlText w:val="%1."/>
      <w:numFmt w:val="decimal"/>
      <w:start w:val="4"/>
    </w:lvl>
  </w:abstractNum>
  <w:abstractNum w:abstractNumId="25">
    <w:nsid w:val="542289EC"/>
    <w:multiLevelType w:val="hybridMultilevel"/>
    <w:lvl w:ilvl="0">
      <w:lvlJc w:val="left"/>
      <w:lvlText w:val="%1."/>
      <w:numFmt w:val="decimal"/>
      <w:start w:val="9"/>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2"/>
    </w:lvl>
  </w:abstractNum>
  <w:abstractNum w:abstractNumId="28">
    <w:nsid w:val="7644A45C"/>
    <w:multiLevelType w:val="hybridMultilevel"/>
    <w:lvl w:ilvl="0">
      <w:lvlJc w:val="left"/>
      <w:lvlText w:val="(%1)"/>
      <w:numFmt w:val="lowerLetter"/>
      <w:start w:val="5"/>
    </w:lvl>
  </w:abstractNum>
  <w:abstractNum w:abstractNumId="29">
    <w:nsid w:val="32FFF902"/>
    <w:multiLevelType w:val="hybridMultilevel"/>
    <w:lvl w:ilvl="0">
      <w:lvlJc w:val="left"/>
      <w:lvlText w:val="%1."/>
      <w:numFmt w:val="decimal"/>
      <w:start w:val="13"/>
    </w:lvl>
  </w:abstractNum>
  <w:abstractNum w:abstractNumId="30">
    <w:nsid w:val="684A481A"/>
    <w:multiLevelType w:val="hybridMultilevel"/>
    <w:lvl w:ilvl="0">
      <w:lvlJc w:val="left"/>
      <w:lvlText w:val="%1."/>
      <w:numFmt w:val="decimal"/>
      <w:start w:val="16"/>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6"/>
    </w:lvl>
  </w:abstractNum>
  <w:abstractNum w:abstractNumId="33">
    <w:nsid w:val="3DC240FB"/>
    <w:multiLevelType w:val="hybridMultilevel"/>
    <w:lvl w:ilvl="0">
      <w:lvlJc w:val="left"/>
      <w:lvlText w:val="%1"/>
      <w:numFmt w:val="decimal"/>
      <w:start w:val="1"/>
    </w:lvl>
    <w:lvl w:ilvl="1">
      <w:lvlJc w:val="left"/>
      <w:lvlText w:val="(%2)"/>
      <w:numFmt w:val="decimal"/>
      <w:start w:val="1"/>
    </w:lvl>
  </w:abstractNum>
  <w:abstractNum w:abstractNumId="34">
    <w:nsid w:val="1BA026FA"/>
    <w:multiLevelType w:val="hybridMultilevel"/>
    <w:lvl w:ilvl="0">
      <w:lvlJc w:val="left"/>
      <w:lvlText w:val="%1."/>
      <w:numFmt w:val="decimal"/>
      <w:start w:val="21"/>
    </w:lvl>
    <w:lvl w:ilvl="1">
      <w:lvlJc w:val="left"/>
      <w:lvlText w:val="%2"/>
      <w:numFmt w:val="decimal"/>
      <w:start w:val="1"/>
    </w:lvl>
  </w:abstractNum>
  <w:abstractNum w:abstractNumId="35">
    <w:nsid w:val="79A1DEAA"/>
    <w:multiLevelType w:val="hybridMultilevel"/>
    <w:lvl w:ilvl="0">
      <w:lvlJc w:val="left"/>
      <w:lvlText w:val="%1."/>
      <w:numFmt w:val="decimal"/>
      <w:start w:val="25"/>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3"/>
    </w:lvl>
  </w:abstractNum>
  <w:abstractNum w:abstractNumId="38">
    <w:nsid w:val="70C6A529"/>
    <w:multiLevelType w:val="hybridMultilevel"/>
    <w:lvl w:ilvl="0">
      <w:lvlJc w:val="left"/>
      <w:lvlText w:val="%1."/>
      <w:numFmt w:val="decimal"/>
      <w:start w:val="4"/>
    </w:lvl>
  </w:abstractNum>
  <w:abstractNum w:abstractNumId="39">
    <w:nsid w:val="520EEDD1"/>
    <w:multiLevelType w:val="hybridMultilevel"/>
    <w:lvl w:ilvl="0">
      <w:lvlJc w:val="left"/>
      <w:lvlText w:val="%1."/>
      <w:numFmt w:val="decimal"/>
      <w:start w:val="5"/>
    </w:lvl>
  </w:abstractNum>
  <w:abstractNum w:abstractNumId="40">
    <w:nsid w:val="374A3FE6"/>
    <w:multiLevelType w:val="hybridMultilevel"/>
    <w:lvl w:ilvl="0">
      <w:lvlJc w:val="left"/>
      <w:lvlText w:val="%1."/>
      <w:numFmt w:val="decimal"/>
      <w:start w:val="6"/>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decimal"/>
      <w:start w:val="7"/>
    </w:lvl>
  </w:abstractNum>
  <w:abstractNum w:abstractNumId="43">
    <w:nsid w:val="649BB77C"/>
    <w:multiLevelType w:val="hybridMultilevel"/>
    <w:lvl w:ilvl="0">
      <w:lvlJc w:val="left"/>
      <w:lvlText w:val="%1."/>
      <w:numFmt w:val="decimal"/>
      <w:start w:val="1"/>
    </w:lvl>
    <w:lvl w:ilvl="1">
      <w:lvlJc w:val="left"/>
      <w:lvlText w:val="(%2)"/>
      <w:numFmt w:val="lowerLetter"/>
      <w:start w:val="1"/>
    </w:lvl>
  </w:abstractNum>
  <w:abstractNum w:abstractNumId="44">
    <w:nsid w:val="275AC794"/>
    <w:multiLevelType w:val="hybridMultilevel"/>
    <w:lvl w:ilvl="0">
      <w:lvlJc w:val="left"/>
      <w:lvlText w:val="%1"/>
      <w:numFmt w:val="decimal"/>
      <w:start w:val="1"/>
    </w:lvl>
    <w:lvl w:ilvl="1">
      <w:lvlJc w:val="left"/>
      <w:lvlText w:val="(%2)"/>
      <w:numFmt w:val="lowerLetter"/>
      <w:start w:val="2"/>
    </w:lvl>
  </w:abstractNum>
  <w:abstractNum w:abstractNumId="45">
    <w:nsid w:val="39386575"/>
    <w:multiLevelType w:val="hybridMultilevel"/>
    <w:lvl w:ilvl="0">
      <w:lvlJc w:val="left"/>
      <w:lvlText w:val="(%1)"/>
      <w:numFmt w:val="decimal"/>
      <w:start w:val="1"/>
    </w:lvl>
    <w:lvl w:ilvl="1">
      <w:lvlJc w:val="left"/>
      <w:lvlText w:val="%2"/>
      <w:numFmt w:val="lowerLetter"/>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lowerLetter"/>
      <w:start w:val="35"/>
    </w:lvl>
    <w:lvl w:ilvl="1">
      <w:lvlJc w:val="left"/>
      <w:lvlText w:val="(%2)"/>
      <w:numFmt w:val="lowerLetter"/>
      <w:start w:val="4"/>
    </w:lvl>
  </w:abstractNum>
  <w:abstractNum w:abstractNumId="48">
    <w:nsid w:val="235BA861"/>
    <w:multiLevelType w:val="hybridMultilevel"/>
    <w:lvl w:ilvl="0">
      <w:lvlJc w:val="left"/>
      <w:lvlText w:val="%1."/>
      <w:numFmt w:val="decimal"/>
      <w:start w:val="4"/>
    </w:lvl>
  </w:abstractNum>
  <w:abstractNum w:abstractNumId="49">
    <w:nsid w:val="47398C89"/>
    <w:multiLevelType w:val="hybridMultilevel"/>
    <w:lvl w:ilvl="0">
      <w:lvlJc w:val="left"/>
      <w:lvlText w:val="%1."/>
      <w:numFmt w:val="decimal"/>
      <w:start w:val="7"/>
    </w:lvl>
  </w:abstractNum>
  <w:abstractNum w:abstractNumId="50">
    <w:nsid w:val="354FE9F9"/>
    <w:multiLevelType w:val="hybridMultilevel"/>
    <w:lvl w:ilvl="0">
      <w:lvlJc w:val="left"/>
      <w:lvlText w:val="%1."/>
      <w:numFmt w:val="decimal"/>
      <w:start w:val="9"/>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4"/>
    </w:lvl>
  </w:abstractNum>
  <w:abstractNum w:abstractNumId="53">
    <w:nsid w:val="D34B6A8"/>
    <w:multiLevelType w:val="hybridMultilevel"/>
    <w:lvl w:ilvl="0">
      <w:lvlJc w:val="left"/>
      <w:lvlText w:val="%1."/>
      <w:numFmt w:val="decimal"/>
      <w:start w:val="13"/>
    </w:lvl>
  </w:abstractNum>
  <w:abstractNum w:abstractNumId="54">
    <w:nsid w:val="10233C99"/>
    <w:multiLevelType w:val="hybridMultilevel"/>
    <w:lvl w:ilvl="0">
      <w:lvlJc w:val="left"/>
      <w:lvlText w:val="%1"/>
      <w:numFmt w:val="lowerLetter"/>
      <w:start w:val="1"/>
    </w:lvl>
    <w:lvl w:ilvl="1">
      <w:lvlJc w:val="left"/>
      <w:lvlText w:val="%2."/>
      <w:numFmt w:val="decimal"/>
      <w:start w:val="16"/>
    </w:lvl>
  </w:abstractNum>
  <w:abstractNum w:abstractNumId="55">
    <w:nsid w:val="3F6AB60F"/>
    <w:multiLevelType w:val="hybridMultilevel"/>
    <w:lvl w:ilvl="0">
      <w:lvlJc w:val="left"/>
      <w:lvlText w:val="(%1)"/>
      <w:numFmt w:val="lowerLetter"/>
      <w:start w:val="1"/>
    </w:lvl>
    <w:lvl w:ilvl="1">
      <w:lvlJc w:val="left"/>
      <w:lvlText w:val="%2"/>
      <w:numFmt w:val="decimal"/>
      <w:start w:val="1"/>
    </w:lvl>
  </w:abstractNum>
  <w:abstractNum w:abstractNumId="56">
    <w:nsid w:val="61574095"/>
    <w:multiLevelType w:val="hybridMultilevel"/>
    <w:lvl w:ilvl="0">
      <w:lvlJc w:val="left"/>
      <w:lvlText w:val="(%1)"/>
      <w:numFmt w:val="lowerLetter"/>
      <w:start w:val="7"/>
    </w:lvl>
    <w:lvl w:ilvl="1">
      <w:lvlJc w:val="left"/>
      <w:lvlText w:val="%2."/>
      <w:numFmt w:val="decimal"/>
      <w:start w:val="20"/>
    </w:lvl>
    <w:lvl w:ilvl="2">
      <w:lvlJc w:val="left"/>
      <w:lvlText w:val="(%3)"/>
      <w:numFmt w:val="decimal"/>
      <w:start w:val="1"/>
    </w:lvl>
  </w:abstractNum>
  <w:abstractNum w:abstractNumId="57">
    <w:nsid w:val="7E0C57B1"/>
    <w:multiLevelType w:val="hybridMultilevel"/>
    <w:lvl w:ilvl="0">
      <w:lvlJc w:val="left"/>
      <w:lvlText w:val="%1."/>
      <w:numFmt w:val="decimal"/>
      <w:start w:val="22"/>
    </w:lvl>
  </w:abstractNum>
  <w:abstractNum w:abstractNumId="58">
    <w:nsid w:val="77AE35EB"/>
    <w:multiLevelType w:val="hybridMultilevel"/>
    <w:lvl w:ilvl="0">
      <w:lvlJc w:val="left"/>
      <w:lvlText w:val="%1."/>
      <w:numFmt w:val="decimal"/>
      <w:start w:val="27"/>
    </w:lvl>
  </w:abstractNum>
  <w:abstractNum w:abstractNumId="59">
    <w:nsid w:val="579BE4F1"/>
    <w:multiLevelType w:val="hybridMultilevel"/>
    <w:lvl w:ilvl="0">
      <w:lvlJc w:val="left"/>
      <w:lvlText w:val="(%1)"/>
      <w:numFmt w:val="lowerRoman"/>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lowerLetter"/>
      <w:start w:val="1"/>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74" Type="http://schemas.openxmlformats.org/officeDocument/2006/relationships/hyperlink" Target="https://www.sec.gov/Archives/edgar/data/1597033/000119312525135052/d13750dex41.htm" TargetMode="External"/><Relationship Id="rId75" Type="http://schemas.openxmlformats.org/officeDocument/2006/relationships/hyperlink" Target="https://www.sec.gov/Archives/edgar/data/1597033/000119312525135052/d137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2025-08-07T07:08:46Z</dcterms:created>
  <dcterms:modified xsi:type="dcterms:W3CDTF">2025-08-07T07:08:46Z</dcterms:modified>
</cp:coreProperties>
</file>