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20955</wp:posOffset>
            </wp:positionV>
            <wp:extent cx="135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-201295</wp:posOffset>
            </wp:positionV>
            <wp:extent cx="1354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45" w:lineRule="exact"/>
        <w:rPr>
          <w:sz w:val="24"/>
          <w:szCs w:val="24"/>
          <w:color w:val="auto"/>
        </w:rPr>
      </w:pPr>
    </w:p>
    <w:p>
      <w:pPr>
        <w:ind w:left="3900" w:right="2020" w:hanging="3892"/>
        <w:spacing w:after="0" w:line="303" w:lineRule="auto"/>
        <w:tabs>
          <w:tab w:leader="none" w:pos="331"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6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103505</wp:posOffset>
            </wp:positionV>
            <wp:extent cx="135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Sabre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25400</wp:posOffset>
            </wp:positionV>
            <wp:extent cx="1328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66"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2600" w:type="dxa"/>
            <w:vAlign w:val="bottom"/>
          </w:tcPr>
          <w:p>
            <w:pPr>
              <w:jc w:val="center"/>
              <w:spacing w:after="0"/>
              <w:rPr>
                <w:sz w:val="20"/>
                <w:szCs w:val="20"/>
                <w:color w:val="auto"/>
              </w:rPr>
            </w:pPr>
            <w:r>
              <w:rPr>
                <w:rFonts w:ascii="Arial" w:cs="Arial" w:eastAsia="Arial" w:hAnsi="Arial"/>
                <w:sz w:val="17"/>
                <w:szCs w:val="17"/>
                <w:b w:val="1"/>
                <w:bCs w:val="1"/>
                <w:color w:val="auto"/>
                <w:w w:val="99"/>
              </w:rPr>
              <w:t>Delaware</w:t>
            </w:r>
          </w:p>
        </w:tc>
        <w:tc>
          <w:tcPr>
            <w:tcW w:w="2900" w:type="dxa"/>
            <w:vAlign w:val="bottom"/>
            <w:gridSpan w:val="2"/>
          </w:tcPr>
          <w:p>
            <w:pPr>
              <w:jc w:val="right"/>
              <w:ind w:right="561"/>
              <w:spacing w:after="0"/>
              <w:rPr>
                <w:sz w:val="20"/>
                <w:szCs w:val="20"/>
                <w:color w:val="auto"/>
              </w:rPr>
            </w:pPr>
            <w:r>
              <w:rPr>
                <w:rFonts w:ascii="Arial" w:cs="Arial" w:eastAsia="Arial" w:hAnsi="Arial"/>
                <w:sz w:val="17"/>
                <w:szCs w:val="17"/>
                <w:b w:val="1"/>
                <w:bCs w:val="1"/>
                <w:color w:val="auto"/>
              </w:rPr>
              <w:t>001-36422</w:t>
            </w:r>
          </w:p>
        </w:tc>
        <w:tc>
          <w:tcPr>
            <w:tcW w:w="20" w:type="dxa"/>
            <w:vAlign w:val="bottom"/>
          </w:tcPr>
          <w:p>
            <w:pPr>
              <w:spacing w:after="0"/>
              <w:rPr>
                <w:sz w:val="20"/>
                <w:szCs w:val="20"/>
                <w:color w:val="auto"/>
              </w:rPr>
            </w:pPr>
          </w:p>
        </w:tc>
        <w:tc>
          <w:tcPr>
            <w:tcW w:w="3500" w:type="dxa"/>
            <w:vAlign w:val="bottom"/>
          </w:tcPr>
          <w:p>
            <w:pPr>
              <w:jc w:val="center"/>
              <w:ind w:left="646"/>
              <w:spacing w:after="0"/>
              <w:rPr>
                <w:sz w:val="20"/>
                <w:szCs w:val="20"/>
                <w:color w:val="auto"/>
              </w:rPr>
            </w:pPr>
            <w:r>
              <w:rPr>
                <w:rFonts w:ascii="Arial" w:cs="Arial" w:eastAsia="Arial" w:hAnsi="Arial"/>
                <w:sz w:val="17"/>
                <w:szCs w:val="17"/>
                <w:b w:val="1"/>
                <w:bCs w:val="1"/>
                <w:color w:val="auto"/>
                <w:w w:val="99"/>
              </w:rPr>
              <w:t>20-8647322</w:t>
            </w:r>
          </w:p>
        </w:tc>
        <w:tc>
          <w:tcPr>
            <w:tcW w:w="0" w:type="dxa"/>
            <w:vAlign w:val="bottom"/>
          </w:tcPr>
          <w:p>
            <w:pPr>
              <w:spacing w:after="0"/>
              <w:rPr>
                <w:sz w:val="1"/>
                <w:szCs w:val="1"/>
                <w:color w:val="auto"/>
              </w:rPr>
            </w:pPr>
          </w:p>
        </w:tc>
      </w:tr>
      <w:tr>
        <w:trPr>
          <w:trHeight w:val="135"/>
        </w:trPr>
        <w:tc>
          <w:tcPr>
            <w:tcW w:w="2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820" w:type="dxa"/>
            <w:vAlign w:val="bottom"/>
          </w:tcPr>
          <w:p>
            <w:pPr>
              <w:spacing w:after="0"/>
              <w:rPr>
                <w:sz w:val="11"/>
                <w:szCs w:val="11"/>
                <w:color w:val="auto"/>
              </w:rPr>
            </w:pPr>
          </w:p>
        </w:tc>
        <w:tc>
          <w:tcPr>
            <w:tcW w:w="21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(Commission File Number)</w:t>
            </w:r>
          </w:p>
        </w:tc>
        <w:tc>
          <w:tcPr>
            <w:tcW w:w="3500" w:type="dxa"/>
            <w:vAlign w:val="bottom"/>
          </w:tcPr>
          <w:p>
            <w:pPr>
              <w:jc w:val="center"/>
              <w:ind w:left="646"/>
              <w:spacing w:after="0" w:line="135"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2"/>
        </w:trPr>
        <w:tc>
          <w:tcPr>
            <w:tcW w:w="260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or organization)</w:t>
            </w:r>
          </w:p>
        </w:tc>
        <w:tc>
          <w:tcPr>
            <w:tcW w:w="820" w:type="dxa"/>
            <w:vAlign w:val="bottom"/>
          </w:tcPr>
          <w:p>
            <w:pPr>
              <w:spacing w:after="0"/>
              <w:rPr>
                <w:sz w:val="14"/>
                <w:szCs w:val="14"/>
                <w:color w:val="auto"/>
              </w:rPr>
            </w:pPr>
          </w:p>
        </w:tc>
        <w:tc>
          <w:tcPr>
            <w:tcW w:w="2100" w:type="dxa"/>
            <w:vAlign w:val="bottom"/>
            <w:gridSpan w:val="2"/>
            <w:vMerge w:val="restart"/>
          </w:tcPr>
          <w:p>
            <w:pPr>
              <w:jc w:val="center"/>
              <w:ind w:right="40"/>
              <w:spacing w:after="0"/>
              <w:rPr>
                <w:sz w:val="20"/>
                <w:szCs w:val="20"/>
                <w:color w:val="auto"/>
              </w:rPr>
            </w:pPr>
            <w:r>
              <w:rPr>
                <w:rFonts w:ascii="Arial" w:cs="Arial" w:eastAsia="Arial" w:hAnsi="Arial"/>
                <w:sz w:val="17"/>
                <w:szCs w:val="17"/>
                <w:b w:val="1"/>
                <w:bCs w:val="1"/>
                <w:color w:val="auto"/>
              </w:rPr>
              <w:t>3150 Sabre Drive</w:t>
            </w:r>
          </w:p>
        </w:tc>
        <w:tc>
          <w:tcPr>
            <w:tcW w:w="3500" w:type="dxa"/>
            <w:vAlign w:val="bottom"/>
          </w:tcPr>
          <w:p>
            <w:pPr>
              <w:jc w:val="center"/>
              <w:ind w:left="64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78"/>
        </w:trPr>
        <w:tc>
          <w:tcPr>
            <w:tcW w:w="2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Southlake, TX 76092</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020" w:type="dxa"/>
            <w:vAlign w:val="bottom"/>
            <w:gridSpan w:val="5"/>
          </w:tcPr>
          <w:p>
            <w:pPr>
              <w:jc w:val="center"/>
              <w:ind w:right="46"/>
              <w:spacing w:after="0"/>
              <w:rPr>
                <w:sz w:val="20"/>
                <w:szCs w:val="20"/>
                <w:color w:val="auto"/>
              </w:rPr>
            </w:pPr>
            <w:r>
              <w:rPr>
                <w:rFonts w:ascii="Arial" w:cs="Arial" w:eastAsia="Arial" w:hAnsi="Arial"/>
                <w:sz w:val="14"/>
                <w:szCs w:val="14"/>
                <w:b w:val="1"/>
                <w:bCs w:val="1"/>
                <w:i w:val="1"/>
                <w:iCs w:val="1"/>
                <w:color w:val="auto"/>
              </w:rPr>
              <w:t>(Address, including zip code, of principal executive offices)</w:t>
            </w:r>
          </w:p>
        </w:tc>
        <w:tc>
          <w:tcPr>
            <w:tcW w:w="0" w:type="dxa"/>
            <w:vAlign w:val="bottom"/>
          </w:tcPr>
          <w:p>
            <w:pPr>
              <w:spacing w:after="0"/>
              <w:rPr>
                <w:sz w:val="1"/>
                <w:szCs w:val="1"/>
                <w:color w:val="auto"/>
              </w:rPr>
            </w:pPr>
          </w:p>
        </w:tc>
      </w:tr>
      <w:tr>
        <w:trPr>
          <w:trHeight w:val="235"/>
        </w:trPr>
        <w:tc>
          <w:tcPr>
            <w:tcW w:w="2600" w:type="dxa"/>
            <w:vAlign w:val="bottom"/>
          </w:tcPr>
          <w:p>
            <w:pPr>
              <w:spacing w:after="0"/>
              <w:rPr>
                <w:sz w:val="20"/>
                <w:szCs w:val="20"/>
                <w:color w:val="auto"/>
              </w:rPr>
            </w:pPr>
          </w:p>
        </w:tc>
        <w:tc>
          <w:tcPr>
            <w:tcW w:w="2900" w:type="dxa"/>
            <w:vAlign w:val="bottom"/>
            <w:gridSpan w:val="2"/>
          </w:tcPr>
          <w:p>
            <w:pPr>
              <w:jc w:val="right"/>
              <w:ind w:right="381"/>
              <w:spacing w:after="0"/>
              <w:rPr>
                <w:sz w:val="20"/>
                <w:szCs w:val="20"/>
                <w:color w:val="auto"/>
              </w:rPr>
            </w:pPr>
            <w:r>
              <w:rPr>
                <w:rFonts w:ascii="Arial" w:cs="Arial" w:eastAsia="Arial" w:hAnsi="Arial"/>
                <w:sz w:val="17"/>
                <w:szCs w:val="17"/>
                <w:b w:val="1"/>
                <w:bCs w:val="1"/>
                <w:color w:val="auto"/>
              </w:rPr>
              <w:t>(682) 605-1000</w:t>
            </w:r>
          </w:p>
        </w:tc>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600" w:type="dxa"/>
            <w:vAlign w:val="bottom"/>
          </w:tcPr>
          <w:p>
            <w:pPr>
              <w:spacing w:after="0"/>
              <w:rPr>
                <w:sz w:val="17"/>
                <w:szCs w:val="17"/>
                <w:color w:val="auto"/>
              </w:rPr>
            </w:pPr>
          </w:p>
        </w:tc>
        <w:tc>
          <w:tcPr>
            <w:tcW w:w="6420" w:type="dxa"/>
            <w:vAlign w:val="bottom"/>
            <w:gridSpan w:val="4"/>
          </w:tcPr>
          <w:p>
            <w:pPr>
              <w:jc w:val="center"/>
              <w:ind w:right="2626"/>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9020" w:type="dxa"/>
            <w:vAlign w:val="bottom"/>
            <w:gridSpan w:val="5"/>
          </w:tcPr>
          <w:p>
            <w:pPr>
              <w:jc w:val="center"/>
              <w:ind w:right="26"/>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35"/>
        </w:trPr>
        <w:tc>
          <w:tcPr>
            <w:tcW w:w="2600" w:type="dxa"/>
            <w:vAlign w:val="bottom"/>
          </w:tcPr>
          <w:p>
            <w:pPr>
              <w:jc w:val="center"/>
              <w:spacing w:after="0"/>
              <w:rPr>
                <w:sz w:val="20"/>
                <w:szCs w:val="20"/>
                <w:color w:val="auto"/>
              </w:rPr>
            </w:pPr>
            <w:r>
              <w:rPr>
                <w:rFonts w:ascii="Arial" w:cs="Arial" w:eastAsia="Arial" w:hAnsi="Arial"/>
                <w:sz w:val="17"/>
                <w:szCs w:val="17"/>
                <w:b w:val="1"/>
                <w:bCs w:val="1"/>
                <w:color w:val="auto"/>
              </w:rPr>
              <w:t>Common Stock, $0.01 par value</w:t>
            </w:r>
          </w:p>
        </w:tc>
        <w:tc>
          <w:tcPr>
            <w:tcW w:w="820" w:type="dxa"/>
            <w:vAlign w:val="bottom"/>
          </w:tcPr>
          <w:p>
            <w:pPr>
              <w:spacing w:after="0"/>
              <w:rPr>
                <w:sz w:val="20"/>
                <w:szCs w:val="20"/>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SABR</w:t>
            </w:r>
          </w:p>
        </w:tc>
        <w:tc>
          <w:tcPr>
            <w:tcW w:w="3500" w:type="dxa"/>
            <w:vAlign w:val="bottom"/>
          </w:tcPr>
          <w:p>
            <w:pPr>
              <w:jc w:val="center"/>
              <w:ind w:left="646"/>
              <w:spacing w:after="0"/>
              <w:rPr>
                <w:sz w:val="20"/>
                <w:szCs w:val="20"/>
                <w:color w:val="auto"/>
              </w:rPr>
            </w:pPr>
            <w:r>
              <w:rPr>
                <w:rFonts w:ascii="Arial" w:cs="Arial" w:eastAsia="Arial" w:hAnsi="Arial"/>
                <w:sz w:val="17"/>
                <w:szCs w:val="17"/>
                <w:b w:val="1"/>
                <w:bCs w:val="1"/>
                <w:color w:val="auto"/>
              </w:rPr>
              <w:t>The NASDAQ Stock Market LLC</w:t>
            </w:r>
          </w:p>
        </w:tc>
        <w:tc>
          <w:tcPr>
            <w:tcW w:w="0" w:type="dxa"/>
            <w:vAlign w:val="bottom"/>
          </w:tcPr>
          <w:p>
            <w:pPr>
              <w:spacing w:after="0"/>
              <w:rPr>
                <w:sz w:val="1"/>
                <w:szCs w:val="1"/>
                <w:color w:val="auto"/>
              </w:rPr>
            </w:pPr>
          </w:p>
        </w:tc>
      </w:tr>
      <w:tr>
        <w:trPr>
          <w:trHeight w:val="197"/>
        </w:trPr>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(Title of class)</w:t>
            </w:r>
          </w:p>
        </w:tc>
        <w:tc>
          <w:tcPr>
            <w:tcW w:w="820" w:type="dxa"/>
            <w:vAlign w:val="bottom"/>
          </w:tcPr>
          <w:p>
            <w:pPr>
              <w:spacing w:after="0"/>
              <w:rPr>
                <w:sz w:val="17"/>
                <w:szCs w:val="17"/>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(Trading symbol)</w:t>
            </w:r>
          </w:p>
        </w:tc>
        <w:tc>
          <w:tcPr>
            <w:tcW w:w="3500" w:type="dxa"/>
            <w:vAlign w:val="bottom"/>
          </w:tcPr>
          <w:p>
            <w:pPr>
              <w:jc w:val="center"/>
              <w:ind w:left="646"/>
              <w:spacing w:after="0"/>
              <w:rPr>
                <w:sz w:val="20"/>
                <w:szCs w:val="20"/>
                <w:color w:val="auto"/>
              </w:rPr>
            </w:pPr>
            <w:r>
              <w:rPr>
                <w:rFonts w:ascii="Arial" w:cs="Arial" w:eastAsia="Arial" w:hAnsi="Arial"/>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30"/>
        </w:trPr>
        <w:tc>
          <w:tcPr>
            <w:tcW w:w="9020" w:type="dxa"/>
            <w:vAlign w:val="bottom"/>
            <w:gridSpan w:val="5"/>
          </w:tcPr>
          <w:p>
            <w:pPr>
              <w:jc w:val="center"/>
              <w:ind w:right="26"/>
              <w:spacing w:after="0"/>
              <w:rPr>
                <w:sz w:val="20"/>
                <w:szCs w:val="20"/>
                <w:color w:val="auto"/>
              </w:rPr>
            </w:pPr>
            <w:r>
              <w:rPr>
                <w:rFonts w:ascii="Arial" w:cs="Arial" w:eastAsia="Arial" w:hAnsi="Arial"/>
                <w:sz w:val="17"/>
                <w:szCs w:val="17"/>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36"/>
        </w:trPr>
        <w:tc>
          <w:tcPr>
            <w:tcW w:w="2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rPr>
              <w:t>None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spacing w:after="0" w:line="184" w:lineRule="exact"/>
        <w:tabs>
          <w:tab w:leader="none" w:pos="8540" w:val="left"/>
          <w:tab w:leader="none" w:pos="91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184" w:lineRule="exact"/>
        <w:tabs>
          <w:tab w:leader="none" w:pos="8620" w:val="left"/>
          <w:tab w:leader="none" w:pos="922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1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860" w:type="dxa"/>
            <w:vAlign w:val="bottom"/>
          </w:tcPr>
          <w:p>
            <w:pPr>
              <w:ind w:left="23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4" w:lineRule="exact"/>
        <w:rPr>
          <w:sz w:val="24"/>
          <w:szCs w:val="24"/>
          <w:color w:val="auto"/>
        </w:rPr>
      </w:pPr>
    </w:p>
    <w:p>
      <w:pPr>
        <w:jc w:val="both"/>
        <w:ind w:right="20"/>
        <w:spacing w:after="0" w:line="22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spacing w:after="0" w:line="22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8260" w:val="left"/>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The aggregate market value of the registrant’s common stock held by non-affiliates, as of June 30,2023, was $785,013,999. As of February 8, 2024, there were 379,480,874 shares of the registrant’s common stock outstanding.</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240"/>
          </w:cols>
          <w:pgMar w:left="320" w:top="888" w:right="339" w:bottom="1440" w:gutter="0" w:footer="0" w:header="0"/>
        </w:sectPr>
      </w:pPr>
    </w:p>
    <w:p>
      <w:pPr>
        <w:spacing w:after="0" w:line="30" w:lineRule="exact"/>
        <w:rPr>
          <w:sz w:val="24"/>
          <w:szCs w:val="24"/>
          <w:color w:val="auto"/>
        </w:rPr>
      </w:pPr>
    </w:p>
    <w:p>
      <w:pPr>
        <w:ind w:right="300"/>
        <w:spacing w:after="0" w:line="265" w:lineRule="auto"/>
        <w:rPr>
          <w:sz w:val="20"/>
          <w:szCs w:val="20"/>
          <w:color w:val="auto"/>
        </w:rPr>
      </w:pPr>
      <w:r>
        <w:rPr>
          <w:rFonts w:ascii="Arial" w:cs="Arial" w:eastAsia="Arial" w:hAnsi="Arial"/>
          <w:sz w:val="16"/>
          <w:szCs w:val="16"/>
          <w:color w:val="auto"/>
        </w:rPr>
        <w:t>Portions of the registrant’s definitive proxy statement relating to its 2024 annual meeting of stockholders to be held on April 24, 2024,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0" w:type="dxa"/>
            <w:vAlign w:val="bottom"/>
            <w:gridSpan w:val="9"/>
          </w:tcPr>
          <w:p>
            <w:pPr>
              <w:ind w:left="20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2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gridSpan w:val="7"/>
          </w:tcPr>
          <w:p>
            <w:pPr>
              <w:ind w:left="220"/>
              <w:spacing w:after="0"/>
              <w:rPr>
                <w:sz w:val="20"/>
                <w:szCs w:val="20"/>
                <w:color w:val="auto"/>
              </w:rPr>
            </w:pPr>
            <w:r>
              <w:rPr>
                <w:rFonts w:ascii="Arial" w:cs="Arial" w:eastAsia="Arial" w:hAnsi="Arial"/>
                <w:sz w:val="13"/>
                <w:szCs w:val="13"/>
                <w:b w:val="1"/>
                <w:bCs w:val="1"/>
                <w:color w:val="auto"/>
              </w:rPr>
              <w:t>Page</w:t>
            </w:r>
          </w:p>
        </w:tc>
      </w:tr>
      <w:tr>
        <w:trPr>
          <w:trHeight w:val="162"/>
        </w:trPr>
        <w:tc>
          <w:tcPr>
            <w:tcW w:w="20" w:type="dxa"/>
            <w:vAlign w:val="bottom"/>
          </w:tcPr>
          <w:p>
            <w:pPr>
              <w:spacing w:after="0"/>
              <w:rPr>
                <w:sz w:val="14"/>
                <w:szCs w:val="14"/>
                <w:color w:val="auto"/>
              </w:rPr>
            </w:pPr>
          </w:p>
        </w:tc>
        <w:tc>
          <w:tcPr>
            <w:tcW w:w="1320" w:type="dxa"/>
            <w:vAlign w:val="bottom"/>
            <w:gridSpan w:val="5"/>
          </w:tcPr>
          <w:p>
            <w:pPr>
              <w:spacing w:after="0" w:line="162" w:lineRule="exact"/>
              <w:rPr>
                <w:sz w:val="20"/>
                <w:szCs w:val="20"/>
                <w:color w:val="auto"/>
              </w:rPr>
            </w:pPr>
            <w:r>
              <w:rPr>
                <w:rFonts w:ascii="Arial" w:cs="Arial" w:eastAsia="Arial" w:hAnsi="Arial"/>
                <w:sz w:val="16"/>
                <w:szCs w:val="16"/>
                <w:b w:val="1"/>
                <w:bCs w:val="1"/>
                <w:color w:val="0000FF"/>
              </w:rPr>
              <w:t>PART I</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Business</w:t>
            </w:r>
          </w:p>
        </w:tc>
        <w:tc>
          <w:tcPr>
            <w:tcW w:w="8480" w:type="dxa"/>
            <w:vAlign w:val="bottom"/>
            <w:gridSpan w:val="22"/>
          </w:tcPr>
          <w:p>
            <w:pPr>
              <w:spacing w:after="0"/>
              <w:rPr>
                <w:sz w:val="18"/>
                <w:szCs w:val="18"/>
                <w:color w:val="auto"/>
              </w:rPr>
            </w:pPr>
          </w:p>
        </w:tc>
        <w:tc>
          <w:tcPr>
            <w:tcW w:w="620" w:type="dxa"/>
            <w:vAlign w:val="bottom"/>
            <w:gridSpan w:val="4"/>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Risk Factors</w:t>
            </w:r>
          </w:p>
        </w:tc>
        <w:tc>
          <w:tcPr>
            <w:tcW w:w="8240" w:type="dxa"/>
            <w:vAlign w:val="bottom"/>
            <w:gridSpan w:val="20"/>
          </w:tcPr>
          <w:p>
            <w:pPr>
              <w:spacing w:after="0"/>
              <w:rPr>
                <w:sz w:val="17"/>
                <w:szCs w:val="17"/>
                <w:color w:val="auto"/>
              </w:rPr>
            </w:pPr>
          </w:p>
        </w:tc>
        <w:tc>
          <w:tcPr>
            <w:tcW w:w="620" w:type="dxa"/>
            <w:vAlign w:val="bottom"/>
            <w:gridSpan w:val="4"/>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1B.</w:t>
            </w:r>
          </w:p>
        </w:tc>
        <w:tc>
          <w:tcPr>
            <w:tcW w:w="2020" w:type="dxa"/>
            <w:vAlign w:val="bottom"/>
            <w:gridSpan w:val="10"/>
          </w:tcPr>
          <w:p>
            <w:pPr>
              <w:spacing w:after="0"/>
              <w:rPr>
                <w:sz w:val="20"/>
                <w:szCs w:val="20"/>
                <w:color w:val="auto"/>
              </w:rPr>
            </w:pPr>
            <w:r>
              <w:rPr>
                <w:rFonts w:ascii="Arial" w:cs="Arial" w:eastAsia="Arial" w:hAnsi="Arial"/>
                <w:sz w:val="16"/>
                <w:szCs w:val="16"/>
                <w:color w:val="0000FF"/>
                <w:w w:val="99"/>
              </w:rPr>
              <w:t>Unresolved Staff Comments</w:t>
            </w:r>
          </w:p>
        </w:tc>
        <w:tc>
          <w:tcPr>
            <w:tcW w:w="7120" w:type="dxa"/>
            <w:vAlign w:val="bottom"/>
            <w:gridSpan w:val="13"/>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1C.</w:t>
            </w:r>
          </w:p>
        </w:tc>
        <w:tc>
          <w:tcPr>
            <w:tcW w:w="2020" w:type="dxa"/>
            <w:vAlign w:val="bottom"/>
            <w:gridSpan w:val="10"/>
          </w:tcPr>
          <w:p>
            <w:pPr>
              <w:spacing w:after="0"/>
              <w:rPr>
                <w:sz w:val="20"/>
                <w:szCs w:val="20"/>
                <w:color w:val="auto"/>
              </w:rPr>
            </w:pPr>
            <w:r>
              <w:rPr>
                <w:rFonts w:ascii="Arial" w:cs="Arial" w:eastAsia="Arial" w:hAnsi="Arial"/>
                <w:sz w:val="16"/>
                <w:szCs w:val="16"/>
                <w:color w:val="0000FF"/>
              </w:rPr>
              <w:t>Cybersecurity</w:t>
            </w:r>
          </w:p>
        </w:tc>
        <w:tc>
          <w:tcPr>
            <w:tcW w:w="7120" w:type="dxa"/>
            <w:vAlign w:val="bottom"/>
            <w:gridSpan w:val="13"/>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2.</w:t>
            </w:r>
          </w:p>
        </w:tc>
        <w:tc>
          <w:tcPr>
            <w:tcW w:w="740" w:type="dxa"/>
            <w:vAlign w:val="bottom"/>
            <w:gridSpan w:val="2"/>
          </w:tcPr>
          <w:p>
            <w:pPr>
              <w:spacing w:after="0"/>
              <w:rPr>
                <w:sz w:val="20"/>
                <w:szCs w:val="20"/>
                <w:color w:val="auto"/>
              </w:rPr>
            </w:pPr>
            <w:r>
              <w:rPr>
                <w:rFonts w:ascii="Arial" w:cs="Arial" w:eastAsia="Arial" w:hAnsi="Arial"/>
                <w:sz w:val="16"/>
                <w:szCs w:val="16"/>
                <w:color w:val="0000FF"/>
                <w:w w:val="95"/>
              </w:rPr>
              <w:t>Properties</w:t>
            </w:r>
          </w:p>
        </w:tc>
        <w:tc>
          <w:tcPr>
            <w:tcW w:w="240" w:type="dxa"/>
            <w:vAlign w:val="bottom"/>
            <w:gridSpan w:val="2"/>
          </w:tcPr>
          <w:p>
            <w:pPr>
              <w:spacing w:after="0"/>
              <w:rPr>
                <w:sz w:val="17"/>
                <w:szCs w:val="17"/>
                <w:color w:val="auto"/>
              </w:rPr>
            </w:pPr>
          </w:p>
        </w:tc>
        <w:tc>
          <w:tcPr>
            <w:tcW w:w="8160" w:type="dxa"/>
            <w:vAlign w:val="bottom"/>
            <w:gridSpan w:val="19"/>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3.</w:t>
            </w:r>
          </w:p>
        </w:tc>
        <w:tc>
          <w:tcPr>
            <w:tcW w:w="1340" w:type="dxa"/>
            <w:vAlign w:val="bottom"/>
            <w:gridSpan w:val="6"/>
          </w:tcPr>
          <w:p>
            <w:pPr>
              <w:spacing w:after="0"/>
              <w:rPr>
                <w:sz w:val="20"/>
                <w:szCs w:val="20"/>
                <w:color w:val="auto"/>
              </w:rPr>
            </w:pPr>
            <w:r>
              <w:rPr>
                <w:rFonts w:ascii="Arial" w:cs="Arial" w:eastAsia="Arial" w:hAnsi="Arial"/>
                <w:sz w:val="16"/>
                <w:szCs w:val="16"/>
                <w:color w:val="0000FF"/>
                <w:w w:val="99"/>
              </w:rPr>
              <w:t>Legal Proceedings</w:t>
            </w:r>
          </w:p>
        </w:tc>
        <w:tc>
          <w:tcPr>
            <w:tcW w:w="7800" w:type="dxa"/>
            <w:vAlign w:val="bottom"/>
            <w:gridSpan w:val="17"/>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4.</w:t>
            </w:r>
          </w:p>
        </w:tc>
        <w:tc>
          <w:tcPr>
            <w:tcW w:w="1740" w:type="dxa"/>
            <w:vAlign w:val="bottom"/>
            <w:gridSpan w:val="8"/>
          </w:tcPr>
          <w:p>
            <w:pPr>
              <w:spacing w:after="0"/>
              <w:rPr>
                <w:sz w:val="20"/>
                <w:szCs w:val="20"/>
                <w:color w:val="auto"/>
              </w:rPr>
            </w:pPr>
            <w:r>
              <w:rPr>
                <w:rFonts w:ascii="Arial" w:cs="Arial" w:eastAsia="Arial" w:hAnsi="Arial"/>
                <w:sz w:val="16"/>
                <w:szCs w:val="16"/>
                <w:color w:val="0000FF"/>
              </w:rPr>
              <w:t>Mine Safety Disclosures</w:t>
            </w:r>
          </w:p>
        </w:tc>
        <w:tc>
          <w:tcPr>
            <w:tcW w:w="7400" w:type="dxa"/>
            <w:vAlign w:val="bottom"/>
            <w:gridSpan w:val="15"/>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40" w:type="dxa"/>
            <w:vAlign w:val="bottom"/>
            <w:gridSpan w:val="23"/>
          </w:tcPr>
          <w:p>
            <w:pPr>
              <w:spacing w:after="0"/>
              <w:rPr>
                <w:sz w:val="20"/>
                <w:szCs w:val="20"/>
                <w:color w:val="auto"/>
              </w:rPr>
            </w:pPr>
            <w:r>
              <w:rPr>
                <w:rFonts w:ascii="Arial" w:cs="Arial" w:eastAsia="Arial" w:hAnsi="Arial"/>
                <w:sz w:val="16"/>
                <w:szCs w:val="16"/>
                <w:color w:val="0000FF"/>
              </w:rPr>
              <w:t>Information About Our Executive Officers</w:t>
            </w: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8"/>
              </w:rPr>
              <w:t>PART II</w:t>
            </w:r>
          </w:p>
        </w:tc>
        <w:tc>
          <w:tcPr>
            <w:tcW w:w="74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5.</w:t>
            </w:r>
          </w:p>
        </w:tc>
        <w:tc>
          <w:tcPr>
            <w:tcW w:w="9140" w:type="dxa"/>
            <w:vAlign w:val="bottom"/>
            <w:gridSpan w:val="23"/>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gridSpan w:val="2"/>
            <w:shd w:val="clear" w:color="auto" w:fill="0000FF"/>
          </w:tcPr>
          <w:p>
            <w:pPr>
              <w:spacing w:after="0"/>
              <w:rPr>
                <w:sz w:val="2"/>
                <w:szCs w:val="2"/>
                <w:color w:val="auto"/>
              </w:rPr>
            </w:pPr>
          </w:p>
        </w:tc>
        <w:tc>
          <w:tcPr>
            <w:tcW w:w="520" w:type="dxa"/>
            <w:vAlign w:val="bottom"/>
            <w:tcBorders>
              <w:left w:val="single" w:sz="8" w:color="0000FF"/>
            </w:tcBorders>
            <w:gridSpan w:val="3"/>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94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6.</w:t>
            </w:r>
          </w:p>
        </w:tc>
        <w:tc>
          <w:tcPr>
            <w:tcW w:w="740" w:type="dxa"/>
            <w:vAlign w:val="bottom"/>
            <w:gridSpan w:val="2"/>
          </w:tcPr>
          <w:p>
            <w:pPr>
              <w:spacing w:after="0"/>
              <w:rPr>
                <w:sz w:val="20"/>
                <w:szCs w:val="20"/>
                <w:color w:val="auto"/>
              </w:rPr>
            </w:pPr>
            <w:r>
              <w:rPr>
                <w:rFonts w:ascii="Arial" w:cs="Arial" w:eastAsia="Arial" w:hAnsi="Arial"/>
                <w:sz w:val="16"/>
                <w:szCs w:val="16"/>
                <w:color w:val="0000FF"/>
                <w:w w:val="90"/>
              </w:rPr>
              <w:t>[Reserved]</w:t>
            </w:r>
          </w:p>
        </w:tc>
        <w:tc>
          <w:tcPr>
            <w:tcW w:w="8400" w:type="dxa"/>
            <w:vAlign w:val="bottom"/>
            <w:gridSpan w:val="21"/>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7.</w:t>
            </w:r>
          </w:p>
        </w:tc>
        <w:tc>
          <w:tcPr>
            <w:tcW w:w="9140" w:type="dxa"/>
            <w:vAlign w:val="bottom"/>
            <w:gridSpan w:val="23"/>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7A.</w:t>
            </w:r>
          </w:p>
        </w:tc>
        <w:tc>
          <w:tcPr>
            <w:tcW w:w="4240" w:type="dxa"/>
            <w:vAlign w:val="bottom"/>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gridSpan w:val="3"/>
          </w:tcPr>
          <w:p>
            <w:pPr>
              <w:spacing w:after="0"/>
              <w:rPr>
                <w:sz w:val="17"/>
                <w:szCs w:val="17"/>
                <w:color w:val="auto"/>
              </w:rPr>
            </w:pPr>
          </w:p>
        </w:tc>
        <w:tc>
          <w:tcPr>
            <w:tcW w:w="2780" w:type="dxa"/>
            <w:vAlign w:val="bottom"/>
            <w:gridSpan w:val="4"/>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8.</w:t>
            </w:r>
          </w:p>
        </w:tc>
        <w:tc>
          <w:tcPr>
            <w:tcW w:w="4240" w:type="dxa"/>
            <w:vAlign w:val="bottom"/>
            <w:gridSpan w:val="16"/>
          </w:tcPr>
          <w:p>
            <w:pPr>
              <w:spacing w:after="0"/>
              <w:rPr>
                <w:sz w:val="20"/>
                <w:szCs w:val="20"/>
                <w:color w:val="auto"/>
              </w:rPr>
            </w:pPr>
            <w:r>
              <w:rPr>
                <w:rFonts w:ascii="Arial" w:cs="Arial" w:eastAsia="Arial" w:hAnsi="Arial"/>
                <w:sz w:val="16"/>
                <w:szCs w:val="16"/>
                <w:color w:val="0000FF"/>
              </w:rPr>
              <w:t>Financial Statements and Supplementary Data</w:t>
            </w:r>
          </w:p>
        </w:tc>
        <w:tc>
          <w:tcPr>
            <w:tcW w:w="4900" w:type="dxa"/>
            <w:vAlign w:val="bottom"/>
            <w:gridSpan w:val="7"/>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w:t>
            </w:r>
          </w:p>
        </w:tc>
        <w:tc>
          <w:tcPr>
            <w:tcW w:w="6460" w:type="dxa"/>
            <w:vAlign w:val="bottom"/>
            <w:gridSpan w:val="20"/>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2680" w:type="dxa"/>
            <w:vAlign w:val="bottom"/>
            <w:gridSpan w:val="3"/>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9A.</w:t>
            </w:r>
          </w:p>
        </w:tc>
        <w:tc>
          <w:tcPr>
            <w:tcW w:w="6460" w:type="dxa"/>
            <w:vAlign w:val="bottom"/>
            <w:gridSpan w:val="20"/>
          </w:tcPr>
          <w:p>
            <w:pPr>
              <w:spacing w:after="0"/>
              <w:rPr>
                <w:sz w:val="20"/>
                <w:szCs w:val="20"/>
                <w:color w:val="auto"/>
              </w:rPr>
            </w:pPr>
            <w:r>
              <w:rPr>
                <w:rFonts w:ascii="Arial" w:cs="Arial" w:eastAsia="Arial" w:hAnsi="Arial"/>
                <w:sz w:val="16"/>
                <w:szCs w:val="16"/>
                <w:color w:val="0000FF"/>
              </w:rPr>
              <w:t>Controls and Procedures</w:t>
            </w:r>
          </w:p>
        </w:tc>
        <w:tc>
          <w:tcPr>
            <w:tcW w:w="2680" w:type="dxa"/>
            <w:vAlign w:val="bottom"/>
            <w:gridSpan w:val="3"/>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9B.</w:t>
            </w:r>
          </w:p>
        </w:tc>
        <w:tc>
          <w:tcPr>
            <w:tcW w:w="1260" w:type="dxa"/>
            <w:vAlign w:val="bottom"/>
            <w:gridSpan w:val="5"/>
          </w:tcPr>
          <w:p>
            <w:pPr>
              <w:spacing w:after="0"/>
              <w:rPr>
                <w:sz w:val="20"/>
                <w:szCs w:val="20"/>
                <w:color w:val="auto"/>
              </w:rPr>
            </w:pPr>
            <w:r>
              <w:rPr>
                <w:rFonts w:ascii="Arial" w:cs="Arial" w:eastAsia="Arial" w:hAnsi="Arial"/>
                <w:sz w:val="16"/>
                <w:szCs w:val="16"/>
                <w:color w:val="0000FF"/>
                <w:w w:val="99"/>
              </w:rPr>
              <w:t>Other Information</w:t>
            </w:r>
          </w:p>
        </w:tc>
        <w:tc>
          <w:tcPr>
            <w:tcW w:w="520" w:type="dxa"/>
            <w:vAlign w:val="bottom"/>
            <w:gridSpan w:val="4"/>
          </w:tcPr>
          <w:p>
            <w:pPr>
              <w:spacing w:after="0"/>
              <w:rPr>
                <w:sz w:val="17"/>
                <w:szCs w:val="17"/>
                <w:color w:val="auto"/>
              </w:rPr>
            </w:pPr>
          </w:p>
        </w:tc>
        <w:tc>
          <w:tcPr>
            <w:tcW w:w="7360" w:type="dxa"/>
            <w:vAlign w:val="bottom"/>
            <w:gridSpan w:val="14"/>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9C.</w:t>
            </w:r>
          </w:p>
        </w:tc>
        <w:tc>
          <w:tcPr>
            <w:tcW w:w="9140" w:type="dxa"/>
            <w:vAlign w:val="bottom"/>
            <w:gridSpan w:val="23"/>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7"/>
              </w:rPr>
              <w:t>PART III</w:t>
            </w:r>
          </w:p>
        </w:tc>
        <w:tc>
          <w:tcPr>
            <w:tcW w:w="70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10.</w:t>
            </w:r>
          </w:p>
        </w:tc>
        <w:tc>
          <w:tcPr>
            <w:tcW w:w="9140" w:type="dxa"/>
            <w:vAlign w:val="bottom"/>
            <w:gridSpan w:val="23"/>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11.</w:t>
            </w:r>
          </w:p>
        </w:tc>
        <w:tc>
          <w:tcPr>
            <w:tcW w:w="4040" w:type="dxa"/>
            <w:vAlign w:val="bottom"/>
            <w:gridSpan w:val="15"/>
          </w:tcPr>
          <w:p>
            <w:pPr>
              <w:spacing w:after="0"/>
              <w:rPr>
                <w:sz w:val="20"/>
                <w:szCs w:val="20"/>
                <w:color w:val="auto"/>
              </w:rPr>
            </w:pPr>
            <w:r>
              <w:rPr>
                <w:rFonts w:ascii="Arial" w:cs="Arial" w:eastAsia="Arial" w:hAnsi="Arial"/>
                <w:sz w:val="16"/>
                <w:szCs w:val="16"/>
                <w:color w:val="0000FF"/>
              </w:rPr>
              <w:t>Executive Compensation</w:t>
            </w:r>
          </w:p>
        </w:tc>
        <w:tc>
          <w:tcPr>
            <w:tcW w:w="5100" w:type="dxa"/>
            <w:vAlign w:val="bottom"/>
            <w:gridSpan w:val="8"/>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12.</w:t>
            </w:r>
          </w:p>
        </w:tc>
        <w:tc>
          <w:tcPr>
            <w:tcW w:w="9140" w:type="dxa"/>
            <w:vAlign w:val="bottom"/>
            <w:gridSpan w:val="23"/>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13.</w:t>
            </w:r>
          </w:p>
        </w:tc>
        <w:tc>
          <w:tcPr>
            <w:tcW w:w="7200" w:type="dxa"/>
            <w:vAlign w:val="bottom"/>
            <w:gridSpan w:val="21"/>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940" w:type="dxa"/>
            <w:vAlign w:val="bottom"/>
            <w:gridSpan w:val="2"/>
          </w:tcPr>
          <w:p>
            <w:pPr>
              <w:spacing w:after="0"/>
              <w:rPr>
                <w:sz w:val="17"/>
                <w:szCs w:val="17"/>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color w:val="0000FF"/>
              </w:rPr>
              <w:t>100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14.</w:t>
            </w:r>
          </w:p>
        </w:tc>
        <w:tc>
          <w:tcPr>
            <w:tcW w:w="546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Principal Accountant Fees and Services</w:t>
            </w:r>
          </w:p>
        </w:tc>
        <w:tc>
          <w:tcPr>
            <w:tcW w:w="368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FF"/>
            </w:tcBorders>
            <w:gridSpan w:val="4"/>
          </w:tcPr>
          <w:p>
            <w:pPr>
              <w:jc w:val="right"/>
              <w:spacing w:after="0"/>
              <w:rPr>
                <w:sz w:val="20"/>
                <w:szCs w:val="20"/>
                <w:color w:val="auto"/>
              </w:rPr>
            </w:pPr>
            <w:r>
              <w:rPr>
                <w:rFonts w:ascii="Arial" w:cs="Arial" w:eastAsia="Arial" w:hAnsi="Arial"/>
                <w:sz w:val="16"/>
                <w:szCs w:val="16"/>
                <w:color w:val="0000FF"/>
                <w:w w:val="97"/>
              </w:rPr>
              <w:t>100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b w:val="1"/>
                <w:bCs w:val="1"/>
                <w:color w:val="0000FF"/>
                <w:w w:val="98"/>
              </w:rPr>
              <w:t>PART IV</w:t>
            </w:r>
          </w:p>
        </w:tc>
        <w:tc>
          <w:tcPr>
            <w:tcW w:w="6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15.</w:t>
            </w:r>
          </w:p>
        </w:tc>
        <w:tc>
          <w:tcPr>
            <w:tcW w:w="31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Exhibits and Financial Statement Schedules</w:t>
            </w:r>
          </w:p>
        </w:tc>
        <w:tc>
          <w:tcPr>
            <w:tcW w:w="598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bottom w:val="single" w:sz="8" w:color="0000FF"/>
            </w:tcBorders>
            <w:gridSpan w:val="4"/>
          </w:tcPr>
          <w:p>
            <w:pPr>
              <w:jc w:val="right"/>
              <w:spacing w:after="0"/>
              <w:rPr>
                <w:sz w:val="20"/>
                <w:szCs w:val="20"/>
                <w:color w:val="auto"/>
              </w:rPr>
            </w:pPr>
            <w:r>
              <w:rPr>
                <w:rFonts w:ascii="Arial" w:cs="Arial" w:eastAsia="Arial" w:hAnsi="Arial"/>
                <w:sz w:val="16"/>
                <w:szCs w:val="16"/>
                <w:color w:val="0000FF"/>
                <w:w w:val="97"/>
              </w:rPr>
              <w:t>101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320" w:type="dxa"/>
            <w:vAlign w:val="bottom"/>
            <w:gridSpan w:val="5"/>
          </w:tcPr>
          <w:p>
            <w:pPr>
              <w:ind w:left="120"/>
              <w:spacing w:after="0"/>
              <w:rPr>
                <w:sz w:val="20"/>
                <w:szCs w:val="20"/>
                <w:color w:val="auto"/>
              </w:rPr>
            </w:pPr>
            <w:r>
              <w:rPr>
                <w:rFonts w:ascii="Arial" w:cs="Arial" w:eastAsia="Arial" w:hAnsi="Arial"/>
                <w:sz w:val="16"/>
                <w:szCs w:val="16"/>
                <w:color w:val="auto"/>
              </w:rPr>
              <w:t>Item 16.</w:t>
            </w:r>
          </w:p>
        </w:tc>
        <w:tc>
          <w:tcPr>
            <w:tcW w:w="9140" w:type="dxa"/>
            <w:vAlign w:val="bottom"/>
            <w:gridSpan w:val="23"/>
          </w:tcPr>
          <w:p>
            <w:pPr>
              <w:spacing w:after="0"/>
              <w:rPr>
                <w:sz w:val="20"/>
                <w:szCs w:val="20"/>
                <w:color w:val="auto"/>
              </w:rPr>
            </w:pPr>
            <w:r>
              <w:rPr>
                <w:rFonts w:ascii="Arial" w:cs="Arial" w:eastAsia="Arial" w:hAnsi="Arial"/>
                <w:sz w:val="16"/>
                <w:szCs w:val="16"/>
                <w:color w:val="0000FF"/>
              </w:rPr>
              <w:t>Form 10-K Summary</w:t>
            </w:r>
          </w:p>
        </w:tc>
        <w:tc>
          <w:tcPr>
            <w:tcW w:w="740" w:type="dxa"/>
            <w:vAlign w:val="bottom"/>
            <w:gridSpan w:val="6"/>
          </w:tcPr>
          <w:p>
            <w:pPr>
              <w:jc w:val="right"/>
              <w:ind w:right="20"/>
              <w:spacing w:after="0"/>
              <w:rPr>
                <w:sz w:val="20"/>
                <w:szCs w:val="20"/>
                <w:color w:val="auto"/>
              </w:rPr>
            </w:pPr>
            <w:r>
              <w:rPr>
                <w:rFonts w:ascii="Arial" w:cs="Arial" w:eastAsia="Arial" w:hAnsi="Arial"/>
                <w:sz w:val="16"/>
                <w:szCs w:val="16"/>
                <w:color w:val="0000FF"/>
              </w:rPr>
              <w:t>111</w:t>
            </w:r>
          </w:p>
        </w:tc>
        <w:tc>
          <w:tcPr>
            <w:tcW w:w="20" w:type="dxa"/>
            <w:vAlign w:val="bottom"/>
          </w:tcPr>
          <w:p>
            <w:pPr>
              <w:spacing w:after="0"/>
              <w:rPr>
                <w:sz w:val="17"/>
                <w:szCs w:val="17"/>
                <w:color w:val="auto"/>
              </w:rPr>
            </w:pPr>
          </w:p>
        </w:tc>
      </w:tr>
      <w:tr>
        <w:trPr>
          <w:trHeight w:val="595"/>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22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i w:val="1"/>
          <w:iCs w:val="1"/>
          <w:color w:val="auto"/>
        </w:rPr>
        <w:t>This Annual Report on Form 10-K, including the section “Management’s Discussion and Analysis of Financial Condition and Results of Operations” in Part II, Item 7,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strategies. In many cases, you can identify forward-looking statements by terms such as “expects,” "intends," "focus," "believes," "will," "outlook," "may," “predicts,” “vision,” “potential,” “anticipates,” “estimates,” "should,” “plans,” “could,” “likely,” “commit,” “guidance,” “incremental,” “preliminary,” “forecast,” “continue,” “strategy,” “confidence,” “momentum,” “estimate,” “objective,” “project,” or the negative of these terms or other comparable terminology. The forward-looking statements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You are cautioned not to place undue reliance on these forward-looking statements. Unless required by law, we undertake no obligation to publicly update or revise any forward-looking statements to reflect circumstances or events after the date they are made. A number of important factors could cause actual results to differ materially from those indicated by the forward-looking statements, including, but not limited to, those factors described in Part I, Item 1A, “Risk Factors,” in Part I, Item 7 “Management's Discussion and Analysis of Financial Condition and Results of Operations—Factors Affecting Our Results” and elsewhere in this Annual Report.</w:t>
      </w:r>
    </w:p>
    <w:p>
      <w:pPr>
        <w:spacing w:after="0" w:line="391"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i w:val="1"/>
          <w:iCs w:val="1"/>
          <w:color w:val="auto"/>
        </w:rPr>
        <w:t>In this Annual Report on Form 10-K, references to “Sabre,” the “Company,” “we,” “our,” “ours” and “us” refer to Sabre Corporation and its consolidated subsidiaries unless otherwise stated or the context otherwise requires.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35"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Our principal executive offices are located at 3150 Sabre Drive, Southlake, Texas 76092.</w:t>
      </w:r>
    </w:p>
    <w:p>
      <w:pPr>
        <w:spacing w:after="0" w:line="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At Sabre, we make travel happen. Our vision is to be one of the most valued global technology partners in travel. We are committed to helping our customers take on the biggest opportunities and solve the most complex challenges in our industry. We connect the world’s leading travel suppliers, including airlines, hotels, car rental brands, rail carriers, cruise lines and tour operators, with travel buyers in a comprehensive travel marketplace. We also offer travel suppliers an extensive suite of leading software solutions, ranging from airline and hotel reservations systems to solutions that manage day-to-day hotel operations. We are committed to helping customers operate more efficiently, drive revenue and offer personalized traveler experiences with next-generation technology solutions.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 and Products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We operate our business and present our results through two business segments: (i) Travel Solutions, our global travel solutions for travel suppliers and travel buyers, including a broad portfolio of software technology products and solutions for airlines, and (ii) Hospitality Solutions, an extensive suite of leading software solutions for hoteliers. Financial information about our business segments and geographic areas is provided in Note 19. Segment Information, to our consolidated financial statements in Part II,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in this Annual Report on Form 10-K.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Travel Solutions</w:t>
      </w:r>
    </w:p>
    <w:p>
      <w:pPr>
        <w:spacing w:after="0" w:line="179"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Travel Solutions business provides global travel solutions for travel suppliers and travel buyers through a business-to-business travel marketplace consisting of our global distribution network and a broad set of solutions that integrate with our distribution platform to add value for travel suppliers and travel buyers. Our distribution business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travel agencies (“OTAs”), offline travel agencies, travel management companies (“TMCs”), and corporate travel departments.</w:t>
      </w:r>
    </w:p>
    <w:p>
      <w:pPr>
        <w:spacing w:after="0" w:line="13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Additionally, our Travel Solutions business offers a broad portfolio of software technology products and solutions, through software-as-a-service (“SaaS”) and hosted delivery model, to airlines and other travel suppliers and provides industry-leading and comprehensive software solutions that help our customers better market, sell, serve and operate. Our product offerings include reservation systems for full-cost and low-cost carriers, commercial and operations products, agency solutions and data-</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both"/>
        <w:ind w:right="20"/>
        <w:spacing w:after="0" w:line="287" w:lineRule="auto"/>
        <w:rPr>
          <w:sz w:val="20"/>
          <w:szCs w:val="20"/>
          <w:color w:val="auto"/>
        </w:rPr>
      </w:pPr>
      <w:r>
        <w:rPr>
          <w:rFonts w:ascii="Arial" w:cs="Arial" w:eastAsia="Arial" w:hAnsi="Arial"/>
          <w:sz w:val="16"/>
          <w:szCs w:val="16"/>
          <w:color w:val="auto"/>
        </w:rPr>
        <w:t>driven intelligence solutions. Our reservation systems bring together intelligent decision support solutions that enable end-to-end retailing. Our commercial and operations products offer services to our customers to enable them to better use our products and help optimize their commercial and operations platforms.</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Hospitality Solutions</w:t>
      </w:r>
    </w:p>
    <w:p>
      <w:pPr>
        <w:spacing w:after="0" w:line="1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Our Hospitality Solutions business provides software and solutions, through SaaS and hosted delivery models, to hoteliers around the world. Our SaaS solutions empower hotels and hotel chains to manage pricing, reservations, and retail offerings across thousands of distribution channels while improving guest experience throughout the traveler journey. We serve over 42,000 properties in over 175 countries.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Growth Strategy</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At Sabre, we are a technology company focused on four strategic areas: generating positive free cash flow, achieving sustainable long-term growth, driving innovation and enhancing our value propositions, and the continued modernization of our technology. Our growth strategy includes enhancing relationships with customers by promoting the benefits to them and travelers of adopting additional products and services, adapting those products to the changing needs of the travel ecosphere, including integrating new distribution capability (“NDC”), and pricing them in ways that align with our customers, growing our customer base by continuing to innovate our products, adding desirable content, and aligning our technology and personnel to best highlight our value proposition globally and expanding opportunities by extending our product lines into closely related areas of travel where our customer relationships can efficiently drive adoption.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Operations</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technology strategy is focused on achieving operational stability, reliability, resiliency, security and performance at an efficient overall cost while continuing to innovate and create incremental value for our customers. Significant investment has gone into implementing a more unified technical architecture with an emphasis on standardization, simplicity, efficiency, security, and scalability. We invest heavily in software development, delivery, and operational support capabilities and seek to provide best in class products for our customers. We operate standardized infrastructure in our cloud computing environments across hardware, operating systems, databases, and other key enabling technologies to minimize costs on non-differentiators. We expect to continue to make significant investments in our information technology infrastructure to modernize our architecture, drive efficiency and quality in development, lower recurring technology costs, further enhance the stability and security of our network, comply with data privacy and accessibility regulations, and complete our shift to service-enabled and cloud-based solutions. For this reason, we have included Technology costs as a separate category of cost within our consolidated financial statements and notes contained in Item 8, “Financial Statements and Supplementary Data,” of this Annual Report on Form 10-K.</w:t>
      </w:r>
    </w:p>
    <w:p>
      <w:pPr>
        <w:spacing w:after="0" w:line="2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Over the last several years, our architecture has evolved from mainframe-based transaction processing to more secure, primarily cloud-based distributed processing. A variety of products and services run on this technology infrastructure: high-volume air and hotel shopping systems; sales and support applications for airlines, hotels, and travel agencies; airline and hotel inventory management and operational support systems; artificial intelligence ("AI")-powered analytics and decision support systems; and web services that provide automated interfaces for retailing, distribution, and fulfillment of travel-related products and services. The flexibility and scale of our cloud-based technology infrastructure allow us to quickly deliver a broad variety of SaaS solutions and evolve these solutions to meet the changing needs of the travel industry.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Travel Solutions customers consist of travel suppliers, including airlines, hotels and other lodging providers, car rental brands, rail carriers, cruise lines, tour operators, attractions and services; a large network of travel buyers, including OTAs, offline travel agencies, TMCs and corporate travel departments; and airports, governments and tourism boards. Airlines served by Travel Solutions vary in size and are located in every region of the world, and include hybrid carriers and low-cost carriers ("LCCs") (collectively, “LCC/hybrids”), global network carriers and regional network carriers. Our airline and agency customers are in various phases of adopting NDC strategies, and those strategies vary by customer. Hospitality Solutions has a global customer base of over 42,000 hotel properties of all sizes.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Sources of Revenue</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Transactions—Our Travel Solutions business generates distribution revenue for bookings made through our global distribution system ("GDS") (e.g., air, car and hotel bookings) and through our partners and generally we are paid directly by the travel supplier. A transaction occurs when a travel agency or corporate travel department books or reserves a travel supplier’s product using our GDS, for which we receive a fee. Transaction fees include, but are not limited to, transaction fees paid by travel suppliers for selling their inventory through our GDS and fees paid by travel agency subscribers related to their use of certain solutions integrated with our GDS. We receive revenue from the travel supplier and the travel agency according to the commercial arrangement with each.</w:t>
      </w:r>
    </w:p>
    <w:p>
      <w:pPr>
        <w:spacing w:after="0" w:line="8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SaaS and Hosted—We generate Travel Solutions' IT Solutions revenue and Hospitality Solutions revenue through upfront solution implementation fees and recurring usage-based fees for the use of our software solutions hosted on secure platforms or deployed via SaaS. We maintain our SaaS and hosted software and manage the related infrastructure with the assistance of third-party providers. We collect the implementation fees and recurring usage-based fees pursuant to contracts with terms that typically range between three and ten years and generally include minimum annual volume requirements.</w:t>
      </w:r>
    </w:p>
    <w:p>
      <w:pPr>
        <w:spacing w:after="0" w:line="65"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Software Licensing—We generate Travel Solutions' IT Solutions revenue from fees for the on-site installation and use of our software products. Many contracts under this model generate additional revenue for the maintenance of the software product.</w:t>
      </w:r>
    </w:p>
    <w:p>
      <w:pPr>
        <w:spacing w:after="0" w:line="3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Professional Service Fees—We generate Travel Solutions' IT Solutions revenue and Hospitality Solutions revenue through offerings that utilize the SaaS and hosted revenue model which are sometimes sold as part of multiple performance obligation arrangements for which we also provide professional services, including consulting services. Our professional services are primarily focused on helping customers achieve better utilization of and return on their software investment. Often, we provide these services during the implementation phase of our SaaS solutions.</w:t>
      </w:r>
    </w:p>
    <w:p>
      <w:pPr>
        <w:spacing w:after="0" w:line="78"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Media and Retailing—We generate Hospitality Solutions revenue from customers that advertise their website or booking engine on digital marketing channels. We also generate Hospitality Solutions revenue through retailing offerings and are typically paid a portion of the value of each transaction according to commercial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operate in highly competitive markets. Travel Solutions competes with several other regional and global travel marketplace providers, including other GDSs, local distribution systems and travel marketplace providers primarily owned by airlines or government entities, as well as with direct distribution by travel suppliers. In addition to other GDSs and direct distributors, there are a number of other competitors in the travel distribution marketplace, including new entrants in the travel space, that offer metasearch capabilities that direct shoppers to supplier websites and/or OTAs, third party aggregators and peer-to-peer options for travel services. Travel Solutions also competes with a variety of providers in a rapidly evolving marketplace which includes global and regional IT providers, various specialists in selected product areas, service providers and airlines that develop their own in-house technology. Hospitality Solutions operates in a dynamic marketplace that includes large global players, significant new entrants and hotels that develop their own in-house technology.</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 law protection of our trademarks.</w:t>
      </w:r>
    </w:p>
    <w:p>
      <w:pPr>
        <w:spacing w:after="0" w:line="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are subject to or affected by international, federal, state and local laws, regulations and policies, which are constantly subject to change. These laws, regulations and policies include regulations applicable to the GDS in the European Union (“EU”), Canada, the United States and other locations.</w:t>
      </w:r>
    </w:p>
    <w:p>
      <w:pPr>
        <w:spacing w:after="0" w:line="48"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We are subject to the application of data protection and privacy regulations in many of the U.S. states and countries in which we operate, including the General Data Protection Regulation ("GDPR") in the EU. See "Risk Factors—Our collection, processing, storage, use and transmission of personal data could give rise to liabilities as a result of governmental regulation, conflicting legal requirements, differing views on data privacy, or security incidents."</w:t>
      </w:r>
    </w:p>
    <w:p>
      <w:pPr>
        <w:spacing w:after="0" w:line="70"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We are also subject to prohibitions administered by the Office of Foreign Assets Control (the “OFAC rules”) and other similar global prohibitions, as applicable. The OFAC rules prohibit U.S. persons from engaging in financial transactions with 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6"/>
          <w:szCs w:val="16"/>
          <w:color w:val="auto"/>
        </w:rPr>
        <w:t>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w:t>
      </w:r>
    </w:p>
    <w:p>
      <w:pPr>
        <w:spacing w:after="0" w:line="6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businesses may also be subject to legislation and regulations affecting issues such as: trade sanctions, exports of technology, antitrust, anticorruption, telecommunications, artificial intelligence, and e-commerce. These regulations may vary among jurisdictions. For example, Russia has adopted legislation and related regulations, effective October 30, 2022, that require activities related to the development, creation and operation of automated information systems for processing domestic air transportation within the Russian Federation to be owned and operated by Russian residents or legal entities with no updates from or connection with systems abroad. This legislation and these regulations have prohibited our ability to provide these services in Russia, which has negatively impacted, and is expected to continue to negatively impact, our revenue and results.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“Risk Factors—Any failure to comply with regulations or any changes in such regulations governing our businesses could adversely affect us.”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travel industry is seasonal in nature. Travel bookings and the revenue we derive from those bookings, are typically seasonally strong in the first and third quarters, but decline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 Similarly, we experience seasonality in our cash flow from operations with the first quarter lower in collections, reflecting the revenue generated in December, and higher cash outflows with annual compensation and incentive consideration payments, for the previous year.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maintain a strategic framework that defines areas of focus for our culture and talent and highlights how we enable our people to execute the plans and priorities for our technology, product, financial and customer strategies.</w:t>
      </w:r>
    </w:p>
    <w:p>
      <w:pPr>
        <w:spacing w:after="0" w:line="4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Our People</w:t>
      </w:r>
      <w:r>
        <w:rPr>
          <w:rFonts w:ascii="Arial" w:cs="Arial" w:eastAsia="Arial" w:hAnsi="Arial"/>
          <w:sz w:val="16"/>
          <w:szCs w:val="16"/>
          <w:color w:val="auto"/>
        </w:rPr>
        <w:t>—In 2023, we implemented a cost reduction plan that reduced our workforce by 17% compared to the prior year, impacting our human</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metrics for the year ended December 31, 2023. We have not experienced any work stoppages and consider our relations with our employees to be good. As of December 31, 2023, we had 6,232 employees worldwide, consisting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Arial" w:cs="Arial" w:eastAsia="Arial" w:hAnsi="Arial"/>
                <w:sz w:val="13"/>
                <w:szCs w:val="13"/>
                <w:b w:val="1"/>
                <w:bCs w:val="1"/>
                <w:color w:val="auto"/>
              </w:rPr>
              <w:t>No of Employees</w:t>
            </w:r>
          </w:p>
        </w:tc>
        <w:tc>
          <w:tcPr>
            <w:tcW w:w="1820" w:type="dxa"/>
            <w:vAlign w:val="bottom"/>
          </w:tcPr>
          <w:p>
            <w:pPr>
              <w:jc w:val="right"/>
              <w:ind w:right="542"/>
              <w:spacing w:after="0"/>
              <w:rPr>
                <w:sz w:val="20"/>
                <w:szCs w:val="20"/>
                <w:color w:val="auto"/>
              </w:rPr>
            </w:pPr>
            <w:r>
              <w:rPr>
                <w:rFonts w:ascii="Arial" w:cs="Arial" w:eastAsia="Arial" w:hAnsi="Arial"/>
                <w:sz w:val="13"/>
                <w:szCs w:val="13"/>
                <w:b w:val="1"/>
                <w:bCs w:val="1"/>
                <w:color w:val="auto"/>
              </w:rPr>
              <w:t>% of Total</w:t>
            </w:r>
          </w:p>
        </w:tc>
      </w:tr>
      <w:tr>
        <w:trPr>
          <w:trHeight w:val="21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APAC</w:t>
            </w:r>
          </w:p>
        </w:tc>
        <w:tc>
          <w:tcPr>
            <w:tcW w:w="1620" w:type="dxa"/>
            <w:vAlign w:val="bottom"/>
          </w:tcPr>
          <w:p>
            <w:pPr>
              <w:jc w:val="right"/>
              <w:spacing w:after="0"/>
              <w:rPr>
                <w:sz w:val="20"/>
                <w:szCs w:val="20"/>
                <w:color w:val="auto"/>
              </w:rPr>
            </w:pPr>
            <w:r>
              <w:rPr>
                <w:rFonts w:ascii="Arial" w:cs="Arial" w:eastAsia="Arial" w:hAnsi="Arial"/>
                <w:sz w:val="16"/>
                <w:szCs w:val="16"/>
                <w:color w:val="auto"/>
              </w:rPr>
              <w:t>1,765</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7"/>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6"/>
        </w:trPr>
        <w:tc>
          <w:tcPr>
            <w:tcW w:w="7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All Other </w:t>
            </w:r>
            <w:r>
              <w:rPr>
                <w:rFonts w:ascii="Arial" w:cs="Arial" w:eastAsia="Arial" w:hAnsi="Arial"/>
                <w:sz w:val="21"/>
                <w:szCs w:val="21"/>
                <w:color w:val="auto"/>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3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6,232</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Includes Canada, Mexico, Latin America, Middle East, and Africa.</w:t>
      </w:r>
    </w:p>
    <w:p>
      <w:pPr>
        <w:spacing w:after="0" w:line="11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Talent Acquisition, Development and Retention</w:t>
      </w:r>
      <w:r>
        <w:rPr>
          <w:rFonts w:ascii="Arial" w:cs="Arial" w:eastAsia="Arial" w:hAnsi="Arial"/>
          <w:sz w:val="16"/>
          <w:szCs w:val="16"/>
          <w:color w:val="auto"/>
        </w:rPr>
        <w:t>—Through our long operating history and experience with technological innovation, we appreciate the</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importance of retention, growth and development of our employees. We seek to set compensation at competitive levels that help enable us to hire, incentivize, and retain high-caliber employees. We have launched our Leadership Framework to support our employees and cultivate talent. This framework includes frequent one-on-one conversations, regular team meetings, meaningful performance feedback, timely recognition and supportive career development. Our formal and informal reward, recognition and acknowledgement programs encourage employees to recognize peers, teams and departments to honor their champions and help promote satisfaction and engagement. To assist in retaining key talent, we offer compensation programs to certain key employees, such as long-term performance-based cash incentive awards, performance-based restricted stock unit awards, time-based restricted stock unit awards, and other awards as appropriate. We monitor and evaluate various turnover and attrition metrics throughout our management teams.</w:t>
      </w:r>
    </w:p>
    <w:p>
      <w:pPr>
        <w:spacing w:after="0" w:line="7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Diversity and Inclusion</w:t>
      </w:r>
      <w:r>
        <w:rPr>
          <w:rFonts w:ascii="Arial" w:cs="Arial" w:eastAsia="Arial" w:hAnsi="Arial"/>
          <w:sz w:val="16"/>
          <w:szCs w:val="16"/>
          <w:color w:val="auto"/>
        </w:rPr>
        <w:t>—With 61 offices around the globe, we believe that diversity and inclusion are at the core of our success and that the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backgrounds, experiences, perspectives, and ideas of our employees are critical to spur innovation, drive growth and sustain competitive advantage in our industry. We maintain an Inclusion and Diversity Council to help define a globally consistent approach to inclusion and diversity.</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Health and Wellness</w:t>
      </w:r>
      <w:r>
        <w:rPr>
          <w:rFonts w:ascii="Arial" w:cs="Arial" w:eastAsia="Arial" w:hAnsi="Arial"/>
          <w:sz w:val="16"/>
          <w:szCs w:val="16"/>
          <w:color w:val="auto"/>
        </w:rPr>
        <w:t>—The health and safety of our team members is of the utmost importance. In addition to core health and welfare benefits, our</w:t>
      </w:r>
      <w:r>
        <w:rPr>
          <w:rFonts w:ascii="Arial" w:cs="Arial" w:eastAsia="Arial" w:hAnsi="Arial"/>
          <w:sz w:val="16"/>
          <w:szCs w:val="16"/>
          <w:i w:val="1"/>
          <w:iCs w:val="1"/>
          <w:color w:val="auto"/>
        </w:rPr>
        <w:t xml:space="preserve"> </w:t>
      </w:r>
      <w:r>
        <w:rPr>
          <w:rFonts w:ascii="Arial" w:cs="Arial" w:eastAsia="Arial" w:hAnsi="Arial"/>
          <w:sz w:val="16"/>
          <w:szCs w:val="16"/>
          <w:color w:val="auto"/>
        </w:rPr>
        <w:t>wellness program offers resources to promote physical, emotional, and mental well-being. We maintain certain assistance programs to continue to support the well-being of our team members, including team members that operate in a remote working environment. Additionally, to help ensure the safety and wellness of our employees, we have provided robust parental leave programs and enhanced our personal time off benefits, and maintain a work-from-anywhere program that allows our employees additional flexibility in work arrangements and increased opportunities to work remotely. Recently, for our US-based employees, we provided four additional paid holidays, which also align with our focus on inclusion.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jc w:val="both"/>
        <w:ind w:firstLine="486"/>
        <w:spacing w:after="0" w:line="275" w:lineRule="auto"/>
        <w:rPr>
          <w:sz w:val="20"/>
          <w:szCs w:val="20"/>
          <w:color w:val="auto"/>
        </w:rPr>
      </w:pPr>
      <w:r>
        <w:rPr>
          <w:rFonts w:ascii="Arial" w:cs="Arial" w:eastAsia="Arial" w:hAnsi="Arial"/>
          <w:sz w:val="16"/>
          <w:szCs w:val="16"/>
          <w:i w:val="1"/>
          <w:iCs w:val="1"/>
          <w:color w:val="auto"/>
        </w:rPr>
        <w:t>Corporate Responsibility</w:t>
      </w:r>
      <w:r>
        <w:rPr>
          <w:rFonts w:ascii="Arial" w:cs="Arial" w:eastAsia="Arial" w:hAnsi="Arial"/>
          <w:sz w:val="16"/>
          <w:szCs w:val="16"/>
          <w:color w:val="auto"/>
        </w:rPr>
        <w:t>—We invest globally in our communities by encouraging employee volunteerism on company time through one paid day off</w:t>
      </w:r>
      <w:r>
        <w:rPr>
          <w:rFonts w:ascii="Arial" w:cs="Arial" w:eastAsia="Arial" w:hAnsi="Arial"/>
          <w:sz w:val="16"/>
          <w:szCs w:val="16"/>
          <w:i w:val="1"/>
          <w:iCs w:val="1"/>
          <w:color w:val="auto"/>
        </w:rPr>
        <w:t xml:space="preserve"> </w:t>
      </w:r>
      <w:r>
        <w:rPr>
          <w:rFonts w:ascii="Arial" w:cs="Arial" w:eastAsia="Arial" w:hAnsi="Arial"/>
          <w:sz w:val="16"/>
          <w:szCs w:val="16"/>
          <w:color w:val="auto"/>
        </w:rPr>
        <w:t>per quarter for community volunteering. Our employees have donated a significant number of volunteer hours to support our community-oriented and philanthropic culture.</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2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under these requirements, we file reports, proxy and information statements and other information with the Securities and Exchange Commission (“SEC”). Our Annual Report on Form 10-K, Quarterly Reports on Form 10-Q, Current Reports on Form 8-K, and other information to those reports filed or furnished pursuant to Section 13(a) or 15(d) of the Exchange Act are available through the investor relations section of our website at investors.sabre.com. Reports are available free of charge as soon as reasonably practicable after we electronically file them with, or furnish them to, the SEC. The information contained on our website is not incorporated by reference into this Annual Report on Form 10-K.</w:t>
      </w:r>
    </w:p>
    <w:p>
      <w:pPr>
        <w:spacing w:after="0" w:line="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i w:val="1"/>
          <w:iCs w:val="1"/>
          <w:color w:val="auto"/>
        </w:rPr>
        <w:t>We may use our website, our LinkedIn account and our X (formerly Twitter) account (@Sabre_Corp) as additional means of disclosing information to the public. The information disclosed through those channels may be considered to be material and may not be otherwise disseminated by us, so we encourage investors to review our website, LinkedIn and X account. The contents of our website or social media channels referenced herein are not incorporated by reference into this Annual Report on Form 10-K.</w:t>
      </w:r>
    </w:p>
    <w:p>
      <w:pPr>
        <w:spacing w:after="0" w:line="28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following risk factors may be important to understanding any statement in this Annual Report on Form 10-K or elsewhere. Our business, financial condition and operating results can be affected by a number of factors, whether currently known or unknown, including but not limited to those described below. Any one or more of these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revenue is highly dependent on transaction volumes in the global travel industry, particularly air travel transaction volumes.</w:t>
      </w:r>
    </w:p>
    <w:p>
      <w:pPr>
        <w:spacing w:after="0" w:line="12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Travel Solutions and Hospitality Solutions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6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Various factors have caused, and may in the future cause, temporary or sustained disruption to leisure and business travel. The impact these disruptions have had, and would in the future have on our business depends on the magnitude and duration of such disruption. These factors include, among others: (1) general and local economic conditions, including recessions and inflationary pressures; (2) financial instability of travel suppliers and the impact of any fundamental corporate changes to such travel suppliers, such as airline bankruptcies, consolidations, or suspensions of service on the cost and availability of travel content; (3) factors that affect demand for travel such as outbreaks of contagious diseases, including COVID-19, influenza, Zika, Ebola and the MERS virus, increases in fuel prices, government shutdowns, changing attitudes towards the environmental costs of travel, safety concerns and movements toward remote working environments and changes in business practices; (4) political events like acts or threats of terrorism, hostilities, war and political unrest; (5) inclement weather, natural or man-made disasters and the effects of climate change; and (6) factors that affect supply of travel, such as travel restrictions, regulatory actions, aircraft groundings, or changes to regulations governing airlines and the travel industry, like government sanctions that do or would prohibit doing business with certain state-owned travel suppliers, work stoppages or labor unrest at any of the major airlines, hotels or airports. In addition, sustained disruptions from COVID-19 negatively impacted our business, and the extent of our recovery following these disruptions is uncertain. While we have experienced a gradual recovery in our primary metrics over the past few years, we cannot predict the long-term effects of the pandemic on our business or the travel industry as a whole. If our business or the travel industry is fundamentally changed by the COVID-19 outbreak in ways that are detrimental to our operating model, our business may continue to be adversely affected even as the broader global economy or the travel industry recovers. Developments that could affect the extent of any future recovery include, but are not limited to, the effect of changes in hiring levels and remote working arrangements; the speed and extent of the recovery across the broader travel ecosystem; and short- and long-term changes in travel patterns, including business or long-haul travel. Societal norms with respect to travel may change permanently in ways that cannot be predicted and that can change the travel industry in a manner adverse to our business.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jc w:val="both"/>
        <w:ind w:firstLine="486"/>
        <w:spacing w:after="0" w:line="303" w:lineRule="auto"/>
        <w:rPr>
          <w:sz w:val="20"/>
          <w:szCs w:val="20"/>
          <w:color w:val="auto"/>
        </w:rPr>
      </w:pPr>
      <w:r>
        <w:rPr>
          <w:rFonts w:ascii="Arial" w:cs="Arial" w:eastAsia="Arial" w:hAnsi="Arial"/>
          <w:sz w:val="16"/>
          <w:szCs w:val="16"/>
          <w:b w:val="1"/>
          <w:bCs w:val="1"/>
          <w:color w:val="auto"/>
        </w:rPr>
        <w:t>Our ability to recruit, train and retain employees, including our key executive officers and technical employees, is critical to our results of operations and future growth</w:t>
      </w:r>
      <w:r>
        <w:rPr>
          <w:rFonts w:ascii="Arial" w:cs="Arial" w:eastAsia="Arial" w:hAnsi="Arial"/>
          <w:sz w:val="17"/>
          <w:szCs w:val="17"/>
          <w:b w:val="1"/>
          <w:bCs w:val="1"/>
          <w:color w:val="auto"/>
        </w:rPr>
        <w:t>.</w:t>
      </w:r>
    </w:p>
    <w:p>
      <w:pPr>
        <w:spacing w:after="0" w:line="3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 Any of our employees may choose to terminate their employment with us at any time, and a lengthy period of time is required to hire and train replacement employees when such skilled individuals leave the company. Furthermore, changes in our employee population, including our executive team, could impact our results of operations and growth.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w:t>
      </w:r>
      <w:r>
        <w:rPr>
          <w:rFonts w:ascii="Arial" w:cs="Arial" w:eastAsia="Arial" w:hAnsi="Arial"/>
          <w:sz w:val="17"/>
          <w:szCs w:val="17"/>
          <w:color w:val="auto"/>
        </w:rPr>
        <w:t>.</w:t>
      </w:r>
    </w:p>
    <w:p>
      <w:pPr>
        <w:spacing w:after="0" w:line="27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the second quarter of 2023, we announced and began to implement a cost reduction plan designed to reposition our business and to structurally reduce our cost base. Our cost reduction plan may be disruptive to our operations, and our workforce reductions could yield unanticipated consequences, such as attrition beyond planned workforce reductions, increased difficulties in our day-to-day operations and reduced employee morale. If employees who were not affected by the reduction in force seek alternate employment, this could result in the need for contract support at unplanned additional expense or harm our productivity. Our workforce reductions could also harm our ability to attract and retain qualified personnel. In addition, we may not realize the anticipated benefits, savings and improvements from our cost reduction efforts due to unforeseen difficulties, delays or unexpected costs.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operate in highly competitive, evolving markets, and if we do not continue to innovate and evolve, our business operations and competitiveness may be harmed.</w:t>
      </w:r>
    </w:p>
    <w:p>
      <w:pPr>
        <w:spacing w:after="0" w:line="3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Travel technology is rapidly evolving as travel suppliers seek new or improved means of accessing their customers and increasing value. We must continue to innovate and evolve our current and future offerings to respond to the changing needs of travel suppliers and meet intense competition. We also face increasing competition as suppliers seek IT solutions that provide the same traveler experience across all channels of distribution, whether indirectly through the GDS or directly through other channels. As travel suppliers adopt innovative solutions that function across channels, our operating results could suffer if we do not foresee the need for new products or services to meet competition either for GDS or for other distribution IT solutions.</w:t>
      </w:r>
    </w:p>
    <w:p>
      <w:pPr>
        <w:spacing w:after="0" w:line="6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Adapting to new technological and marketplace developments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products with new capabilities to adapt to the changing technological and regulatory environment and customer needs. However, this process can be costly and time-consuming, and our efforts may not be successful as compared to our competitors. Those that we do develop may not achieve acceptance in the marketplace sufficient to generate material revenue or may be rendered obsolete or non-competitive by our competitors’ offerings.</w:t>
      </w:r>
    </w:p>
    <w:p>
      <w:pPr>
        <w:spacing w:after="0" w:line="6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addition, our competitors are constantly evolving, including increasing their product and service offerings through organic research and development or through strategic acquisitions. As a result, we must continue to invest significant resources in order to continually improve the speed, accuracy and comprehensiveness of our services and we have made and may in the future be required to make changes to our technology platforms or increase our investment in technology, increase marketing, adjust prices or business models, acquire or invest in new lines of business and take other actions, which has affected and in the future could affect our financial performance and liquidity.</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 services, technologies and systems in response to new technological developments, industry standards, government regulations, and trends and customer requirements. As another example, migration of our enterprise applications and platforms to other hosting environments has caused us and will continue to cause us to incur substantial costs, and has resulted in and could in the future result in instability and business interruptions, which could materially harm our business.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Travel Solutions business is exposed to pricing pressure from travel suppliers.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Travel suppliers continue to look for ways to decrease their costs and to increase their control over distribution. For example, consolidation in the airline industry, the growth of LCC/hybrids and macroeconomic factors, among other things, have driven some airlines to negotiate for lower fees during contract renegotiations, thereby exerting increased pricing pressure on our Travel Solutions business, which, in turn, negatively affects our revenues and margins. In addition, travel suppliers’ use of multiple distribution channels may also adversely affect our contract renegotiations with these suppliers and negatively impact our revenue. Furthermore, as we attempt to renegotiate new GDS agreements with our travel suppliers, they may withhold some or all of their content (fares and associated economic terms) for distribution exclusively through their direct distribution channels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6"/>
          <w:szCs w:val="16"/>
          <w:color w:val="auto"/>
        </w:rPr>
        <w:t xml:space="preserve">(for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w:t>
      </w:r>
      <w:r>
        <w:rPr>
          <w:rFonts w:ascii="Times New Roman" w:cs="Times New Roman" w:eastAsia="Times New Roman" w:hAnsi="Times New Roman"/>
          <w:sz w:val="17"/>
          <w:szCs w:val="17"/>
          <w:color w:val="auto"/>
        </w:rPr>
        <w:t>our</w:t>
      </w:r>
      <w:r>
        <w:rPr>
          <w:rFonts w:ascii="Arial" w:cs="Arial" w:eastAsia="Arial" w:hAnsi="Arial"/>
          <w:sz w:val="16"/>
          <w:szCs w:val="16"/>
          <w:color w:val="auto"/>
        </w:rPr>
        <w:t xml:space="preserve"> contracts with these travel suppliers on similar economic terms or at all, or if our ability to provide this content is similarly impeded, this would also adversely affect the value of our Travel Solutions business as a marketplace due to our more limited content.</w:t>
      </w:r>
    </w:p>
    <w:p>
      <w:pPr>
        <w:spacing w:after="0" w:line="60"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Our travel supplier customers may experience financial instability or consolidation, pursue cost reductions, change their distribution model or undergo other changes.</w:t>
      </w:r>
    </w:p>
    <w:p>
      <w:pPr>
        <w:spacing w:after="0" w:line="1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provision for expected credit losses and negatively affect our results. Any large-scale bankruptcy or other insolvency proceeding of an airline or hospitality supplier could subject our agreements with that customer to rejection or early termination, and, if applicable, result in asset impairments which could be significant. Similarly, any suspension or cessation of operations of an airline or hospitality supplier could negatively affect our results. Because we generally do not require security or collateral from our customers as a condition of sale, our revenues may be subject to credit risk more generally.</w:t>
      </w:r>
    </w:p>
    <w:p>
      <w:pPr>
        <w:spacing w:after="0" w:line="6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Furthermore, supplier consolidation, particularly in the airline industry, could harm our business. Our Travel Solutions business depends on a relatively small number of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Travel Solutions business is exposed to pricing pressure from travel suppliers.”</w:t>
      </w:r>
    </w:p>
    <w:p>
      <w:pPr>
        <w:spacing w:after="0" w:line="64"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Our collection, processing, storage, use and transmission of personal data could give rise to liabilities as a result of governmental regulation, conflicting legal requirements, differing views on data privacy, or security incidents.</w:t>
      </w:r>
    </w:p>
    <w:p>
      <w:pPr>
        <w:spacing w:after="0" w:line="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 conflict with one another. In recent years, for example, U.S. legislators and regulatory agencies, such as the Federal Trade Commission, as well as U.S. states, have increased their focus on protecting personal data by law and regulation, and have increased enforcement actions for violations of privacy and data protection requirements. The GDPR, a data protection law adopted by the European Commission, and various other country-specific and U.S. state data protection laws have gone into effect or are scheduled to go into effect. These and other data protection laws and regulations are intended to protect the privacy and security of personal data, including credit card information that is collected, processed and transmitted in or from the relevant jurisdiction. Implementation of and compliance with these laws and regulations may be more costly or take longer than we anticipate, or could otherwise adversely affect our business operations, which could negatively impact our financial position or cash flows. Furthermore, various countries have implemented legislation requiring the storage of travel or other personal data locally. Our business could be materially adversely affected by our inability, or the inability of our vendors who receive personal data from us, to operate with regard to the use of personal data, new data handling or localization requirements. Additionally, media coverage of data incidents has escalated, in part because of the increased number of enforcement actions, investigations and lawsuits. As this focus and attention on privacy and data protection continues to increase, we also risk exposure to potential liabilities and costs or face reputational risks resulting from the compliance with, or any failure to comply with applicable legal requirements, conflicts among these legal requirements or differences in approaches to privacy and security of travel data.</w:t>
      </w:r>
    </w:p>
    <w:p>
      <w:pPr>
        <w:spacing w:after="0" w:line="80"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Implementation of software solutions often involves a significant commitment of resources, and any failure to deliver as promised on a significant implementation could adversely affect our business.</w:t>
      </w:r>
    </w:p>
    <w:p>
      <w:pPr>
        <w:spacing w:after="0" w:line="4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our Travel Solutions and Hospitality Solutions businesses, the implementation of software solutions often involves a significant commitment of resources and is subject to a number of significant risks over which we may or may not have control. These risks include:</w:t>
      </w:r>
    </w:p>
    <w:p>
      <w:pPr>
        <w:spacing w:after="0" w:line="61"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features of the implemented software may not meet the expectations or fit the business model of the customer;</w:t>
      </w:r>
    </w:p>
    <w:p>
      <w:pPr>
        <w:spacing w:after="0" w:line="113"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61"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56"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p>
      <w:pPr>
        <w:jc w:val="both"/>
        <w:ind w:firstLine="486"/>
        <w:spacing w:after="0" w:line="265" w:lineRule="auto"/>
        <w:rPr>
          <w:sz w:val="20"/>
          <w:szCs w:val="20"/>
          <w:color w:val="auto"/>
        </w:rPr>
      </w:pPr>
      <w:r>
        <w:rPr>
          <w:rFonts w:ascii="Arial" w:cs="Arial" w:eastAsia="Arial" w:hAnsi="Arial"/>
          <w:sz w:val="16"/>
          <w:szCs w:val="16"/>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Travel Solutions business depends on relationships with travel buyers.</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Travel Solutions business relies on relationships with several large travel buyers, including TMCs and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also shift bookings to other distribution channels for many reasons, including to avoid becoming overly dependent on a single source of travel content or to increase their bargaining power with GDS providers. Additionally, some regulations allow travel buyers to terminate their contracts earlier.</w:t>
      </w:r>
    </w:p>
    <w:p>
      <w:pPr>
        <w:spacing w:after="0" w:line="7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w:t>
      </w:r>
      <w:r>
        <w:rPr>
          <w:rFonts w:ascii="Arial" w:cs="Arial" w:eastAsia="Arial" w:hAnsi="Arial"/>
          <w:sz w:val="16"/>
          <w:szCs w:val="16"/>
          <w:u w:val="single" w:color="auto"/>
          <w:color w:val="0000FF"/>
        </w:rPr>
        <w:t>Management's Discussion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Analysis of Financial Condition and Results of Operations</w:t>
      </w:r>
      <w:r>
        <w:rPr>
          <w:rFonts w:ascii="Arial" w:cs="Arial" w:eastAsia="Arial" w:hAnsi="Arial"/>
          <w:sz w:val="16"/>
          <w:szCs w:val="16"/>
          <w:color w:val="000000"/>
        </w:rPr>
        <w:t>—Factors Affecting our Results—Increasing travel agency incentive consideration" in our</w:t>
      </w:r>
      <w:r>
        <w:rPr>
          <w:rFonts w:ascii="Arial" w:cs="Arial" w:eastAsia="Arial" w:hAnsi="Arial"/>
          <w:sz w:val="16"/>
          <w:szCs w:val="16"/>
          <w:color w:val="0000FF"/>
        </w:rPr>
        <w:t xml:space="preserve"> </w:t>
      </w:r>
      <w:r>
        <w:rPr>
          <w:rFonts w:ascii="Arial" w:cs="Arial" w:eastAsia="Arial" w:hAnsi="Arial"/>
          <w:sz w:val="16"/>
          <w:szCs w:val="16"/>
          <w:color w:val="000000"/>
        </w:rPr>
        <w:t>Annual Report on Form 10-K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Our Travel Solutions and Hospitality Solutions businesses depend on maintaining and renewing contracts with their customers and other counterparties.</w:t>
      </w:r>
    </w:p>
    <w:p>
      <w:pPr>
        <w:spacing w:after="0" w:line="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our Travel Solutions business, we enter into participating carrier distribution and services agreements with airlines. Our contracts with major carriers typically last for three- to five-year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 advance notice. Airlines are not typically contractually obligated to distribute exclusively through our GDS during the contract term and may terminate their agreements with us upon providing the required advance notice after the expiration of the initial term. We cannot guarantee that we will be able to renew our airline contracts in the future on favorable economic terms or at all, and the termination or expiration of these agreements could materially adversely impact our business. See “—Our Travel Solutions business is exposed to pricing pressure from travel suppliers."</w:t>
      </w:r>
    </w:p>
    <w:p>
      <w:pPr>
        <w:spacing w:after="0" w:line="28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also enter into contracts with travel buyers.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We cannot guarantee that we will be able to renew our travel buyer agreements in the future on favorable economic terms or at all. Similarly, our Travel Solutions and Hospitality Solutions businesses are based on contracts with travel suppliers for a typical duration of three to seven years for airlines and one to five years for hotels, respectively. We cannot guarantee that we will be able to renew our solutions contracts in the future on favorable economic terms or at all. Additionally, we use several third-party distributor partners and equity method investments to extend our GDS services in Europe, the Middle East, and Africa (“EMEA”) and Asia-Pacific (“APAC”). The termination of our contractual arrangements with any of these third-party distributor partners and equity method investments could adversely impact our Travel Solutions business in the relevant regions. See “—We rely on third-party distributor partners and equity method investments to extend our GDS services to certain regions, which exposes us to risks associated with lack of direct management control and potential conflicts of interest.” for more information on our relationships with our third-party distributor partners and equity method investments.</w:t>
      </w:r>
    </w:p>
    <w:p>
      <w:pPr>
        <w:spacing w:after="0" w:line="7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failure to renew some or all of these agreements on economically favorable terms or at all, or the early termination of these existing contracts, would adversely affect the value of our Travel Solutions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equity method investments or developing relationships with new travel buyers and travel suppliers to offset any customer losses.</w:t>
      </w:r>
    </w:p>
    <w:p>
      <w:pPr>
        <w:spacing w:after="0" w:line="64"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payment card industry data ("PCI") compliance.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jc w:val="both"/>
        <w:ind w:firstLine="486"/>
        <w:spacing w:after="0" w:line="256" w:lineRule="auto"/>
        <w:rPr>
          <w:sz w:val="20"/>
          <w:szCs w:val="20"/>
          <w:color w:val="auto"/>
        </w:rPr>
      </w:pPr>
      <w:r>
        <w:rPr>
          <w:rFonts w:ascii="Arial" w:cs="Arial" w:eastAsia="Arial" w:hAnsi="Arial"/>
          <w:sz w:val="16"/>
          <w:szCs w:val="16"/>
          <w:color w:val="auto"/>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For example, the Payment Card Industry Security Standards Council has released version 4.0 of its Data Security Standard, and we are conducting an assessment to determine the scope and impact of these new standards on our existing processes and controls. We are assessed periodically for assurance and successfully completed our last annual assessment in November 2023. Compliance does not guarantee a completely secure environment and notwithstanding the results of this assessment there can be no assurance that payment card brands will not request further compliance assessments or set forth additional requirements to maintain access to credit card processing services. See “—Security incidents expose us to liability and could damage our reputation and our business.”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8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are involved in various legal proceedings which may cause us to incur significant fees, costs and expenses and may result in unfavorable outcomes.</w:t>
      </w:r>
    </w:p>
    <w:p>
      <w:pPr>
        <w:spacing w:after="0" w:line="3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are involved in various legal proceedings that involve claims for substantial amounts of money or which involve how we conduct our business. See Note 18. Commitments and Contingencies, to our consolidated financial statements. For example, as a result of the judgment in our antitrust litigation with US Airways, we may be required to pay US Airways’ reasonable attorneys’ fees and costs. Depending on the amount of attorneys’ fees and costs required to be paid to US Airways, if any, if we do not have sufficient cash on hand, we may be required to seek financing from private or public financing sources, which may not be assured. See “—We have a significant amount of indebtedness, which could adversely affect our cash flow and our ability to operate our business and to fulfill our obligations under our indebtedness.” In addition, although the jury rejected US Airways’ claim under Section 1 of the Sherman Act, finding that Sabre’s contractual terms were not anticompetitive, the jury found in favor of US Airways with respect to its monopolization claim for the period from 2007 to 2012 under Section 2 of the Sherman Act. Although US Airways was only awarded $1.00 in single damages with respect to this verdict, and we believe the applicable limitations period for similar claims has expired, other parties might nevertheless likewise seek to benefit from this judgment by threatening to bring or actually bringing their own claims against us on the same or similar grounds or utilizing the litigation to seek more favorable contract terms. Depending on the outcome of any of these matters, and the scope of the outcome, the manner in which our airline distribution business is operated could be affected and could potentially force changes to the existing airline distribution business model.</w:t>
      </w:r>
    </w:p>
    <w:p>
      <w:pPr>
        <w:spacing w:after="0" w:line="70"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defense of these actions, as well as any of the other actions described under Note 18. Commitments and Contingencies, to our consolidated financial statements or elsewhere in this Annual Report on Form 10-K, and any other actions that might be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Any failure to comply with regulations or any changes in such regulations governing our businesses could adversely affect us.</w:t>
      </w:r>
    </w:p>
    <w:p>
      <w:pPr>
        <w:spacing w:after="0" w:line="1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or restrict access to, our products and services, increase costs or subject us to additional liabilities. Moreover, regulatory authorities have relatively broad 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In addition, we are subject to or affected by international, federal, state and local laws, regulations and policies, which are constantly subject to change. These include data protection and privacy legislation and regulations, as well as legislation and regulations affecting issues such as: trade sanctions, exports of technology, antitrust, anticorruption, antiboycott, telecommunications, cybersecurity, environmental, social and governance matters, and e-commerce. Our failure to comply with any of these requirements, interpretations, legislation or regulations could have a material adverse effect on our operations.</w:t>
      </w:r>
    </w:p>
    <w:p>
      <w:pPr>
        <w:spacing w:after="0" w:line="7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Further, the United States has imposed economic sanctions, and could impose further sanctions in the future, that affect transactions with designated countries, including but not limited to, Cuba, Iran, the Crimea, Donetsk and Luhansk regions of Ukraine, North Korea and Syria, and nationals and others of those countries, and certain specifically targeted individuals and entities engaged in conduct detrimental to U.S. national security interests. These sanctions are administered by the Office of Foreign Assets Control (“OFAC”) and are typically known as the OFAC rules. The OFAC rules, and similar regulations in other countries, are extensive and complex, and they differ from one sanctions regime to another. Failure to comply with these regulations could subject us to legal and reputational consequences, including civil and criminal penalties.</w:t>
      </w:r>
    </w:p>
    <w:p>
      <w:pPr>
        <w:spacing w:after="0" w:line="8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have GDS contracts with carriers that fly to Cuba, Iran, the Crimea, Donetsk and Luhansk regions of Ukraine, North Korea and Syria but are based outside of those countries and are neither owned by those governments or nationals of those countries/regions nor themselves sanctioned. With respect to Iran, Sudan, North Korea and Syria we believe that our activities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6"/>
          <w:szCs w:val="16"/>
          <w:color w:val="auto"/>
        </w:rPr>
        <w:t>are designed to comply with certain information and travel-related exemptions. With respect to Cuba, we have advised OFAC that customers outside the United States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 We believe that our activities with respect to these countries are known to OFAC and other regulators. We note, however, that sanctions regulations and related interpretive guidance are complex and subject to varying interpretations. Due to this complexity, a regulator’s interpretation of its own regulations and guidance varies on a case by case basis. As a result, we cannot provide any guarantees that a regulator will not challenge any of our activities in the future, which could have a material adverse effect on our results of operations.</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could subject us to fines, penalties and potential criminal violations. Any changes to these laws or regulations or any new laws or regulations may make it more difficult for us to operate our business.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in connection with the current military conflict in Ukraine, the United States, the United Kingdom, the European Union and other governments have imposed varying sanctions and export-control measure packages impacting Russia and certain regions of Ukraine and Belarus and may implement additional sanctions and export controls in the future. The conflict and these sanctions and export controls have prevented us, and in the future could further prevent or discourage us, from performing or renewing existing contracts with or receiving payments from customers in those countries. In addition, the conflict or these sanctions and export controls have prevented and in the future could further prevent or discourage third parties on whom we may rely from continuing to perform in those countries. These sanctions, export controls and related items, as well as actions taken by us or others in response to them or otherwise in connection with the military conflict, have adversely impacted, and in the future could further adversely impact, our business, results of operations and financial condition.</w:t>
      </w:r>
    </w:p>
    <w:p>
      <w:pPr>
        <w:spacing w:after="0" w:line="7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Russia has adopted legislation and related regulations, effective October 30, 2022, that require activities related to the development, creation and operation of automated information systems for processing domestic air transportation within the Russian Federation to be owned and operated by Russian residents or legal entities with no updates from or connection with systems abroad. This legislation and these regulations have prohibited our ability to provide these services in Russia, which has negatively impacted and is expected to continue to negatively impact our revenue and results. See “—Recent Developments Affecting our Results of Operations" for further details.</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As noted, the regulations and sanctions described above, as well as other sanctions regimes, are complex, and, while we have a compliance program in place to help us address these items, there can be no assurance that we will be able to consistently address them in an effective manner. Any failure to comply with these sanctions, export controls and related rules and regulations may subject us to fines, penalties and potential criminal violations. In the third quarter of 2022, we identified elements of our sanctions compliance program that were not functioning as we intended, which we are addressing. It is possible that our enhanced program will identify material items that do not comply with these regulatory or sanction requirements. The amount of any penalties and other impacts, costs or remediations related to these items may adversely impact our results. We have become aware that we received payments that were not material in amount from an air carrier in Russia for GDS services, and the receipt of these payments may be in violation of U.K. sanctions. We have voluntarily disclosed the receipt of these payments to the U.K. Office of Financial Sanctions Implementation (OFSI). If OFSI were to impose a penalty, we believe that it would not be material; however, there can be no assurance of the amount of any such penalty.</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acquiring or divesting businesses or business operations.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w:t>
      </w:r>
    </w:p>
    <w:p>
      <w:pPr>
        <w:spacing w:after="0" w:line="5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acquisition, including the inability to achieve anticipated business or financial results,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of these acquisitions, we may need to raise external funds through the sale of equity or the issuance of debt in the capital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6"/>
          <w:szCs w:val="16"/>
          <w:color w:val="auto"/>
        </w:rPr>
        <w:t>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also divested, and may in the future divest, businesses or business operations, including the sale of our AirCentre portfolio on February 28,</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2022. Any divestitures may involve a number of risks, including the diversion of management’s attention, significant costs and expenses, failure to obtain necessary regulatory approvals, implementation of transition services related to such divestitures,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rely on the value of our brands, which may be damaged by a number of factors, some of which are out of our control.</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personally identifiable information (“PII”), or other bad publicity due to litigation, regulatory concerns or otherwise relating to our business. See “—Security incidents expose us to liability and could damage our reputation and our business.” Any inability to maintain or enhance awareness of our brands among our existing and target customers could negatively affect our current and future business prospects.</w:t>
      </w:r>
    </w:p>
    <w:p>
      <w:pPr>
        <w:spacing w:after="0" w:line="68"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rely on third-party distributor partners and equity method investments to extend our GDS services to certain regions, which exposes us to risks associated with lack of direct management control and potential conflicts of interest.</w:t>
      </w:r>
    </w:p>
    <w:p>
      <w:pPr>
        <w:spacing w:after="0" w:line="1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Our Travel Solutions business utilizes third-party distributor partners and equity method investments to extend our GDS services in EMEA and APAC. We work with these partners to establish and maintain commercial and customer service relationships with 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 In addition, our business may be harmed due to potential conflicts of interest with our equity method investments.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Technology and Intellectual Property</w:t>
      </w:r>
    </w:p>
    <w:p>
      <w:pPr>
        <w:spacing w:after="0" w:line="111"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rely on the availability and performance of information technology services provided by third parties, including network, cloud, mainframe and SaaS providers.</w:t>
      </w:r>
    </w:p>
    <w:p>
      <w:pPr>
        <w:spacing w:after="0" w:line="1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businesses are dependent on IT infrastructure and applications operated for us by network, cloud, mainframe and SaaS providers. The commercial services we offer to our customers generally run on infrastructure provided by third parties such as DXC Technology ("DXC") and cloud providers. DXC provides significant operational support for our mainframe platforms in addition to basic hosting services. We also use multiple third-party SaaS platforms to operate our services, run our business, and support our customers, including IT service management, program and project management, enterprise resource planning, customer relationship management and human resource management systems.</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DXC provides us with limited indemnification rights. We could face significant additional cost or business disruption if: (1) Any of these providers fail to enable us to provide our customers and suppliers with reliable, real-time access to our systems. For example, we have previously experienced a significant outage of the Sabre platform due to a failure on the part of one of our service providers, and such outages may occur in the future. This outage, which affected our Travel Solutions business, lasted several hours and caused significant problems for our customers. Any such future outages could cause damage to our reputation, customer loss and require us to pay compensation to affected customers for which we may not be indemnified or compensated. (2) Our arrangements with such providers are terminated or impaired and we cannot find alternative sources of technology or systems support on commercially reasonable terms or on a timely basis. For example, our substantial dependence on DXC for our mainframe platforms makes it difficult for us to switch vendors and makes us more sensitive to changes in DXC's pricing for its services.</w:t>
      </w:r>
    </w:p>
    <w:p>
      <w:pPr>
        <w:spacing w:after="0" w:line="7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Our success depends on maintaining the integrity of our systems and infrastructure, which may suffer from failures, capacity constraints, business interruptions and forces outside of our control.</w:t>
      </w:r>
    </w:p>
    <w:p>
      <w:pPr>
        <w:spacing w:after="0" w:line="4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currently allocated system capacity, resulting in service interruptions, outages and delays. These constraints could also lead to the deterioration of our services or impair our ability to process transactions. We occasionally experience system interruptions that make certain of our systems unavailable including, but not limited to, our GDS and the services that our Travel Solutions and Hospitality Solutions businesses provide to airlines and hotels. In addition, we have experienced in the past and may in the future occasionally experience system interruptions as we execute changes for the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jc w:val="both"/>
        <w:spacing w:after="0" w:line="265" w:lineRule="auto"/>
        <w:rPr>
          <w:sz w:val="20"/>
          <w:szCs w:val="20"/>
          <w:color w:val="auto"/>
        </w:rPr>
      </w:pPr>
      <w:r>
        <w:rPr>
          <w:rFonts w:ascii="Arial" w:cs="Arial" w:eastAsia="Arial" w:hAnsi="Arial"/>
          <w:sz w:val="16"/>
          <w:szCs w:val="16"/>
          <w:color w:val="auto"/>
        </w:rPr>
        <w:t>purpose of enhancing our products or achieving other technological objectives. System interruptions prevent us from efficiently providing services to customers or other third parties, and could cause damage to our reputation and result in the loss of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systems are also susceptible to external damage or disruption. Our systems have in the past been, and at any time, including in the future could be, damaged or disrupted by events such as power, hardware, software or telecommunication failures, human errors, natural events including floods, hurricanes, fires, winter storms, earthquakes and tornadoes, terrorism, break-ins, hostilities, war or similar events. Computer viruses, malware, denial of service attacks, ransomware attacks, attacks on, or exploitations of, hardware or software vulnerabilities, physical or electronic break-ins, phishing attacks, cybersecurity incidents or other security incidents, and similar disruptions affecting the Internet, telecommunication services, our systems, or our customers' systems have caused in the past and could at any time, including in the future, cause service interruptions or the loss of critical data, preventing us from providing timely services. For example, in April 2021 our subsidiary Radixx announced an event impacting its Radixx reservation system. See “—Security incidents expose us to liability and could damage our reputation and our business.” Failure to efficiently provide services to customers or other third parties could cause damage to our reputation and result in the loss of customers and revenues, asset impairments, significant recovery costs or litigation and liabilities. Moreover, such risks are likely to increase as we expand our business and as the tools and techniques involved become more sophisticated.</w:t>
      </w:r>
    </w:p>
    <w:p>
      <w:pPr>
        <w:spacing w:after="0" w:line="8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Although we have implemented measures intended to protect our critical systems and data and provide comprehensive disaster recovery and contingency plans for certain customers that purchase this additional protection, these protections and plans are not in place for all systems. Disasters affecting our facilities, systems or personnel might be expensive to remedy and could significantly diminish our reputation and our brands, and we may not have adequate insurance to cover such costs.</w:t>
      </w:r>
    </w:p>
    <w:p>
      <w:pPr>
        <w:spacing w:after="0" w:line="6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We utilize various generative artificial intelligence (AI) solutions from our third-party providers as part of some of our software products. There are risks associated with the use of emerging technologies such as generative AI, including risks related to testing and validating the security and privacy mechanisms of the third-party providers, as well as risks related to implementing technical security controls to govern and mange this technology in a secure manner. If we were to experience a cybersecurity incident related to the integration of AI capabilities into our software product offerings, or if there are deficiencies or other failures of such AI solutions from our third-party providers, our business and results of operations could be adversely affected. AI also presents various emerging legal, regulatory and ethical issues, and the incorporation of AI into our software products could require us to expend significant resources in developing, testing and maintaining our product offerings and may cause us to experience brand, reputational, or competitive harm, or incur legal liability. Additionally, security incidents that affect third parties upon which we rely, such as travel suppliers, may further expose us to negative publicity, possible liability or regulatory penalties. Events outside our control have caused in the past and could in the future cause interruptions in our IT systems, which could have a material adverse effect on our business operations and harm our reputation.</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Security incidents expose us to liability and could damage our reputation and our business.</w:t>
      </w:r>
    </w:p>
    <w:p>
      <w:pPr>
        <w:spacing w:after="0" w:line="1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process, store, and transmit large amounts of data, such as PII of our customers and employees and PCI of our customers, and it is critical to our business strategy that our facilities and infrastructure, including those provided by DXC, cloud providers or other vendors, remain secure and are perceived by the marketplace to be secure. Our infrastructure may be vulnerable to physical or electronic break-ins, computer viruses, ransomware attacks, or similar disruptive problems.</w:t>
      </w:r>
    </w:p>
    <w:p>
      <w:pPr>
        <w:spacing w:after="0" w:line="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we, like most technology companies, are the target of cybercriminals who attempt to compromise our systems. We are subject to and experience threats and intrusions that have to be identified and remediated to protect sensitive information along with our intellectual property and our overall business. To address these threats and intrusions, we have a team of experienced security experts and support from firms that specialize in data security and cybersecurity. We are periodically subject to these threats and intrusions, and sensitive information has in the past been, and could at any time, including in the future, be compromised as a result. In addition, the techniques employed in connection with these threats and intrusions are changing, developing and evolving rapidly, including from emerging technologies such as advanced forms of AI. The costs and impacts related to these incidents, including the costs of investigation and remediation, any associated penalties assessed by any governmental authority or payment card brand, and any indemnification or other contractual obligations to our customers, may be material and could damage our reputation.</w:t>
      </w:r>
    </w:p>
    <w:p>
      <w:pPr>
        <w:spacing w:after="0" w:line="7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For example, we previously became aware of an incident involving unauthorized access to payment information contained in a subset of hotel reservations processed through the Sabre Hospitality Solutions SynXis Central Reservation System (the “HS Central Reservation System”). In December 2020, we entered into settlement agreements with certain state Attorneys General to resolve their investigation into this incident. As part of these agreements, we paid $2 million to the states represented by the Attorneys General in the first quarter of 2021 and agreed to implement certain security controls and processes. In addition, in April 2021, our subsidiary, Radixx, announced that it had experienced an event that impacted its Radixx Res™ reservation system. An investigation indicated that malware on the Radixx Res™ reservation system caused the activity. Based on the investigation, Sabre’s systems, including GDS, Airline IT, SabreSonic passenger service system and Hospitality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6"/>
          <w:szCs w:val="16"/>
          <w:color w:val="auto"/>
        </w:rPr>
        <w:t>Solutions systems, were not impacted, and the investigation indicated that the Radixx database containing customer information was not compromised in this event.</w:t>
      </w:r>
    </w:p>
    <w:p>
      <w:pPr>
        <w:spacing w:after="0" w:line="6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In addition, in the third quarter of 2023, we became aware that an unauthorized actor had illegally extracted certain company data and posted it to the dark web. Immediately upon becoming aware of this extraction, we initiated an investigation, with the assistance of cybersecurity and forensics professionals. We have also notified federal law enforcement and have provided, and will continue to provide, other required notifications. To date this cybersecurity incident has not had a material impact on our financial condition, results of operations or liquidity. However, there is no assurance that it will not result in significant costs to us, reputational harm, expenditure of additional resources, lawsuits, or regulatory inquiries in the future that could result in a material adverse effect.</w:t>
      </w:r>
    </w:p>
    <w:p>
      <w:pPr>
        <w:spacing w:after="0" w:line="2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Any computer viruses, malware, denial of service attacks, ransomware attacks, attacks on, or exploitations of, hardware or software vulnerabilities, physical or electronic break-ins, phishing attacks, cybersecurity incidents such as the items described above, or other security incident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7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Any systems and processes that we have developed or utilize that are designed to protect customer information and prevent data loss and other security incidents cannot provide absolute security. In addition, we may not successfully implement remediation plans to address all potential exposures. It is possible that we may have to expend additional financial and other resources to address these problems. Failure to prevent or mitigate data loss or other security incidents could expose us or our customers to a risk of loss or misuse of such information, cause customers to lose confidence in our data protection measures, damage our reputation, adversely affect our operating results or result in litigation or potential liability for us. For example, our agreements with customers may require that we indemnify the customer for liability arising from data incidents under the terms of our agreements with these customers. These indemnification obligations could be significant and may exceed the limits of any applicable insurance policy we maintain.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 The implementation of these investments may be more costly or take longer than we anticipate, or could otherwise adversely affect our business operations, which could negatively impact our financial position, results of operations or cash flows.</w:t>
      </w:r>
    </w:p>
    <w:p>
      <w:pPr>
        <w:spacing w:after="0" w:line="75"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Intellectual property infringement actions against us could be costly and time consuming to defend and may result in business harm if we are unsuccessful in our defense.</w:t>
      </w:r>
    </w:p>
    <w:p>
      <w:pPr>
        <w:spacing w:after="0" w:line="1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spacing w:after="0" w:line="6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capabilities. Our failure to prevail in such matters could result in loss of intellectual property rights, judgments awarding substantial damages, including possible treble damages and attorneys’ fees, and injunctive or other equitable relief against us. If we are held liable, we may be unable to use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16"/>
          <w:szCs w:val="16"/>
          <w:b w:val="1"/>
          <w:bCs w:val="1"/>
          <w:color w:val="auto"/>
        </w:rPr>
        <w:t>We may not be able to protect our intellectual property effectively, which may allow competitors to duplicate our products and services.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8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 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 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 We use reasonable efforts to protect our trade secrets. However, protecting trade secrets can be difficult and our efforts may provide inadequate protection to prevent unauthorized use, misappropriation, or disclosure of our trade secrets, know how, or other proprietary information. 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9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 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6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use open source software in our solutions that may subject our software solutions to general release or require us to re-engineer our solutions.</w:t>
      </w:r>
    </w:p>
    <w:p>
      <w:pPr>
        <w:spacing w:after="0" w:line="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6"/>
          <w:szCs w:val="16"/>
          <w:color w:val="auto"/>
        </w:rPr>
        <w:t>engineering cannot be accomplished on a timely basis or take other remedial action that may divert resources away from our development efforts, any of which could adversely affect our business, operating results and financial condition.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Economic, Political and Global Conditions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could be harmed by adverse global and regional economic and political conditions.</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Our global presence makes our business potentially vulnerable to economic and political conditions that adversely affect business and leisure travel originating in or traveling to a particular region.</w:t>
      </w:r>
    </w:p>
    <w:p>
      <w:pPr>
        <w:spacing w:after="0" w:line="7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global economy continues to face significant uncertainty, including increased inflation and interest rates, reduced financial capacity of both business and leisure travelers, diminished liquidity and credit availability, declines in consumer confidence and discretionary income and general uncertainty about economic stability. Furthermore, changes in the regulatory, tax and economic environment in the United States could adversely impact travel demand, our business operations or our financial results. We cannot predict the magnitude, length or recurrence of these impacts to the global economy, which have impacted, and may continue to impact, demand for travel and lead to reduced spending on the services we provide.</w:t>
      </w:r>
    </w:p>
    <w:p>
      <w:pPr>
        <w:spacing w:after="0" w:line="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Any unfavorable economic, political or regulatory developments in a particular region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that region. For example, some regions have experienced or are expected to experience inflationary and/or slowing economic conditions. These adverse economic conditions may negatively impact our business results in those regions.</w:t>
      </w:r>
    </w:p>
    <w:p>
      <w:pPr>
        <w:spacing w:after="0" w:line="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addition, the current military conflict in Ukraine and the related imposition of sanctions and export controls on Russia and Belarus, as well as conflict in the Middle East, have created global economic uncertainty and contributed to inflationary pressures. A significant escalation or expansion of economic disruption, the conflicts' current scope or additional sanctions and export controls and actions taken in response to these sanctions and export controls could disrupt our business further, broaden inflationary costs, and have a material adverse effect on our results of operations. See “—Our revenue is highly dependent on transaction volumes in the global travel industry, particularly air travel transaction volumes.”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operate a global business that exposes us to risks associated with international activities.</w:t>
      </w:r>
    </w:p>
    <w:p>
      <w:pPr>
        <w:spacing w:after="0" w:line="12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international operations involve risks that are not generally encountered when doing business in the United States. These risks include, but are not limited to: (1) business, political and economic instability in foreign locations, including actual or threatened terrorist activities, and military action, as well as the effects of the current military conflict in Ukraine and in the Middle East; (2) adverse laws and regulatory requirements, including more comprehensive regulation in the E.U., the continued effects of the U.K.'s exit from the E.U. ("Brexit") and legislation and related regulations in Russia (see “—Any failure to comply with regulations or any changes in such regulations governing our businesses could adversely affect us.”); (3) changes in foreign currency exchange rates and financial risk arising from transactions in multiple currencies; (4) difficulty in developing, managing and staffing international operations because of distance, language and cultural differences; (5) disruptions to or delays in the development of communication and transportation services and infrastructure;</w:t>
      </w:r>
    </w:p>
    <w:p>
      <w:pPr>
        <w:spacing w:after="0" w:line="3" w:lineRule="exact"/>
        <w:rPr>
          <w:sz w:val="20"/>
          <w:szCs w:val="20"/>
          <w:color w:val="auto"/>
        </w:rPr>
      </w:pPr>
    </w:p>
    <w:p>
      <w:pPr>
        <w:jc w:val="both"/>
        <w:ind w:firstLine="8"/>
        <w:spacing w:after="0" w:line="253" w:lineRule="auto"/>
        <w:tabs>
          <w:tab w:leader="none" w:pos="246" w:val="left"/>
        </w:tabs>
        <w:numPr>
          <w:ilvl w:val="0"/>
          <w:numId w:val="5"/>
        </w:numPr>
        <w:rPr>
          <w:rFonts w:ascii="Arial" w:cs="Arial" w:eastAsia="Arial" w:hAnsi="Arial"/>
          <w:sz w:val="16"/>
          <w:szCs w:val="16"/>
          <w:color w:val="auto"/>
        </w:rPr>
      </w:pPr>
      <w:r>
        <w:rPr>
          <w:rFonts w:ascii="Arial" w:cs="Arial" w:eastAsia="Arial" w:hAnsi="Arial"/>
          <w:sz w:val="16"/>
          <w:szCs w:val="16"/>
          <w:color w:val="auto"/>
        </w:rPr>
        <w:t>more restrictive data privacy requirements, including the GDPR; (7) consumer attitudes, including the preference of customers for local providers, as well as attitudes of other stakeholders stemming from our actions or inactions arising from or relating to the current military conflict in Ukraine; (8) increasing labor costs due to high wage inflation in foreign locations, differences in general employment conditions and regulations, and the degree of employee unionization and activism; (9) export or trade restrictions or currency controls; (10) governmental policies or actions, such as consumer, labor and trade protection measures and, travel restrictions, sanctions and export controls, including restrictions implemented in connection with the current military conflict in Ukraine;</w:t>
      </w:r>
    </w:p>
    <w:p>
      <w:pPr>
        <w:spacing w:after="0" w:line="2" w:lineRule="exact"/>
        <w:rPr>
          <w:rFonts w:ascii="Arial" w:cs="Arial" w:eastAsia="Arial" w:hAnsi="Arial"/>
          <w:sz w:val="16"/>
          <w:szCs w:val="16"/>
          <w:color w:val="auto"/>
        </w:rPr>
      </w:pPr>
    </w:p>
    <w:p>
      <w:pPr>
        <w:ind w:firstLine="8"/>
        <w:spacing w:after="0" w:line="283" w:lineRule="auto"/>
        <w:tabs>
          <w:tab w:leader="none" w:pos="329"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taxes, restrictions on foreign investment and limits on the repatriation of funds; (12) diminished ability to legally enforce our contractual rights; and (13) decreased protection for intellectual property. Any of the foregoing risks may adversely affect our ability to conduct and grow our business internationally.</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Indebtedness, Financial Condition and Common Stock</w:t>
      </w:r>
    </w:p>
    <w:p>
      <w:pPr>
        <w:spacing w:after="0" w:line="165"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have a significant amount of indebtedness, which could adversely affect our cash flow and our ability to operate our business and to fulfill our obligations under our indebtedness.</w:t>
      </w:r>
    </w:p>
    <w:p>
      <w:pPr>
        <w:spacing w:after="0" w:line="1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have a significant amount of indebtedness. As of December 31, 2023, we had $4.8 billion of indebtedness outstanding which is net of debt issuance costs and unamortized discounts. Our substantial level of indebtedness increases the possibility that we may not generate enough cash flow from operations to pay, when due, the principal of, interest on or other amounts due in respect of, these obligations. Other risks relating to our long-term indebtedness include: (1) increased vulnerability to general adverse economic and industry conditions; (2) higher interest expense if interest rates increase on our floating rate borrowings and our hedging strategies do not effectively mitigate the effects of these increases or if we have to incur additional indebtedness in a higher interest rate environment; (3) need to divert a significant portion of our cash flow from operations to payments on our indebtedness, thereby reducing the availability of cash to fund working capital, capital expenditures, acquisitions, investments and other general corporate purposes; (4) limited ability to refinance our existing indebtedness or to obtain additional financing on terms we find acceptable, if needed, for working capital, capital expenditures, expansion plans and other investments, which may adversely affect our ability to implement our business strategy; (5) limited flexibility in planning for, or reacting to, changes in our businesses and the markets in which we operate or to take advantage of market opportunities; and (6) a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6"/>
          <w:szCs w:val="16"/>
          <w:color w:val="auto"/>
        </w:rPr>
        <w:t>disadvantage compared to our competitors that have less debt. Subject to market conditions, we may opportunistically refinance portions of our debt in the near term which, at current interest rates and market conditions, may negatively impact our interest expense or result in higher stock dilution.</w:t>
      </w:r>
    </w:p>
    <w:p>
      <w:pPr>
        <w:spacing w:after="0" w:line="6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The terms of our Amended and Restated Credit Agreement allow us to incur additional debt subject to certain limitations. If new debt is added to current debt levels, the risks described above could intensify. In addition, our inability to maintain certain covenants could result in acceleration of a portion of our debt obligations and could cause us to be in default if we are unable to repay the accelerated obligations.</w:t>
      </w:r>
    </w:p>
    <w:p>
      <w:pPr>
        <w:spacing w:after="0" w:line="68"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The terms of our debt covenants could limit our discretion in operating our business and any failure to comply with such covenants could result in the default of all of our debt.</w:t>
      </w:r>
    </w:p>
    <w:p>
      <w:pPr>
        <w:spacing w:after="0" w:line="1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agreements governing our indebtedness contain and the agreements governing our future indebtedness will likely contain various covenants, including those that restrict our or our subsidiaries’ ability to, among other things: (1) incur liens on our property, assets and revenue; (2) borrow money, and guarantee or provide other support for the indebtedness of third parties; (3) pay dividends or make other distributions on, redeem or repurchase our capital stock; (4) prepay, redeem or repurchase certain of our indebtedness; (5) enter into certain change of control transactions; (6) make investments in entities that we do not control, including equity method investments and joint ventures; (7) enter into certain asset sale transactions, including divestiture of certain company assets and divestiture of capital stock of wholly-owned subsidiaries; (8) enter into certain transactions with affiliates; (9) enter into secured financing arrangements; (10) enter into sale and leaseback transactions; (11) change our fiscal year; and (12) enter into substantially different lines of business. These covenants may limit our ability to effectively operate our businesses or maximize stockholder value. Any failure to comply with the restrictions of our Amended and Restated Credit Agreement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74"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may require more cash than we generate in our operating activities, and additional funding on reasonable terms or at all may not be available.</w:t>
      </w:r>
    </w:p>
    <w:p>
      <w:pPr>
        <w:spacing w:after="0" w:line="1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cannot guarantee that our business will generate sufficient cash flow from operations to fund our capital investment requirements or other liquidity needs, including in light of the uncertainty related to volume trends.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 As a result, we may be required to finance our cash needs through bank loans, additional debt financing, sales of equity-linked securities, public or private equity offerings or otherwise. Our ability to arrange financing or refinancing and the cost of such financing or refinancing are dependent on numerous factors, including but not limited to general economic and capital market conditions, the availability of credit from banks or other lenders, investor confidence in us, and our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There can be no assurance that financing or refinancing will be available on terms favorable to us or at all, which could force us to delay, reduce or abandon our growth strategy, increase our financing costs, or adversely affect our ability to operate our business.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 Recent increases in interest rates have significantly increased our interest expense, and further increases in interest rates would result in additional interest expense, which would adversely impact our financial performance. 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or sales of equity-linked securities, could cause earnings or ownership dilution to your shareholding interests in our company.</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interest rate fluctuations.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floating rate indebtedness and the potential refinancing of fixed rate indebtedness exposes us to fluctuations in prevailing interest rates. To reduce the impact of large fluctuations in interest rates, we typically hedge a portion of our interest rate risk by entering into derivative agreements with financial institutions. Our exposure to floating interest rates relates primarily to our borrowings under the Amended and Restated Credit Agreement.</w:t>
      </w:r>
    </w:p>
    <w:p>
      <w:pPr>
        <w:spacing w:after="0" w:line="70"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derivative agreements that we use to manage the risk associated with fluctuations in interest rates may not be able to eliminate the exposure to these changes. Additionally, recent interest rate increases have generally increased the cost of debt and we have been, and may in the future be, required to pay higher interest rates on new fixed rate indebtedness we have incurred and may incur in the future in comparison to the interest rates payable on our prior and currently outstanding fixed rate indebtedness, including in connection with the refinancing of such indebtedness. Interest rates are sensitive to numerous factors outside of our control, such as government and central bank monetary policy in the jurisdictions in which we operate. Depending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6"/>
          <w:szCs w:val="16"/>
          <w:color w:val="auto"/>
        </w:rPr>
        <w:t>on the size of the exposures and the relative movements of interest rates, if we choose not to hedge or fail to effectively hedge our exposure, we could experience a material adverse effect on our results of operations and financial condition.</w:t>
      </w:r>
    </w:p>
    <w:p>
      <w:pPr>
        <w:spacing w:after="0" w:line="6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The market price of our common stock could decline due to the large number of outstanding shares of our common stock eligible for future sale.</w:t>
      </w:r>
    </w:p>
    <w:p>
      <w:pPr>
        <w:spacing w:after="0" w:line="4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Sales of substantial amounts of our common stock or convertible instruments in the public market in future offerings, or the perception that these sales could occur, could cause the market price of our common stock to decline. These sales could also make it more difficult for us to sell equity or equity-linked securities in the future, at a time and price that we deem appropriate. In addition, the additional sale of our common stock by our officers or directors in the public market, or the perception that these sales may occur, could cause the market price of our common stock to decline. 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 To the extent that any of us, our executive officers or directors sell, or indicate an intent to sell, substantial amounts of our common stock in the public market, the trading price of our common stock could decline significantly.</w:t>
      </w:r>
    </w:p>
    <w:p>
      <w:pPr>
        <w:spacing w:after="0" w:line="9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recognize impairments on long-lived assets, including goodwill and other intangible assets, or recognize impairments on our equity method investments.</w:t>
      </w:r>
    </w:p>
    <w:p>
      <w:pPr>
        <w:spacing w:after="0" w:line="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consolidated balance sheets as of December 31, 2023 contained goodwill and intangible assets, net totaling $2.9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 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travel supplier capacity and load factors, future price levels, rates of growth including long-term growth rates, rates of increase in operating expenses, cost of revenue and taxes, and changes in realization of estimated cost-saving initiatives could result in material impairment charges.</w:t>
      </w:r>
    </w:p>
    <w:p>
      <w:pPr>
        <w:spacing w:after="0" w:line="74"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4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 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 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spacing w:after="0" w:line="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or any manual systems or processes,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 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6"/>
          <w:szCs w:val="16"/>
          <w:color w:val="auto"/>
        </w:rPr>
        <w:t>directors’ and officers’ liability insurance, our ability to recruit and retain qualified officers and directors, especially those directors who may be deemed independent for purposes of the NASDAQ rules, will be significantly curtailed.</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have higher than anticipated tax liabilities.</w:t>
      </w:r>
    </w:p>
    <w:p>
      <w:pPr>
        <w:spacing w:after="0" w:line="1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or magnitude of activities and income allocated or earned among various jurisdictions, tax laws in these jurisdictions, tax treaties between countries, our eligibility for benefits under those tax treaties, and the estimated values of deferred tax assets and liabilities, including the estimation of valuation allowances. Such changes could result in an increase or decrease in the effective tax rate applicable to all or a portion of our income or losses which would impact our profitability. We consider the undistributed capital investments in our foreign subsidiaries to be indefinitely reinvested as of December 31, 2023, and, accordingly, have not provided deferred taxes on any outside basis differences for most subsidiaries.</w:t>
      </w:r>
    </w:p>
    <w:p>
      <w:pPr>
        <w:spacing w:after="0" w:line="28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establish reserves for our potential liability for U.S. and non-U.S. taxes, including sales, occupancy and Value Added Taxes (“VAT”), consistent with applicable accounting principles and considering all current facts and circumstances. We also establish reserves when required relating to the collection of refunds related to value-added taxes, which are subject to audit and collection risks in various countries. Historically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New, changed, modified or newly interpreted or applied laws could also increase our compliance, operating and other costs, as well as the costs of our products and services. On August 16, 2022, the U.S. government enacted the Inflation Reduction Act of 2022, which includes a minimum tax equal to 15% of the adjusted financial statement income of certain corporations as well as a 1%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 We do not expect the Inflation Reduction Act of 2022 to have a significant impact on the Company's tax rate and financial results in the near future. We will continue to evaluate its impact as further information becomes available. In addition, the Organisation for Economic Co-operation and Development (OECD) has released Model Rules for a global minimum tax rate of 15% that would apply to multinational entities. Over 140 countries have agreed to enact legislation to implement these rules, with several already enacting domestic laws to do so. In some countries where we operate the new rules will begin to apply in the year 2024 with more expected in the year 2025. We are closely monitoring developments and evaluating the impacts these new rules will have on our tax rate. Additionally, several countries, primarily in Europe, and the European Commission have proposed or adopted taxes on revenue earned by multinational corporations in certain “digital economy” sectors from activities linked to the user-based activity of their residents. These proposals have generally been labeled as “digital services taxes” (“DST”). We continue to evaluate the potential effects that the DST may have on our operations, cash flows and results of operations. The future impact of the DST, including on our global operations, is uncertain, and our business and financial condition could be adversely affected.</w:t>
      </w:r>
    </w:p>
    <w:p>
      <w:pPr>
        <w:spacing w:after="0" w:line="92"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Our pension plan obligations are currently unfunded, and we may have to make significant cash contributions to our plans, which could reduce the cash available for our business.</w:t>
      </w:r>
    </w:p>
    <w:p>
      <w:pPr>
        <w:spacing w:after="0" w:line="3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pension plans in the aggregate are estimated to be unfunded by $73 million as of December 31, 2023. With approximately 3,600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or to avoid certain funding-based benefit restrictions, we may need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additional pension contributions above what is currently estimated or provide security to the plan, which could reduce the cash available for our businesses.</w:t>
      </w:r>
    </w:p>
    <w:p>
      <w:pPr>
        <w:spacing w:after="0" w:line="113"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1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in the past sought or may in the future seek to rescind or deny coverage with respect to pending claims or lawsuits, completed investigations or pending or future investigations and other legal actions against us. If we do not have sufficient coverage under our policies, or if the insurance companies are successful in rescinding or denying coverage, we may be required to make material payments in connection with third-party claims.</w:t>
      </w:r>
    </w:p>
    <w:p>
      <w:pPr>
        <w:spacing w:after="0" w:line="6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Defects in our products may subject us to significant warranty liabilities or product liability claims and we may have insufficient product liability insurance to pay material uninsured claims.</w:t>
      </w:r>
    </w:p>
    <w:p>
      <w:pPr>
        <w:spacing w:after="0" w:line="4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 Under our customer agreements, we generally must indemnify our customers for liability arising from intellectual property infringement claims with respect to our software. These indemnifications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28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1C.</w:t>
        <w:tab/>
        <w:t>CYBERSECURITY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Risk Management and Strategy</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recognize the importance of assessing, identifying, and managing material risks associated with cybersecurity threats. We maintain a dedicated cybersecurity risk management function, which is integrated as part of our overall enterprise risk management program. Our key cybersecurity risks include, among others, operational risks; intellectual property theft; fraud; extortion; harm to employees or customers; violation of privacy or security laws and other litigation and legal risk; remote working environments; and reputational risks. We have implemented several cybersecurity processes, technologies, and controls to aid in our efforts to assess, identify, and manage these risks.</w:t>
      </w:r>
    </w:p>
    <w:p>
      <w:pPr>
        <w:spacing w:after="0" w:line="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To identify and assess material risks from cybersecurity threats, members of our cybersecurity risk management function, which is led by our Chief Information Security Officer ("CISO"), consider cybersecurity threats within the context of our business environment. Cybersecurity risks are managed through technological, process, and administrative controls that are designed to target the mitigation of risk to levels acceptable to the business. Risk assessment and management include processes for managing third-party cybersecurity risk. These processes provide that third-party cybersecurity risk assessments are to be performed prior to a vendor’s engagement, upon contract renewal, and as we may otherwise require. Our formal cybersecurity policy program, which includes a collection of security policies and procedures, is in place to establish requirements, standards, and security controls designed to protect Sabre's technology environment.</w:t>
      </w:r>
    </w:p>
    <w:p>
      <w:pPr>
        <w:spacing w:after="0" w:line="6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employ information technology and cybersecurity technologies that are designed to protect Sabre's technology environment, detect threats, respond to threats and help support operational resilience. These technologies facilitate the identification of threats and vulnerabilities that may exist in the Sabre technology environment. Protective measures are employed to counter threats and mitigate risk, supporting operational resilience of our technology products. These tools include cloud security posture management, workload protection, endpoint detection and response, network firewalls and intrusion detection systems, identity and access management tools, data protection technologies and logging, monitoring, and alerting tools. Accompanying these tools are various processes such as security education and awareness training, security maturity assessments, vulnerability assessments, threat intelligence and hunting, penetration testing, and tabletop exercises to inform our professionals’ risk identification and assessment. We practice data protection techniques and processes that are designed to treat our customer data with care. We also utilize third-parties, consultants, and auditors to regularly assess our security program. These assessments include periodic security maturity assessments in which third-parties assess security program</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maturity against established standards and industry benchmarks. We also annually engage a Qualified Security Assessor to conduct payment card industry certification on all applicable products and solutions.</w:t>
      </w:r>
    </w:p>
    <w:p>
      <w:pPr>
        <w:spacing w:after="0" w:line="6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cybersecurity incident response plan describes the activities we take to identify, detect, respond to and recover from cybersecurity incidents, which include processes to triage, assess severity for, escalate, contain, investigate, and remediate the incident, as well as to provide appropriate reporting and escalation. The program includes appropriate activities to escalate potentially material security incidents to our disclosure committee for review.</w:t>
      </w:r>
    </w:p>
    <w:p>
      <w:pPr>
        <w:spacing w:after="0" w:line="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Based on the information we have as of the date of this Annual Report with respect to the periods beginning with those covered by this Annual Report, we do not believe any risks from cybersecurity threats, including as a result of any previous cybersecurity incidents, have materially affected or are reasonably likely to materially affect us, including our business strategy, results of operations, or financial condition. We, like most technology companies, are the target of cybercriminals who attempt to compromise our systems. We describe risks relating to cybersecurity threats, including as a result of previous cybersecurity incidents in “Item 1A. Risk Factors” in this Annual Report on Form 10-K, under the headings “Our success depends on maintaining the integrity of our systems and infrastructure, which may suffer from failures, capacity constraints, business interruptions and forces outside our control.” and “Security incidents expose us to liability and could damage our reputation and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Governance</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Audit Committee of our Board of Directors has oversight authority to review our plans to mitigate cybersecurity risk. At least quarterly, the Audit Committee receives an overview from management of our cybersecurity threat risk management and strategy processes covering topics such as data security posture, results from third-party assessments, progress towards risk-management-related goals, our incident response plan, and potentially material cybersecurity threat risks or incidents and developments, as well as the steps management has taken to respond to these risks. In such sessions, the Audit Committee generally receives materials including a cybersecurity risk profile scorecard and other materials indicating current and emerging cybersecurity threat risks, and describing the company’s ability to mitigate those risks, and discusses such matters with our Chief Information Officer, our CISO, and our Data Privacy Officer. Members of the Audit Committee are also encouraged to regularly engage in ad hoc conversations with management on cybersecurity-related news events and discuss any updates to our cybersecurity risk management and strategy programs. Cybersecurity risks are also considered during separate Audit Committee, Technology Committee and Board of Directors meeting discussions of matters such as enterprise risk management, the annual planning process, our technology transformation, corporate development activity, and other relevant matters.</w:t>
      </w:r>
    </w:p>
    <w:p>
      <w:pPr>
        <w:spacing w:after="0" w:line="7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also maintain a Cybersecurity Governance Committee, led by our CISO and comprised of senior cross-functional leaders including product, development, operational, and corporate business leaders. The committee oversees our cybersecurity risk management and strategy processes, which are discussed above. Our CISO has over 25 years of prior work experience in various roles involving managing cybersecurity risk, developing cybersecurity strategy, implementing effective information and cybersecurity programs and leading information technology and cybersecurity teams. He graduated with a Bachelor of Science and Master of Science Degree in Electrical Engineering as well as three additional master’s degrees, including a Master of Business Administration, and he is a Certified Information Systems Security Professional (ISC2) as well as a Certified Chief Information Security Officer (EC Council).</w:t>
      </w:r>
    </w:p>
    <w:p>
      <w:pPr>
        <w:spacing w:after="0" w:line="6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Members of management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 Audit Committee has oversight authority and receives reports regarding cybersecurity threat risks, as well as other cybersecurity related matters, on at least a quarterly basis.</w:t>
      </w:r>
    </w:p>
    <w:p>
      <w:pPr>
        <w:spacing w:after="0" w:line="60"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As a company with global operations, we operate in many countries with a variety of sales, administrative, product development and customer service roles provided in these offices.</w:t>
      </w:r>
    </w:p>
    <w:p>
      <w:pPr>
        <w:spacing w:after="0" w:line="3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Americas</w:t>
      </w:r>
      <w:r>
        <w:rPr>
          <w:rFonts w:ascii="Arial" w:cs="Arial" w:eastAsia="Arial" w:hAnsi="Arial"/>
          <w:sz w:val="16"/>
          <w:szCs w:val="16"/>
          <w:color w:val="auto"/>
        </w:rPr>
        <w:t>: As of December 31, 2023, our corporate and business unit headquarters and domestic operations are located in Southlake, Texas. There</w:t>
      </w:r>
      <w:r>
        <w:rPr>
          <w:rFonts w:ascii="Arial" w:cs="Arial" w:eastAsia="Arial" w:hAnsi="Arial"/>
          <w:sz w:val="16"/>
          <w:szCs w:val="16"/>
          <w:i w:val="1"/>
          <w:iCs w:val="1"/>
          <w:color w:val="auto"/>
        </w:rPr>
        <w:t xml:space="preserve"> </w:t>
      </w:r>
      <w:r>
        <w:rPr>
          <w:rFonts w:ascii="Arial" w:cs="Arial" w:eastAsia="Arial" w:hAnsi="Arial"/>
          <w:sz w:val="16"/>
          <w:szCs w:val="16"/>
          <w:color w:val="auto"/>
        </w:rPr>
        <w:t>are five additional offices across North America and three offices across Latin America that serve in various sales, administration, software development and customer service capacities for all our business segments. All of these offices are leased.</w:t>
      </w:r>
    </w:p>
    <w:p>
      <w:pPr>
        <w:spacing w:after="0" w:line="5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i w:val="1"/>
          <w:iCs w:val="1"/>
          <w:color w:val="auto"/>
        </w:rPr>
        <w:t>EMEA</w:t>
      </w:r>
      <w:r>
        <w:rPr>
          <w:rFonts w:ascii="Arial" w:cs="Arial" w:eastAsia="Arial" w:hAnsi="Arial"/>
          <w:sz w:val="16"/>
          <w:szCs w:val="16"/>
          <w:color w:val="auto"/>
        </w:rPr>
        <w:t>: We maintain our regional headquarters for Europe, the Middle East, and Africa ("EMEA") in Richmond, United Kingdom. There are 29</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offices across EMEA that serve in various sales, administration, software development and customer service capacities. All of these offices are leased.</w:t>
      </w:r>
    </w:p>
    <w:p>
      <w:pPr>
        <w:spacing w:after="0" w:line="248"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i w:val="1"/>
          <w:iCs w:val="1"/>
          <w:color w:val="auto"/>
        </w:rPr>
        <w:t>APAC</w:t>
      </w:r>
      <w:r>
        <w:rPr>
          <w:rFonts w:ascii="Arial" w:cs="Arial" w:eastAsia="Arial" w:hAnsi="Arial"/>
          <w:sz w:val="16"/>
          <w:szCs w:val="16"/>
          <w:color w:val="auto"/>
        </w:rPr>
        <w:t>: We maintain our Asia-Pacific ("APAC") regional operations headquarters in Singapore. There are 20 additional offices across APAC that serve</w:t>
      </w:r>
      <w:r>
        <w:rPr>
          <w:rFonts w:ascii="Arial" w:cs="Arial" w:eastAsia="Arial" w:hAnsi="Arial"/>
          <w:sz w:val="16"/>
          <w:szCs w:val="16"/>
          <w:i w:val="1"/>
          <w:iCs w:val="1"/>
          <w:color w:val="auto"/>
        </w:rPr>
        <w:t xml:space="preserve"> </w:t>
      </w:r>
      <w:r>
        <w:rPr>
          <w:rFonts w:ascii="Arial" w:cs="Arial" w:eastAsia="Arial" w:hAnsi="Arial"/>
          <w:sz w:val="16"/>
          <w:szCs w:val="16"/>
          <w:color w:val="auto"/>
        </w:rPr>
        <w:t>in various sales, administration, software development and customer service capacities. All of the offices are leased.</w:t>
      </w:r>
    </w:p>
    <w:p>
      <w:pPr>
        <w:spacing w:after="0" w:line="249"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2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Company and its subsidiaries are from time to time engaged in routine legal proceedings incidental to our business. For a description of our material legal proceedings, see Note 18. Commitments and Contingencies, to our consolidated financial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6"/>
          <w:szCs w:val="16"/>
          <w:color w:val="auto"/>
        </w:rPr>
        <w:t>statements included in Item 8 of this Annual Report on Form 10-K, which is incorporated herein by reference. 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See “Risk Factors —"We are involved in various legal proceedings which may cause us to incur significant fees, costs and expenses and may result in unfavorable outcomes.”</w:t>
      </w:r>
    </w:p>
    <w:p>
      <w:pPr>
        <w:spacing w:after="0" w:line="288"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names and ages of our executive officers as of February 15, 2024, together with certain biographical information, are as follows:</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Age</w:t>
            </w:r>
          </w:p>
        </w:tc>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08"/>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Kurt Ekert</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7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Chief Executive Officer and President</w:t>
            </w:r>
          </w:p>
        </w:tc>
      </w:tr>
      <w:tr>
        <w:trPr>
          <w:trHeight w:val="215"/>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Sean Menke</w:t>
            </w:r>
          </w:p>
        </w:tc>
        <w:tc>
          <w:tcPr>
            <w:tcW w:w="660" w:type="dxa"/>
            <w:vAlign w:val="bottom"/>
          </w:tcPr>
          <w:p>
            <w:pPr>
              <w:jc w:val="center"/>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Chair of the Board</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Ann Bruder</w:t>
            </w:r>
          </w:p>
        </w:tc>
        <w:tc>
          <w:tcPr>
            <w:tcW w:w="660" w:type="dxa"/>
            <w:vAlign w:val="bottom"/>
          </w:tcPr>
          <w:p>
            <w:pPr>
              <w:jc w:val="center"/>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Legal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Joe DiFonzo</w:t>
            </w:r>
          </w:p>
        </w:tc>
        <w:tc>
          <w:tcPr>
            <w:tcW w:w="660" w:type="dxa"/>
            <w:vAlign w:val="bottom"/>
          </w:tcPr>
          <w:p>
            <w:pPr>
              <w:jc w:val="center"/>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Information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Roshan Mendis</w:t>
            </w:r>
          </w:p>
        </w:tc>
        <w:tc>
          <w:tcPr>
            <w:tcW w:w="660" w:type="dxa"/>
            <w:vAlign w:val="bottom"/>
          </w:tcPr>
          <w:p>
            <w:pPr>
              <w:jc w:val="center"/>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Commercial Officer, Travel Solutions</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Michael Randolfi</w:t>
            </w:r>
          </w:p>
        </w:tc>
        <w:tc>
          <w:tcPr>
            <w:tcW w:w="660" w:type="dxa"/>
            <w:vAlign w:val="bottom"/>
          </w:tcPr>
          <w:p>
            <w:pPr>
              <w:jc w:val="center"/>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Shawn Williams</w:t>
            </w:r>
          </w:p>
        </w:tc>
        <w:tc>
          <w:tcPr>
            <w:tcW w:w="660" w:type="dxa"/>
            <w:vAlign w:val="bottom"/>
          </w:tcPr>
          <w:p>
            <w:pPr>
              <w:jc w:val="center"/>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People Officer</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Scott Wilson</w:t>
            </w:r>
          </w:p>
        </w:tc>
        <w:tc>
          <w:tcPr>
            <w:tcW w:w="660" w:type="dxa"/>
            <w:vAlign w:val="bottom"/>
          </w:tcPr>
          <w:p>
            <w:pPr>
              <w:jc w:val="center"/>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Sabre and President, Hospitality Solutions</w:t>
            </w:r>
          </w:p>
        </w:tc>
      </w:tr>
      <w:tr>
        <w:trPr>
          <w:trHeight w:val="216"/>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Garry Wiseman</w:t>
            </w:r>
          </w:p>
        </w:tc>
        <w:tc>
          <w:tcPr>
            <w:tcW w:w="660" w:type="dxa"/>
            <w:vAlign w:val="bottom"/>
          </w:tcPr>
          <w:p>
            <w:pPr>
              <w:jc w:val="center"/>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Executive Vice President and Chief Product and Technology Officer, Travel Solutions</w:t>
            </w:r>
          </w:p>
        </w:tc>
      </w:tr>
    </w:tbl>
    <w:p>
      <w:pPr>
        <w:spacing w:after="0" w:line="200" w:lineRule="exact"/>
        <w:rPr>
          <w:sz w:val="20"/>
          <w:szCs w:val="20"/>
          <w:color w:val="auto"/>
        </w:rPr>
      </w:pPr>
    </w:p>
    <w:p>
      <w:pPr>
        <w:spacing w:after="0" w:line="2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b w:val="1"/>
          <w:bCs w:val="1"/>
          <w:color w:val="auto"/>
        </w:rPr>
        <w:t xml:space="preserve">Kurt Ekert </w:t>
      </w:r>
      <w:r>
        <w:rPr>
          <w:rFonts w:ascii="Arial" w:cs="Arial" w:eastAsia="Arial" w:hAnsi="Arial"/>
          <w:sz w:val="16"/>
          <w:szCs w:val="16"/>
          <w:color w:val="auto"/>
        </w:rPr>
        <w:t>has served as Chief Executive Officer and President of Sabre since April 2023. Prior to his election as Chief Executive Officer, Mr. Ekert</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of Sabre since January 2022. Prior to joining Sabre, Mr. Ekert served as President and Chief Executive Officer of Carlson Worldwide Travel (CWT) from 2016 to 2021. Sabre has an agreement with CWT pursuant to which Sabre provides CWT with access to its GDS and pays incentive fees to CWT, and CWT purchases certain products from Sabre. From 2010 to 2015, he served as Executive Vice President and Chief Commercial Officer of Travelport Worldwide Ltd., a distribution services provider for the global travel industry, and from 2006 to 2010, he served as Chief Operating Officer of Gulliver’s Travel Associates (GTA), a division of Travelport. From 2002 to 2006, he served in executive roles of increasing responsibility at Cendant (at then Cendant subsidiaries Travelport and Orbitz Worldwide). Prior to joining Cendant, Mr. Ekert’s experience in the travel industry included a number of senior finance roles at Continental Airlines. He also served four years as an active duty officer in the US Army. Mr. Ekert serves as a director of Passur Aerospace, Inc., a business intelligence company, and a director of ZYTLYN. He previously was Chairman of the US Department of Commerce Travel &amp; Tourism Advisory Board, as well as a director for each of eNett, Carlson Travel Inc., the World Travel &amp; Tourism Council, and the UNGA Global Partnership to End Violence Against Children.</w:t>
      </w:r>
    </w:p>
    <w:p>
      <w:pPr>
        <w:spacing w:after="0" w:line="8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b w:val="1"/>
          <w:bCs w:val="1"/>
          <w:color w:val="auto"/>
        </w:rPr>
        <w:t xml:space="preserve">Sean Menke </w:t>
      </w:r>
      <w:r>
        <w:rPr>
          <w:rFonts w:ascii="Arial" w:cs="Arial" w:eastAsia="Arial" w:hAnsi="Arial"/>
          <w:sz w:val="16"/>
          <w:szCs w:val="16"/>
          <w:color w:val="auto"/>
        </w:rPr>
        <w:t>has served as Executive Chair of the Board of Sabre since April 2023. He served as CEO of Sabre beginning in December 2016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its President from December 2016 through January 2, 2022. He was elected Chair of the Board effective April 28, 2022. In April 2023, Mr. Menke relinquished his duties as CEO. Mr. Menke previously served as Sabre’s Executive Vice President and President of Travel Network. Before joining Sabre in October 2015, Mr. Menke served as Executive Vice President and Chief Operating Officer of Hawaiian Airlines from October 2014 to October 2015. From 2013 to 2014, he was Executive Vice President of Resources at IHS Inc., a global information technology company. He served as managing partner of Vista Strategic Group, LLC, a consulting firm, from 2012 to 2013 and from 2010 to 2011. From 2011 to 2012, he served as President and Chief Executive Officer of Pinnacle Airlines, and from 2007 to 2010 as President and Chief Executive Officer of Frontier Airlines. Mr. Menke earned an executive MBA from the University of Denver and dual bachelor of science degrees in Economics and Aviation Management from Ohio State University. He serves as a director of Waste Management, Inc., a provider of comprehensive waste management environmental services.</w:t>
      </w:r>
    </w:p>
    <w:p>
      <w:pPr>
        <w:spacing w:after="0" w:line="6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b w:val="1"/>
          <w:bCs w:val="1"/>
          <w:color w:val="auto"/>
        </w:rPr>
        <w:t xml:space="preserve">Ann Bruder </w:t>
      </w:r>
      <w:r>
        <w:rPr>
          <w:rFonts w:ascii="Arial" w:cs="Arial" w:eastAsia="Arial" w:hAnsi="Arial"/>
          <w:sz w:val="16"/>
          <w:szCs w:val="16"/>
          <w:color w:val="auto"/>
        </w:rPr>
        <w:t>is Executive Vice President and Chief Legal Officer. Prior to joining Sabre in 2023, Ms. Bruder served from 2020 to 2023 as Chief Legal,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Administrative Officer and Secretary of Blucora, Inc., a provider of integrated tax-focused wealth management services and software, and as its Chief Legal Officer and Secretary from 2017 to 2020. From 2015 to 2017, Ms. Bruder served as Vice President, General Counsel, Chief Compliance Officer and Corporate Secretary at Airlines Reporting Corporation, a provider of travel industry data, products and services. From 2014 to 2015, Ms. Bruder served as the President of Global Strategic Services, LLC, a strategic advisory firm. Prior to that, Mr. Bruder served as Senior Vice President of Law, Government Affairs and Global Compliance, General Counsel and Corporate Secretary of Commercial Metals Company, a steel and metal manufacturer, from mid-2009 through 2014 and the Deputy General Counsel from 2007 through mid-2009. Earlier in her career, Ms. Bruder served as Chief Legal and Compliance Officer at CARBO Ceramics Inc., a ceramic proppant producer, as well as serving in various senior legal roles at American Airlines, Inc. and Continental Airlines, Inc. Ms. Bruder began her career at the law firm of Thompson Coburn LLP. Ms. Bruder has a J.D. from Washington University (Order of the Barristers) and B.A. in Journalism and Public Relations with a minor in Economics from the University of Wyoming.</w:t>
      </w:r>
    </w:p>
    <w:p>
      <w:pPr>
        <w:spacing w:after="0" w:line="7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b w:val="1"/>
          <w:bCs w:val="1"/>
          <w:color w:val="auto"/>
        </w:rPr>
        <w:t xml:space="preserve">Joe DiFonzo </w:t>
      </w:r>
      <w:r>
        <w:rPr>
          <w:rFonts w:ascii="Arial" w:cs="Arial" w:eastAsia="Arial" w:hAnsi="Arial"/>
          <w:sz w:val="16"/>
          <w:szCs w:val="16"/>
          <w:color w:val="auto"/>
        </w:rPr>
        <w:t>is Executive Vice President and Chief lnformation Officer. Prior to becoming Executive Vice President in 2023, he served 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Information Officer from July 2017 to 2023. Prior to joining Sabre, he served as both chief technology officer and CIO at Syniverse, a global provider of communication and information services for mobile network operators. He previously spent 20 years at Convergys/Cincinnati Bell Information Systems, as corporate product line architect and leading multiple product development teams for the telecom industry. Mr. DiFonzo holds a bachelor's degree in computer science from the University of Central Florida.</w:t>
      </w:r>
    </w:p>
    <w:p>
      <w:pPr>
        <w:spacing w:after="0" w:line="64"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b w:val="1"/>
          <w:bCs w:val="1"/>
          <w:color w:val="auto"/>
        </w:rPr>
        <w:t xml:space="preserve">Roshan Mendis </w:t>
      </w:r>
      <w:r>
        <w:rPr>
          <w:rFonts w:ascii="Arial" w:cs="Arial" w:eastAsia="Arial" w:hAnsi="Arial"/>
          <w:sz w:val="16"/>
          <w:szCs w:val="16"/>
          <w:color w:val="auto"/>
        </w:rPr>
        <w:t>has served as Executive Vice President and Chief Commercial Officer, Travel Solutions since 2020. Mr. Mendis previously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Commercial Officer for the Travel Network business from 2018 to 2020, and prior to that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6"/>
          <w:szCs w:val="16"/>
          <w:color w:val="auto"/>
        </w:rPr>
        <w:t>served as Senior Vice President of International Markets for Sabre from 2017 to 2018. From 2015 to 2017, Mr. Mendis served as Senior Vice President of Asia Pacific for Sabre. Mr. Mendis has also served as President of Travelocity and Zuji, consumer-facing brands that were part of the Sabre portfolio. He completed his undergraduate studies at Chaminade University of Honolulu and University of Cambridge (UK) and later earned his MBA at the Rice University.</w:t>
      </w:r>
    </w:p>
    <w:p>
      <w:pPr>
        <w:spacing w:after="0" w:line="2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b w:val="1"/>
          <w:bCs w:val="1"/>
          <w:color w:val="auto"/>
        </w:rPr>
        <w:t xml:space="preserve">Michael Randolfi </w:t>
      </w:r>
      <w:r>
        <w:rPr>
          <w:rFonts w:ascii="Arial" w:cs="Arial" w:eastAsia="Arial" w:hAnsi="Arial"/>
          <w:sz w:val="16"/>
          <w:szCs w:val="16"/>
          <w:color w:val="auto"/>
        </w:rPr>
        <w:t>is Executive Vice President and Chief Financial Officer. Prior to joining Sabre in 2022, Mr. Randolfi served as 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BFA Industries, a beauty subscription business, from April 2021 until August 2022. From August 2019 through April 2021, he served as Senior Vice President and Chief Financial Officer of Adtalem Global Education Inc., a workforce solutions provider. Prior to joining Adtalem, Mr. Randolfi served as the Chief Financial Officer of Groupon, Inc. from April 2016 to August 2019. Prior to Groupon, Mr. Randolfi served as Chief Financial Officer of Orbitz Worldwide, Inc. from March 2013 until November 2015 (when he departed following its acquisition by Expedia, Inc.). Prior to Orbitz, Mr. Randolfi spent fourteen years with Delta Airlines in a variety of executive financial roles culminating in Senior Vice President and Controller. Mr. Randolfi received a Master of Business Administration from Emory University and his Bachelor of Arts degree from the University of South Florida.</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b w:val="1"/>
          <w:bCs w:val="1"/>
          <w:color w:val="auto"/>
        </w:rPr>
        <w:t xml:space="preserve">Shawn Williams </w:t>
      </w:r>
      <w:r>
        <w:rPr>
          <w:rFonts w:ascii="Arial" w:cs="Arial" w:eastAsia="Arial" w:hAnsi="Arial"/>
          <w:sz w:val="16"/>
          <w:szCs w:val="16"/>
          <w:color w:val="auto"/>
        </w:rPr>
        <w:t>is Executive Vice President and Chief People Officer. Prior to joining Sabre in 2020, Mr. Williams served as Chief Human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Scientific Games, a global technology gaming company, from 2017 to 2020. From 2016 to 2017, he served as Senior Vice President and Chief Administrative Officer of LeEco Holdings North America, a consumer electronics business. Prior to that, Mr. Williams served as Senior Vice President and Chief Administrative Officer of Samsung Electronics America, an electronics and telecommunications company. He holds a bachelor’s degree in business administration from the University of Houston</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b w:val="1"/>
          <w:bCs w:val="1"/>
          <w:color w:val="auto"/>
        </w:rPr>
        <w:t xml:space="preserve">Scott Wilson </w:t>
      </w:r>
      <w:r>
        <w:rPr>
          <w:rFonts w:ascii="Arial" w:cs="Arial" w:eastAsia="Arial" w:hAnsi="Arial"/>
          <w:sz w:val="16"/>
          <w:szCs w:val="16"/>
          <w:color w:val="auto"/>
        </w:rPr>
        <w:t>is Executive Vice President and President, Hospitality Solutions. Prior to joining Sabre in September 2020, Mr. Wilson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Chief Commercial Officer of Great Wolf Resorts, the largest family of indoor water park resorts in North America, since 2017. While there, he was responsible for a number of areas of Great Wolf’s business, including sales, marketing, digital, revenue management, data and analytics, contact centers, and merchandising. From 2010 to 2017, Mr. Wilson served as Vice President, e-Commerce and Merchandising, at United Airlines, Inc. one of the largest global airlines. In addition to e-commerce and merchandising functions, he was also responsible for distribution and commercial analytics. From 2007 to 2010, Mr. Wilson was Vice President, Digital Marketing, at Marriott International, Inc. with responsibility for all performance and social media marketing across Marriott’s full portfolio of brands. Prior to that, he held digital, marketing, and strategy leadership roles at BCG, America Online, Netscape, and American Airlines. Mr. Wilson is a current board member of Alliant Credit Union. Mr. Wilson received a Master of Science in Industrial Engineering (MBA) from Carnegie Mellon University and his Bachelor of Arts degree from the University of California, Berkeley.</w:t>
      </w:r>
    </w:p>
    <w:p>
      <w:pPr>
        <w:spacing w:after="0" w:line="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b w:val="1"/>
          <w:bCs w:val="1"/>
          <w:color w:val="131313"/>
        </w:rPr>
        <w:t xml:space="preserve">Garry </w:t>
      </w:r>
      <w:r>
        <w:rPr>
          <w:rFonts w:ascii="Arial" w:cs="Arial" w:eastAsia="Arial" w:hAnsi="Arial"/>
          <w:sz w:val="16"/>
          <w:szCs w:val="16"/>
          <w:b w:val="1"/>
          <w:bCs w:val="1"/>
          <w:color w:val="232323"/>
        </w:rPr>
        <w:t>Wiseman</w:t>
      </w:r>
      <w:r>
        <w:rPr>
          <w:rFonts w:ascii="Arial" w:cs="Arial" w:eastAsia="Arial" w:hAnsi="Arial"/>
          <w:sz w:val="16"/>
          <w:szCs w:val="16"/>
          <w:b w:val="1"/>
          <w:bCs w:val="1"/>
          <w:color w:val="131313"/>
        </w:rPr>
        <w:t xml:space="preserve"> </w:t>
      </w:r>
      <w:r>
        <w:rPr>
          <w:rFonts w:ascii="Arial" w:cs="Arial" w:eastAsia="Arial" w:hAnsi="Arial"/>
          <w:sz w:val="16"/>
          <w:szCs w:val="16"/>
          <w:color w:val="131313"/>
        </w:rPr>
        <w:t>is E</w:t>
      </w:r>
      <w:r>
        <w:rPr>
          <w:rFonts w:ascii="Arial" w:cs="Arial" w:eastAsia="Arial" w:hAnsi="Arial"/>
          <w:sz w:val="16"/>
          <w:szCs w:val="16"/>
          <w:color w:val="3D3D3D"/>
        </w:rPr>
        <w:t>xecutive</w:t>
      </w:r>
      <w:r>
        <w:rPr>
          <w:rFonts w:ascii="Arial" w:cs="Arial" w:eastAsia="Arial" w:hAnsi="Arial"/>
          <w:sz w:val="16"/>
          <w:szCs w:val="16"/>
          <w:b w:val="1"/>
          <w:bCs w:val="1"/>
          <w:color w:val="131313"/>
        </w:rPr>
        <w:t xml:space="preserve"> </w:t>
      </w:r>
      <w:r>
        <w:rPr>
          <w:rFonts w:ascii="Arial" w:cs="Arial" w:eastAsia="Arial" w:hAnsi="Arial"/>
          <w:sz w:val="16"/>
          <w:szCs w:val="16"/>
          <w:color w:val="131313"/>
        </w:rPr>
        <w:t>Vice President</w:t>
      </w:r>
      <w:r>
        <w:rPr>
          <w:rFonts w:ascii="Arial" w:cs="Arial" w:eastAsia="Arial" w:hAnsi="Arial"/>
          <w:sz w:val="16"/>
          <w:szCs w:val="16"/>
          <w:b w:val="1"/>
          <w:bCs w:val="1"/>
          <w:color w:val="131313"/>
        </w:rPr>
        <w:t xml:space="preserve"> </w:t>
      </w:r>
      <w:r>
        <w:rPr>
          <w:rFonts w:ascii="Arial" w:cs="Arial" w:eastAsia="Arial" w:hAnsi="Arial"/>
          <w:sz w:val="16"/>
          <w:szCs w:val="16"/>
          <w:color w:val="232323"/>
        </w:rPr>
        <w:t>and Chief P</w:t>
      </w:r>
      <w:r>
        <w:rPr>
          <w:rFonts w:ascii="Arial" w:cs="Arial" w:eastAsia="Arial" w:hAnsi="Arial"/>
          <w:sz w:val="16"/>
          <w:szCs w:val="16"/>
          <w:color w:val="131313"/>
        </w:rPr>
        <w:t>roduct and Technology Officer, Travel Solutions</w:t>
      </w:r>
      <w:r>
        <w:rPr>
          <w:rFonts w:ascii="Arial" w:cs="Arial" w:eastAsia="Arial" w:hAnsi="Arial"/>
          <w:sz w:val="16"/>
          <w:szCs w:val="16"/>
          <w:color w:val="3D3D3D"/>
        </w:rPr>
        <w:t>.</w:t>
      </w:r>
      <w:r>
        <w:rPr>
          <w:rFonts w:ascii="Arial" w:cs="Arial" w:eastAsia="Arial" w:hAnsi="Arial"/>
          <w:sz w:val="16"/>
          <w:szCs w:val="16"/>
          <w:b w:val="1"/>
          <w:bCs w:val="1"/>
          <w:color w:val="131313"/>
        </w:rPr>
        <w:t xml:space="preserve"> </w:t>
      </w:r>
      <w:r>
        <w:rPr>
          <w:rFonts w:ascii="Arial" w:cs="Arial" w:eastAsia="Arial" w:hAnsi="Arial"/>
          <w:sz w:val="16"/>
          <w:szCs w:val="16"/>
          <w:color w:val="000000"/>
        </w:rPr>
        <w:t>Prior to joining Sabre in 2022, Mr. Wiseman</w:t>
      </w:r>
      <w:r>
        <w:rPr>
          <w:rFonts w:ascii="Arial" w:cs="Arial" w:eastAsia="Arial" w:hAnsi="Arial"/>
          <w:sz w:val="16"/>
          <w:szCs w:val="16"/>
          <w:b w:val="1"/>
          <w:bCs w:val="1"/>
          <w:color w:val="131313"/>
        </w:rPr>
        <w:t xml:space="preserve"> </w:t>
      </w:r>
      <w:r>
        <w:rPr>
          <w:rFonts w:ascii="Arial" w:cs="Arial" w:eastAsia="Arial" w:hAnsi="Arial"/>
          <w:sz w:val="16"/>
          <w:szCs w:val="16"/>
          <w:color w:val="000000"/>
        </w:rPr>
        <w:t>served as Senior Vice President and Chief Digital Officer of Nautilus, Inc., a global leader in innovative home fitness solutions, from October 2020 to 2022. From 2017 to 2020, he served as Senior Vice President of Digital Customer Experience for Dell Technologies Inc., a technology company, and from 2014 to 2017, he served as Vice President – Product Management at salesforce.com, inc., a leader in customer management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329" w:lineRule="exact"/>
        <w:rPr>
          <w:sz w:val="20"/>
          <w:szCs w:val="20"/>
          <w:color w:val="auto"/>
        </w:rPr>
      </w:pPr>
    </w:p>
    <w:p>
      <w:pPr>
        <w:ind w:left="1120" w:right="20" w:hanging="1295"/>
        <w:spacing w:after="0" w:line="314" w:lineRule="auto"/>
        <w:tabs>
          <w:tab w:leader="none" w:pos="11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7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Our common stock is listed on the NASDAQ Global Select Market under the symbol “SABR.” As of February 8, 2024, there were 98 stockholders of record of our common stock. There were no shares repurchased during the year ended December 31, 2023. See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 Discussion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Analysis of Financial Condition and Results of Operations</w:t>
      </w:r>
      <w:r>
        <w:rPr>
          <w:rFonts w:ascii="Arial" w:cs="Arial" w:eastAsia="Arial" w:hAnsi="Arial"/>
          <w:sz w:val="16"/>
          <w:szCs w:val="16"/>
          <w:color w:val="000000"/>
        </w:rPr>
        <w:t>—</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000000"/>
        </w:rPr>
        <w:t>—Recent Events Impacting Our Liquidity and Capital Resources</w:t>
      </w:r>
      <w:r>
        <w:rPr>
          <w:rFonts w:ascii="Arial" w:cs="Arial" w:eastAsia="Arial" w:hAnsi="Arial"/>
          <w:sz w:val="16"/>
          <w:szCs w:val="16"/>
          <w:color w:val="0000FF"/>
        </w:rPr>
        <w:t xml:space="preserve"> </w:t>
      </w:r>
      <w:r>
        <w:rPr>
          <w:rFonts w:ascii="Arial" w:cs="Arial" w:eastAsia="Arial" w:hAnsi="Arial"/>
          <w:sz w:val="16"/>
          <w:szCs w:val="16"/>
          <w:color w:val="000000"/>
        </w:rPr>
        <w:t>—Share Repurchase Program."</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following graph shows a comparison from December 31, 2018 through December 31, 2023 of the cumulative total return for our common stock, the Nasdaq Composite Index ("NASDAQ Composite"), the Standard &amp; Poor's 500 Stock Index ("S&amp;P 500") and the Standard &amp; Poor's Software and Services Index ("S&amp;P 500/Software &amp; Services") (collectively, the "Indices"). The graph assumes that $100 was invested at the market close on December 31, 2018 in the common stock of Sabre Corporation and the Indices as well as reinvestments of dividends.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49530</wp:posOffset>
            </wp:positionV>
            <wp:extent cx="5443220" cy="3257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322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stock performance graph shall not be deemed “soliciting material” or to be “filed” with the SEC, nor shall such information be incorporated by reference into any future filing by us under the Securities Act or the Exchange Act, except to the extent that we specifically incorporate the graph by reference in such filing.</w:t>
      </w:r>
    </w:p>
    <w:p>
      <w:pPr>
        <w:spacing w:after="0" w:line="27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6" w:name="page27"/>
    <w:bookmarkEnd w:id="26"/>
    <w:p>
      <w:pPr>
        <w:spacing w:after="0"/>
        <w:tabs>
          <w:tab w:leader="none" w:pos="9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 xml:space="preserve">The following discussion and analysis should be read in conjunction with our consolidated financial statements and related notes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this Annual Report on Form 10-K.</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At Sabre, we make travel happen. We are a technology company that operates our business and presents our results through two business segments: (i) Travel Solutions, our global business-to-business travel marketplace for travel suppliers and travel buyers, including a broad portfolio of software technology products and solutions for airlines, and (ii) Hospitality Solutions, an extensive suite of leading software solutions for hoteliers.</w:t>
      </w:r>
    </w:p>
    <w:p>
      <w:pPr>
        <w:spacing w:after="0" w:line="7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For Travel Solutions, we generate revenue from our distribution activities through transaction fees for bookings on our GDS, and from our IT solutions through recurring usage-based fees for the use of our SaaS and hosted systems, as well as upfront fees and professional services fees. For Hospitality Solutions, we generate revenue from recurring usage-based fees for the use of our SaaS and hosted systems, as well as upfront fees and professional services fees. Items that are not allocated to our business segments are identified as corporate and primarily include stock-based compensation expense, litigation costs, corporate headcount-related costs and other items that are not identifiable with either of our segments.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Affecting our Results of Operations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We have experienced continued material headwinds within our consolidated financial results for 2022 and 2023. While growth on a year-over-year basis has resulted in improvement in our key volume metrics with the return of global travel volumes, recent industry air distribution volume growth has leveled-off. This may continue into the future and could impact our rate of growth. With the continued increase in booking volumes, our incentive consideration costs have also increased significantly compared to previous periods. Passengers boarded for IT solutions has been negatively impacted by recent customer de-migrations, which has been partially offset by customer growth.</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During the second quarter of 2023, we announced and began to implement a cost reduction plan designed to reposition our business and to structurally reduce our cost base. As a result of this cost reduction plan, we incurred restructuring costs beginning in the second quarter of 2023 associated with our workforce. We estimate that these actions will reduce our operating expense on an annual basis by approximately $200 million. During the year ended December 31, 2023, we incurred $72 million in connection with this business plan, within our consolidated statement of operations. We do not expect additional restructuring charges associated with these activities to be significant.</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believe that we have resources to sufficiently fund our liquidity requirements over at least the next twelve months; however, given the uncertain economic environment and the leveling off of industry air distribution volume growth, we will continue to monitor our liquidity levels and take additional steps should we determine they are necessary. See “—Recent Events Impacting Our Liquidity and Capital Resources” and “—Senior Secured Credit Facilities.” During 2022 and 2023, we refinanced portions of our debt which resulted in higher interest rates than prior years, increasing our current and future interest expense.</w:t>
      </w:r>
    </w:p>
    <w:p>
      <w:pPr>
        <w:spacing w:after="0" w:line="8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March 2022, we terminated our distribution agreement with a Travel Solutions customer located in Russia which impacted our revenue in 2022. In August 2022, Russia adopted legislation and related regulations that, effective October 30, 2022, require activities related to the development, creation and operation of automated information systems for processing domestic air transportation within the Russian Federation to be owned and operated by Russian residents or legal entities with no updates from or connection with systems abroad. A Travel Solutions customer of these types of services located in Russia ceased using our systems on that date. This legislation and these regulations have prohibited our ability to provide these services in Russia, which has negatively impacted and is expected to continue to negatively impact, our revenue and results.</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August 2022, we completed the acquisition of Conferma Limited ("Conferma"), a virtual payments technology company, to expand our investment in technology for the payments ecosystem in the travel industry. We acquired all of the outstanding stock and ownership interest of Conferma, for net cash considerations of $62 million and conversion of a pre-existing loan receivable into share capital. We have consolidated the results of Conferma from the date of acquisition into our Travel Solutions segment, which did not have a material impact on our results of operations. In February 2023, we sold 19% of the share capital of the direct parent company of Conferma to a third party for proceeds of $16 million resulting in a non-controlling interest from that date.</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May 2022, we acquired 8 million shares of Class A Common Stock, par value of $0.0001 per share, of Global Business Travel Group, Inc.(“GBT”) for an aggregate purchase price of $80 million. As of December 31, 2023, we continued to own these 8 million shares. We recognized an unrealized loss of $2 million and $26 million during the years ended December 31, 2023 and 2022, respectively, from the investment in GBT. See Note 12. Fair Value Measurements for further details.</w:t>
      </w:r>
    </w:p>
    <w:p>
      <w:pPr>
        <w:spacing w:after="0" w:line="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On February 28, 2022, we sold our suite of flight and crew management and optimization solutions, which represented our AirCentre airline operations portfolio within Travel Solution’s IT Solutions. We sold the AirCentre product portfolio, related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6"/>
          <w:szCs w:val="16"/>
          <w:color w:val="auto"/>
        </w:rPr>
        <w:t>technology and intellectual property for $392 million and recorded a pre-tax gain on sale of approximately $180 million (after-tax $112 million), in Other, net in our consolidated statements of operations for the year ended December 31, 2022. See Note 3. Acquisitions and Dispositions for further details.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Results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addition to the "—Recent Developments Affecting our Results of Operations" above, the following is a discussion of other trends that we believe are additional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w:t>
      </w:r>
      <w:r>
        <w:rPr>
          <w:rFonts w:ascii="Arial" w:cs="Arial" w:eastAsia="Arial" w:hAnsi="Arial"/>
          <w:sz w:val="16"/>
          <w:szCs w:val="16"/>
          <w:u w:val="single" w:color="auto"/>
          <w:color w:val="0000FF"/>
        </w:rPr>
        <w:t>Forward-Looking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Statements</w:t>
      </w:r>
      <w:r>
        <w:rPr>
          <w:rFonts w:ascii="Arial" w:cs="Arial" w:eastAsia="Arial" w:hAnsi="Arial"/>
          <w:sz w:val="16"/>
          <w:szCs w:val="16"/>
          <w:color w:val="000000"/>
        </w:rPr>
        <w:t>,” and "—Recent Developments Affecting our Results of Operations" included elsewhere in this Annual Report on Form 10-K.</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Continued focus by travel suppliers on distribution methods and cost cutting</w:t>
      </w:r>
    </w:p>
    <w:p>
      <w:pPr>
        <w:spacing w:after="0" w:line="1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Changes in how airlines choose to distribute their content and pricing pressure during contract renegotiations may continue to subject our business to challenges. Travel suppliers continue to look for ways to decrease their costs and to increase their control over distribution. For example, certain travel suppliers have exerted influence on travel agencies with surcharges on bookings that are made through indirect channels, such as our GDS and/or have withheld ancillary fees data from their content available in our GDS. Additionally, the pricing strategy in some global regions for NDC bookings differs from historical patterns, which may impact our revenue growth, as well as incentive consideration, as the number of relative NDC bookings increase over the next few years. These changes may adversely affect our Travel Solutions contract renegotiations with suppliers that use alternative distribution channels. See "Risk Factors—Our Travel Solutions business is exposed to pricing pressure from travel suppliers." and "—Our travel supplier customers may experience financial instability or consolidation, pursue cost reductions, change their distribution model or undergo other changes."</w:t>
      </w:r>
    </w:p>
    <w:p>
      <w:pPr>
        <w:spacing w:after="0" w:line="8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These items have impacted the revenue of Travel Solutions, which recognizes revenue for airline ticket sales based on transaction volumes. Simultaneously, this focus on cost cutting and alternative distribution has also presented opportunities for Travel Solutions. Many airlines have turned to outside providers for key systems, process and industry expertise and other products that assist in their cost cutting initiatives in order to focus on their primary revenue generating activities.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transformation and investments in modernizing our architecture</w:t>
      </w:r>
    </w:p>
    <w:p>
      <w:pPr>
        <w:spacing w:after="0" w:line="206"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6"/>
          <w:szCs w:val="16"/>
          <w:color w:val="auto"/>
        </w:rPr>
        <w:t>During 2023, we began to see benefits from our technology transformation within our Technology costs, and we expect that benefit to continue into 2024 and beyond. We expect continued investment in our technology transformation in 2024, which will have a significant impact on our financial results, but decline over prior year levels. We expect to finalize our re-platforming efforts to open source and cloud-based solutions during the year within this transformation program; however, we continuously focus on identifying improvements to our systems. As previously disclosed, our technology transformation has the goal of modernizing our architecture and is expected to provide us the framework and infrastructure for a more secure and stable architecture for our customers, provide new revenue opportunities, reduce our cost structure and help to improve sales of our software solutions. In 2024, we expect total capital expenditures to total approximately $100 million, primarily associated with capitalized software. Technology costs include the cost of our technology transformation and may be impacted by inflationary impacts in the future.</w:t>
      </w:r>
    </w:p>
    <w:p>
      <w:pPr>
        <w:spacing w:after="0" w:line="84"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expect to continue to benefit from higher margins in 2024 than would have been realized had we not undertaken our technology transformation efforts as we believe the technology transformation has and will help enable us to avoid capital expenditures that would have otherwise been required while also yielding lower cloud infrastructure costs. However, there are various risks associated with our technology transformation efforts, including not achieving the amount of anticipated cost savings, not completing the steps during their current projected time frame, or changing the approach leading to, among other things, additional changes in our mix of technology spend between operating expense and capitalization.</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Geographic mix of travel bookings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 revenue recognized by our Travel Solutions business is affected by the mix between domestic and international travel reservation bookings and the related varying rates paid by airline suppliers. Due to our geographic concentration, our results of operations are particularly sensitive to factors affecting North America. For example, booking fees per transaction in North America have traditionally been lower than those in Europe. Additionally, volume growth in APAC has lagged behind that of other regions in recent years through 2022, but various countries re-opened in 2023 and drove higher bookings at a rate more similar to that of North America. As we continue to invest in our technology and expand the travel content and functionality available in our GDS, we anticipate that we will continue to grow global share. We invest for sustainable share growth, and in certain parts of APAC and Latin America, our share may be impacted by travel agency commercial arrangements we have declined to pursue due to credit risk and unfavorable economics. The geographic mix of our Direct Billable Bookings is summarized below.</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tbl>
      <w:tblPr>
        <w:tblLayout w:type="fixed"/>
        <w:tblInd w:w="178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3"/>
                <w:szCs w:val="13"/>
                <w:b w:val="1"/>
                <w:bCs w:val="1"/>
                <w:color w:val="auto"/>
              </w:rPr>
              <w:t>Year Ended December 31,</w:t>
            </w:r>
          </w:p>
        </w:tc>
      </w:tr>
      <w:tr>
        <w:trPr>
          <w:trHeight w:val="172"/>
        </w:trPr>
        <w:tc>
          <w:tcPr>
            <w:tcW w:w="3240" w:type="dxa"/>
            <w:vAlign w:val="bottom"/>
          </w:tcPr>
          <w:p>
            <w:pPr>
              <w:spacing w:after="0"/>
              <w:rPr>
                <w:sz w:val="14"/>
                <w:szCs w:val="14"/>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2022</w:t>
            </w:r>
          </w:p>
        </w:tc>
      </w:tr>
      <w:tr>
        <w:trPr>
          <w:trHeight w:val="294"/>
        </w:trPr>
        <w:tc>
          <w:tcPr>
            <w:tcW w:w="3240" w:type="dxa"/>
            <w:vAlign w:val="bottom"/>
          </w:tcPr>
          <w:p>
            <w:pPr>
              <w:ind w:left="20"/>
              <w:spacing w:after="0"/>
              <w:rPr>
                <w:sz w:val="20"/>
                <w:szCs w:val="20"/>
                <w:color w:val="auto"/>
              </w:rPr>
            </w:pPr>
            <w:r>
              <w:rPr>
                <w:rFonts w:ascii="Arial" w:cs="Arial" w:eastAsia="Arial" w:hAnsi="Arial"/>
                <w:sz w:val="16"/>
                <w:szCs w:val="16"/>
                <w:color w:val="auto"/>
              </w:rPr>
              <w:t xml:space="preserve">Direct Billable Bookings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EMEA</w:t>
            </w:r>
          </w:p>
        </w:tc>
        <w:tc>
          <w:tcPr>
            <w:tcW w:w="120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Latin America</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r>
      <w:tr>
        <w:trPr>
          <w:trHeight w:val="23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___________________________</w:t>
      </w:r>
    </w:p>
    <w:p>
      <w:pPr>
        <w:spacing w:after="0" w:line="114" w:lineRule="exact"/>
        <w:rPr>
          <w:sz w:val="20"/>
          <w:szCs w:val="20"/>
          <w:color w:val="auto"/>
        </w:rPr>
      </w:pPr>
    </w:p>
    <w:p>
      <w:pPr>
        <w:ind w:left="340" w:hanging="8"/>
        <w:spacing w:after="0" w:line="231" w:lineRule="auto"/>
        <w:tabs>
          <w:tab w:leader="none" w:pos="495"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“Direct Billable Bookings” is the primary metric utilized by Travel Solutions to measure operating performance and includes bookings made through our GDS and through our equity method partners in cases where we are paid directly by the travel supplier.</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interest rates and interest expense</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 global capital markets experienced periods of volatility throughout 2022 and 2023 in response to geopolitical conflict, increases in the rate of inflation, and uncertainty regarding the path of U.S. monetary policy. During 2022 and 2023, we refinanced portions of our debt which resulted in interest rates higher than prior years, increasing current and future interest expense. We may decide to further refinance portions of our debt in 2024 and 2025 which, at current interest rates, could negatively impact our interest expense. Although interest rate increases have recently moderated, they continue to remain volatile, which could drive higher funding costs. Currently approximately 45% of our debt, net of cash and hedging impacts from interest rates swaps, is variable and impacted by changes in interest rates. Excluding the impact of the Senior Secured Term Loan due in 2028, approximately 28% of our debt is variable. See “Risk Factors—We are exposed to interest rate fluctuations.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travel agency incentive consideration</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Travel agency incentive consideration is a large portion of Travel Solutions expenses. The vast majority of incentive consideration is tied to absolute booking volumes based on transactions such as flight segments booked. Incentive consideration, which often increases once a certain volume or percentage of bookings is met, is provided in two ways, according to the terms of the agreement: (i) on a periodic basis over the term of the contract and (ii) in some instances, up front at the inception or modification of contracts, which is capitalized and amortized over the expected life of the contract.</w:t>
      </w:r>
    </w:p>
    <w:p>
      <w:pPr>
        <w:spacing w:after="0" w:line="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Consideration on a per booking basis declined in 2021 as compared to the prior year, due to regional mix and increased leisure bookings over business travel. In 2022 and 2023, consideration on a per booking basis increased as volumes reached and exceeded volume or percentage thresholds, which we expect to continue in 2024. We remain focused on managing incentive consideration and expect growth in the near term. Although incentive rate increases may continue to impact margins, we expect these increases to be offset by growth in Travel Solutions revenue. This expectation is based in part on anticipated increases in international travel, which would favorably impact our revenue rates, along with our continuing to offer value added services and content to travel buyers, such as the Sabre Red Workspace, a SaaS product that provides a simplified interface and enhanced travel agency workflow and productivity tools.</w:t>
      </w:r>
    </w:p>
    <w:p>
      <w:pPr>
        <w:spacing w:after="0" w:line="2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Increasing importance of LCC/hybrids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LCC/hybrids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 yield markets and to higher yield customers, such as business and international travelers. Other LCC/hybrids, especially start up carriers, may choose not to distribute through the GDS until wider distribution is desired. We expect to make additional investments to address the LCC space and continue to grow upmarket with a more competitive offering.</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Shift to SaaS and hosted solutions by airlines and hotels to manage their daily operations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Historically, large travel suppliers built custom in-house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 party solutions providers for many of their key technologies. We believe that significant revenue opportunity remains in this outsourcing trend, as legacy in-house systems continue to migrate and upgrade to third party systems. However, under the SaaS and hosted solutions revenue model, revenue recognition may be delayed due to longer implementation schedules for larger suppliers. The SaaS and hosted models’ centralized deployment also allows us to save time and money by reducing maintenance and implementation tasks and lowering operating costs.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Growing demand for continued technology improvements in the fragmented hotel industry</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Most of the hospitality industry is highly fragmented. Independent hotels and small to medium 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industry. Our SynXis Central Reservation System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9" w:name="page30"/>
    <w:bookmarkEnd w:id="29"/>
    <w:p>
      <w:pPr>
        <w:jc w:val="both"/>
        <w:spacing w:after="0" w:line="265" w:lineRule="auto"/>
        <w:rPr>
          <w:sz w:val="20"/>
          <w:szCs w:val="20"/>
          <w:color w:val="auto"/>
        </w:rPr>
      </w:pPr>
      <w:r>
        <w:rPr>
          <w:rFonts w:ascii="Arial" w:cs="Arial" w:eastAsia="Arial" w:hAnsi="Arial"/>
          <w:sz w:val="16"/>
          <w:szCs w:val="16"/>
          <w:color w:val="auto"/>
        </w:rPr>
        <w:t>integrates critical hospitality systems to optimize distribution, operations, retailing and guest experience via one scalable, flexible and intelligent platform. As these markets grow, we believe both independent and enterprise hotel owners and operators will continue to seek increased connectivity and integrated solutions to ensure access to global travelers. We anticipate that this will contribute to the continued growth of Hospitality Solutions, which is ultimately dependent upon these hoteliers accepting and utilizing our products and services.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Revenues and Expenses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Travel Solutions generates revenues from distribution activities through direct billable bookings processed on our GDS, adjusted for estimated cancellations of those bookings. Travel Solutions also generates revenues from IT solutions activities from its product offerings including reservation systems for full-service and low-cost carriers, commercial and operations products, professional services, agency solutions and booking data. Additionally, Travel Solutions generates revenue through software licensing and maintenance fees. Recognition of license fees upon delivery has previously resulted and will continue to result in periodic fluctuations in revenue recognized.</w:t>
      </w:r>
    </w:p>
    <w:p>
      <w:pPr>
        <w:spacing w:after="0" w:line="64"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Hospitality Solutions generates revenue through upfront solution fees and recurring usage-based fees for the use of our software solutions hosted on secure platforms or deployed through our SaaS and through other professional service fees including Digital Experience (“DX”). Certain professional service fees are discrete sales opportunities that may have a high degree of variability from period to period, and we cannot guarantee that we will have such fees in the future consistent with prior periods.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 excluding technology costs</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Cost of revenue, excluding technology costs, incurred by Travel Solutions and Hospitality Solutions consists primarily of costs associated with the delivery and distribution of our products and services and includes employee-related costs for our delivery, customer operations and call center teams as well as allocated overhead such as facilities and other support costs. Cost of revenue, excluding technology costs, for Travel Solutions also includes incentive consideration expense representing payments or other consideration to travel agencies for reservations made on our GDS which accrue on a monthly basis. Cost of revenue, excluding technology costs, also includes amortization of upfront incentive consideration representing upfront payments or other consideration provided to travel agencies for reservations made on our GDS which are capitalized and amortized over the expected life of the contract. The technology costs excluded from Cost of revenue, excluding technology costs, are presented separately below.</w:t>
      </w:r>
    </w:p>
    <w:p>
      <w:pPr>
        <w:spacing w:after="0" w:line="6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Corporate cost of revenue, excluding technology costs, includes certain expenses such as stock-based compensation, restructuring charges and other corporate related items including labor and professional services that are not identifiable with either of our segments.</w:t>
      </w:r>
    </w:p>
    <w:p>
      <w:pPr>
        <w:spacing w:after="0" w:line="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Depreciation and amortization included in cost of revenue, excluding technology costs, is associated with capitalized implementation costs and intangible assets associated with contracts, supplier and distributor agreements purchased through acquisitions.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Costs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Technology costs incurred by Travel Solutions and Hospitality Solutions consist of expenses related to third-party providers and employee-related costs to operate technology operations including hosting, third-party software, and other costs associated with the maintenance and minor enhancement of our technology. Technology costs also include costs associated with our technology transformation efforts. Technology costs are less variable in nature and therefore may not correlate with related changes in revenue.</w:t>
      </w:r>
    </w:p>
    <w:p>
      <w:pPr>
        <w:spacing w:after="0" w:line="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Corporate technology costs include certain expenses such as stock-based compensation, restructuring charges and other corporate related items including labor and professional services that are not identifiable with either of our segments.</w:t>
      </w:r>
    </w:p>
    <w:p>
      <w:pPr>
        <w:spacing w:after="0" w:line="48"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Depreciation and amortization included in technology costs is associated with software developed for internal use that supports our products, assets supporting our technology platform, businesses and systems and intangible assets for technology purchased through acquisitions.</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Selling, general and administrative expenses consist of professional service fees, certain settlement charges or reimbursements, costs to defend legal disputes, provision for expected credit losses, other overhead costs, and personnel-related expenses, including stock-based compensation, for employees engaged in sales, sales support, account management and who administratively support the business in finance, legal, human resources, information technology and communications.</w:t>
      </w:r>
    </w:p>
    <w:p>
      <w:pPr>
        <w:spacing w:after="0" w:line="6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Depreciation and amortization included in selling, general and administrative expenses is associated with property and equipment, acquired customer relationships, trademarks and brand names purchased through acquisitions or established through the take private transaction in 2007, which includes a remaining useful life of 13 years as of December 31, 2023 for trademarks and brand names.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Intersegment Transactions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left="500"/>
        <w:spacing w:after="0"/>
        <w:rPr>
          <w:sz w:val="20"/>
          <w:szCs w:val="20"/>
          <w:color w:val="auto"/>
        </w:rPr>
      </w:pPr>
      <w:r>
        <w:rPr>
          <w:rFonts w:ascii="Arial" w:cs="Arial" w:eastAsia="Arial" w:hAnsi="Arial"/>
          <w:sz w:val="16"/>
          <w:szCs w:val="16"/>
          <w:color w:val="auto"/>
        </w:rPr>
        <w:t>We account for significant intersegment transactions as if the transactions were with third parties, that is, at estimated current market prices.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Hospitality Solutions pays fees to Travel Solutions for hotel stays booked through our GDS.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Metrics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“Direct billable bookings” and “passengers boarded” are the primary metrics utilized by Travel Solutions to measure operating performance. Travel Solutions generates distribution revenue for each direct billable booking, which includes bookings made through our GDS (e.g., Air, and Lodging, Ground and Sea ("LGS")) and through our equity method investments in cases where we are paid directly by the travel supplier. Air bookings are presented net of bookings cancelled within the period presented. Travel Solutions also recognizes IT solutions revenue from recurring usage-based fees for passengers boarded. The primary metric utilized by Hospitality Solutions is booking transactions processed through the Sabre Hospitality Solutions SynXis Central Reservation System (the “Central Reservation System”). These key metrics allow management to analyze customer volume over time for each of our product lines to monitor industry trends and analyze performance. We believe that these key metrics are useful for investors and other third parties as indicators of our financial performance and industry trends. While these metrics are based on what we believe to be reasonable estimates of our transaction counts for the applicable period of measurement, there are inherent challenges associated with their measurement. In addition, we are continually seeking to improve our estimates of these metrics, and these estimates may change due to improvements or changes in our methodology.</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these key metrics for the periods indicated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640" w:type="dxa"/>
            <w:vAlign w:val="bottom"/>
          </w:tcPr>
          <w:p>
            <w:pPr>
              <w:spacing w:after="0"/>
              <w:rPr>
                <w:sz w:val="14"/>
                <w:szCs w:val="14"/>
                <w:color w:val="auto"/>
              </w:rPr>
            </w:pPr>
          </w:p>
        </w:tc>
        <w:tc>
          <w:tcPr>
            <w:tcW w:w="2400" w:type="dxa"/>
            <w:vAlign w:val="bottom"/>
            <w:gridSpan w:val="5"/>
          </w:tcPr>
          <w:p>
            <w:pPr>
              <w:ind w:left="800"/>
              <w:spacing w:after="0"/>
              <w:rPr>
                <w:sz w:val="20"/>
                <w:szCs w:val="20"/>
                <w:color w:val="auto"/>
              </w:rPr>
            </w:pPr>
            <w:r>
              <w:rPr>
                <w:rFonts w:ascii="Arial" w:cs="Arial" w:eastAsia="Arial" w:hAnsi="Arial"/>
                <w:sz w:val="13"/>
                <w:szCs w:val="13"/>
                <w:b w:val="1"/>
                <w:bCs w:val="1"/>
                <w:color w:val="auto"/>
                <w:w w:val="98"/>
              </w:rPr>
              <w:t>Year Ended 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tcPr>
          <w:p>
            <w:pPr>
              <w:jc w:val="right"/>
              <w:ind w:right="322"/>
              <w:spacing w:after="0"/>
              <w:rPr>
                <w:sz w:val="20"/>
                <w:szCs w:val="20"/>
                <w:color w:val="auto"/>
              </w:rPr>
            </w:pPr>
            <w:r>
              <w:rPr>
                <w:rFonts w:ascii="Arial" w:cs="Arial" w:eastAsia="Arial" w:hAnsi="Arial"/>
                <w:sz w:val="13"/>
                <w:szCs w:val="13"/>
                <w:b w:val="1"/>
                <w:bCs w:val="1"/>
                <w:color w:val="auto"/>
              </w:rPr>
              <w:t>Year-over-Year % Change</w:t>
            </w:r>
          </w:p>
        </w:tc>
      </w:tr>
      <w:tr>
        <w:trPr>
          <w:trHeight w:val="22"/>
        </w:trPr>
        <w:tc>
          <w:tcPr>
            <w:tcW w:w="5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8"/>
        </w:trPr>
        <w:tc>
          <w:tcPr>
            <w:tcW w:w="56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2022</w:t>
            </w:r>
          </w:p>
        </w:tc>
      </w:tr>
      <w:tr>
        <w:trPr>
          <w:trHeight w:val="21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Travel Solutions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640" w:type="dxa"/>
            <w:vAlign w:val="bottom"/>
          </w:tcPr>
          <w:p>
            <w:pPr>
              <w:ind w:left="220"/>
              <w:spacing w:after="0"/>
              <w:rPr>
                <w:sz w:val="20"/>
                <w:szCs w:val="20"/>
                <w:color w:val="auto"/>
              </w:rPr>
            </w:pPr>
            <w:r>
              <w:rPr>
                <w:rFonts w:ascii="Arial" w:cs="Arial" w:eastAsia="Arial" w:hAnsi="Arial"/>
                <w:sz w:val="16"/>
                <w:szCs w:val="16"/>
                <w:color w:val="auto"/>
              </w:rPr>
              <w:t>Direct Billable Bookings - Air</w:t>
            </w:r>
          </w:p>
        </w:tc>
        <w:tc>
          <w:tcPr>
            <w:tcW w:w="960" w:type="dxa"/>
            <w:vAlign w:val="bottom"/>
          </w:tcPr>
          <w:p>
            <w:pPr>
              <w:jc w:val="right"/>
              <w:spacing w:after="0"/>
              <w:rPr>
                <w:sz w:val="20"/>
                <w:szCs w:val="20"/>
                <w:color w:val="auto"/>
              </w:rPr>
            </w:pPr>
            <w:r>
              <w:rPr>
                <w:rFonts w:ascii="Arial" w:cs="Arial" w:eastAsia="Arial" w:hAnsi="Arial"/>
                <w:sz w:val="16"/>
                <w:szCs w:val="16"/>
                <w:color w:val="auto"/>
              </w:rPr>
              <w:t>302,656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260,804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183,629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42.0 %</w:t>
            </w:r>
          </w:p>
        </w:tc>
      </w:tr>
      <w:tr>
        <w:trPr>
          <w:trHeight w:val="217"/>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Billable Bookings - LGS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75.5 %</w:t>
            </w:r>
          </w:p>
        </w:tc>
      </w:tr>
      <w:tr>
        <w:trPr>
          <w:trHeight w:val="215"/>
        </w:trPr>
        <w:tc>
          <w:tcPr>
            <w:tcW w:w="5640" w:type="dxa"/>
            <w:vAlign w:val="bottom"/>
          </w:tcPr>
          <w:p>
            <w:pPr>
              <w:ind w:left="220"/>
              <w:spacing w:after="0"/>
              <w:rPr>
                <w:sz w:val="20"/>
                <w:szCs w:val="20"/>
                <w:color w:val="auto"/>
              </w:rPr>
            </w:pPr>
            <w:r>
              <w:rPr>
                <w:rFonts w:ascii="Arial" w:cs="Arial" w:eastAsia="Arial" w:hAnsi="Arial"/>
                <w:sz w:val="16"/>
                <w:szCs w:val="16"/>
                <w:color w:val="auto"/>
              </w:rPr>
              <w:t>Distribution Total Direct Billable Bookings</w:t>
            </w:r>
          </w:p>
        </w:tc>
        <w:tc>
          <w:tcPr>
            <w:tcW w:w="960" w:type="dxa"/>
            <w:vAlign w:val="bottom"/>
          </w:tcPr>
          <w:p>
            <w:pPr>
              <w:jc w:val="right"/>
              <w:spacing w:after="0"/>
              <w:rPr>
                <w:sz w:val="20"/>
                <w:szCs w:val="20"/>
                <w:color w:val="auto"/>
              </w:rPr>
            </w:pPr>
            <w:r>
              <w:rPr>
                <w:rFonts w:ascii="Arial" w:cs="Arial" w:eastAsia="Arial" w:hAnsi="Arial"/>
                <w:sz w:val="16"/>
                <w:szCs w:val="16"/>
                <w:color w:val="auto"/>
              </w:rPr>
              <w:t>354,709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301,842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207,013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45.8 %</w:t>
            </w:r>
          </w:p>
        </w:tc>
      </w:tr>
      <w:tr>
        <w:trPr>
          <w:trHeight w:val="217"/>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 Solutions Passengers Boarded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688,501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423,838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50.4 %</w:t>
            </w:r>
          </w:p>
        </w:tc>
      </w:tr>
      <w:tr>
        <w:trPr>
          <w:trHeight w:val="162"/>
        </w:trPr>
        <w:tc>
          <w:tcPr>
            <w:tcW w:w="5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Hospitality Solutions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Central Reservations System Transactions</w:t>
            </w:r>
          </w:p>
        </w:tc>
        <w:tc>
          <w:tcPr>
            <w:tcW w:w="960" w:type="dxa"/>
            <w:vAlign w:val="bottom"/>
          </w:tcPr>
          <w:p>
            <w:pPr>
              <w:jc w:val="right"/>
              <w:spacing w:after="0"/>
              <w:rPr>
                <w:sz w:val="20"/>
                <w:szCs w:val="20"/>
                <w:color w:val="auto"/>
              </w:rPr>
            </w:pPr>
            <w:r>
              <w:rPr>
                <w:rFonts w:ascii="Arial" w:cs="Arial" w:eastAsia="Arial" w:hAnsi="Arial"/>
                <w:sz w:val="16"/>
                <w:szCs w:val="16"/>
                <w:color w:val="auto"/>
              </w:rPr>
              <w:t>122,142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111,459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91,802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21.4 %</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Definitions of Non-GAAP Financial Measures</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We have included both financial measures compiled in accordance with GAAP and certain non-GAAP financial measures in this Annual Report on Form 10-K, including Adjusted Operating Income (Loss), Adjusted Net Loss from continuing operations ("Adjusted Net Loss"), Adjusted EBITDA, Free Cash Flow and ratios based on these financial measures.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define Adjusted Operating Income (Loss) as operating income (loss) adjusted for equity method income (loss), impairment and related charges, acquisition-related amortization, restructuring and other costs, acquisition-related costs, litigation costs, net, and stock-based compensation.</w:t>
      </w:r>
    </w:p>
    <w:p>
      <w:pPr>
        <w:spacing w:after="0" w:line="4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We define Adjusted Net Loss as net loss attributable to common stockholders adjusted for loss from discontinued operations, net of tax, net (loss) income attributable to noncontrolling interests, preferred stock dividends, impairment and related charges, acquisition-related amortization, restructuring and other costs, loss on extinguishment of debt, net, other, net, acquisition-related costs, litigation costs, net, stock-based compensation, and the tax impact of adjustments.</w:t>
      </w:r>
    </w:p>
    <w:p>
      <w:pPr>
        <w:spacing w:after="0" w:line="60"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define Adjusted EBITDA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net, acquisition-related costs, litigation costs, net, stock-based compensation and the remaining provision (benefit) for income taxes.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define Free Cash Flow as cash provided by (used in) operating activities reduced by cash used in additions to property and equipment.</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define Adjusted Net Loss from continuing operations per share as Adjusted Net Loss divided by diluted weighted-average common shares outstanding.</w:t>
      </w:r>
    </w:p>
    <w:p>
      <w:pPr>
        <w:spacing w:after="0" w:line="6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fund our investments in technology transformation, and meet working capital requirements. We also believe that Adjusted Operating Income (Loss), Adjusted Net Loss and Adjusted EBITDA</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6"/>
          <w:szCs w:val="16"/>
          <w:color w:val="auto"/>
        </w:rPr>
        <w:t>assist investors in company-to-company and period-to-period comparisons by excluding differences caused by variations in capital structures (affecting interest expense), tax positions and the impact of depreciation and amortization expense.</w:t>
      </w:r>
    </w:p>
    <w:p>
      <w:pPr>
        <w:spacing w:after="0" w:line="6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Adjusted Operating Income (Loss), Adjusted Net Loss, Adjusted EBITDA,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68" w:lineRule="exact"/>
        <w:rPr>
          <w:sz w:val="20"/>
          <w:szCs w:val="20"/>
          <w:color w:val="auto"/>
        </w:rPr>
      </w:pPr>
    </w:p>
    <w:p>
      <w:pPr>
        <w:ind w:left="820" w:hanging="326"/>
        <w:spacing w:after="0" w:line="304" w:lineRule="auto"/>
        <w:tabs>
          <w:tab w:leader="none" w:pos="80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non-GAAP financial measures exclude certain recurring, non-cash charges such as stock-based compensation expense and amortization of acquired intangible assets;</w:t>
      </w:r>
    </w:p>
    <w:p>
      <w:pPr>
        <w:spacing w:after="0" w:line="33"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requirements for such replacements;</w:t>
      </w:r>
    </w:p>
    <w:p>
      <w:pPr>
        <w:spacing w:after="0" w:line="61"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amortization of capitalized implementation costs associated with our revenue contracts, which may require future working capital or cash needs in the future;</w:t>
      </w:r>
    </w:p>
    <w:p>
      <w:pPr>
        <w:spacing w:after="0" w:line="47" w:lineRule="exact"/>
        <w:rPr>
          <w:rFonts w:ascii="Arial" w:cs="Arial" w:eastAsia="Arial" w:hAnsi="Arial"/>
          <w:sz w:val="16"/>
          <w:szCs w:val="16"/>
          <w:color w:val="auto"/>
        </w:rPr>
      </w:pPr>
    </w:p>
    <w:p>
      <w:pPr>
        <w:ind w:left="820" w:right="20" w:hanging="326"/>
        <w:spacing w:after="0" w:line="304" w:lineRule="auto"/>
        <w:tabs>
          <w:tab w:leader="none" w:pos="809"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Operating Income (Loss), Adjusted Net Loss and Adjusted EBITDA do not reflect changes in, or cash requirements for, our working capital needs;</w:t>
      </w:r>
    </w:p>
    <w:p>
      <w:pPr>
        <w:spacing w:after="0" w:line="3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indebtedness;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w:t>
      </w:r>
    </w:p>
    <w:p>
      <w:pPr>
        <w:spacing w:after="0" w:line="11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3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Operating Income (Loss), Adjusted Net Loss, Adjusted EBITDA or Free Cash Flow differently, which reduces their usefulness as comparative measures.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Non-GAAP Financial Measures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reconciliation of Net Loss attributable to common stockholders to Adjusted Net Loss from continuing operations,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(Loss) to Adjusted Operating Income (Loss), and Loss from continuing operations to Adjusted EBITDA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80"/>
        </w:trPr>
        <w:tc>
          <w:tcPr>
            <w:tcW w:w="6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(541,865)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(456,833)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(950,071)</w:t>
            </w: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(Income) loss from discontinued operations, net of tax</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2,532</w:t>
            </w: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Net (loss) income attributable to non-controlling interests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w:t>
            </w:r>
          </w:p>
        </w:tc>
      </w:tr>
      <w:tr>
        <w:trPr>
          <w:trHeight w:val="215"/>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Preferred stock dividends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21,602</w:t>
            </w: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(923,775)</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64,144</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Loss on extinguishment of debt, net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108,577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13,070</w:t>
            </w: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6,744</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w:t>
            </w: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52,015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82,872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120,892</w:t>
            </w: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(8)</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r>
      <w:tr>
        <w:trPr>
          <w:trHeight w:val="209"/>
        </w:trPr>
        <w:tc>
          <w:tcPr>
            <w:tcW w:w="6200" w:type="dxa"/>
            <w:vAlign w:val="bottom"/>
          </w:tcPr>
          <w:p>
            <w:pPr>
              <w:ind w:left="20"/>
              <w:spacing w:after="0"/>
              <w:rPr>
                <w:sz w:val="20"/>
                <w:szCs w:val="20"/>
                <w:color w:val="auto"/>
              </w:rPr>
            </w:pPr>
            <w:r>
              <w:rPr>
                <w:rFonts w:ascii="Arial" w:cs="Arial" w:eastAsia="Arial" w:hAnsi="Arial"/>
                <w:sz w:val="16"/>
                <w:szCs w:val="16"/>
                <w:color w:val="auto"/>
              </w:rPr>
              <w:t>Adjusted Net Loss from continuing operations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(179,697)</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(371,092)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(709,390)</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Loss from continuing operations per share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Diluted weighted-average common shares outstanding</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346,567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326,742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320,922</w:t>
            </w:r>
          </w:p>
        </w:tc>
      </w:tr>
      <w:tr>
        <w:trPr>
          <w:trHeight w:val="217"/>
        </w:trPr>
        <w:tc>
          <w:tcPr>
            <w:tcW w:w="6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47,143</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(261,060)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(665,487)</w:t>
            </w:r>
          </w:p>
        </w:tc>
      </w:tr>
      <w:tr>
        <w:trPr>
          <w:trHeight w:val="21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Equity method income (loss)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64,144</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6,744</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w:t>
            </w:r>
          </w:p>
        </w:tc>
      </w:tr>
      <w:tr>
        <w:trPr>
          <w:trHeight w:val="215"/>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120,892</w:t>
            </w:r>
          </w:p>
        </w:tc>
      </w:tr>
      <w:tr>
        <w:trPr>
          <w:trHeight w:val="23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(Loss)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228,707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(68,042)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(459,317)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6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(923,775)</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163,291</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23,031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34,750</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64,144</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4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447,878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295,231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257,818</w:t>
            </w: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r>
      <w:tr>
        <w:trPr>
          <w:trHeight w:val="215"/>
        </w:trPr>
        <w:tc>
          <w:tcPr>
            <w:tcW w:w="6200" w:type="dxa"/>
            <w:vAlign w:val="bottom"/>
          </w:tcPr>
          <w:p>
            <w:pPr>
              <w:ind w:left="360"/>
              <w:spacing w:after="0"/>
              <w:rPr>
                <w:sz w:val="20"/>
                <w:szCs w:val="20"/>
                <w:color w:val="auto"/>
              </w:rPr>
            </w:pPr>
            <w:r>
              <w:rPr>
                <w:rFonts w:ascii="Arial" w:cs="Arial" w:eastAsia="Arial" w:hAnsi="Arial"/>
                <w:sz w:val="16"/>
                <w:szCs w:val="16"/>
                <w:color w:val="auto"/>
              </w:rPr>
              <w:t>Loss on extinguishment of debt, net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108,577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13,070</w:t>
            </w:r>
          </w:p>
        </w:tc>
      </w:tr>
      <w:tr>
        <w:trPr>
          <w:trHeight w:val="217"/>
        </w:trPr>
        <w:tc>
          <w:tcPr>
            <w:tcW w:w="620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w:t>
            </w:r>
          </w:p>
        </w:tc>
      </w:tr>
      <w:tr>
        <w:trPr>
          <w:trHeight w:val="216"/>
        </w:trPr>
        <w:tc>
          <w:tcPr>
            <w:tcW w:w="6200" w:type="dxa"/>
            <w:vAlign w:val="bottom"/>
          </w:tcPr>
          <w:p>
            <w:pPr>
              <w:ind w:left="36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22,262</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120,892</w:t>
            </w:r>
          </w:p>
        </w:tc>
      </w:tr>
      <w:tr>
        <w:trPr>
          <w:trHeight w:val="215"/>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(14,612)</w:t>
            </w:r>
          </w:p>
        </w:tc>
      </w:tr>
      <w:tr>
        <w:trPr>
          <w:trHeight w:val="235"/>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337,146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65,337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(261,276)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set forth the reconciliation of Adjusted Operating Income (Loss) to Operating Income (Loss) in our statement of operations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to Loss from Continuing Operations in our statement of operations by business segment (in thousands):</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Year Ended December 31, 2023</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Travel</w:t>
            </w:r>
          </w:p>
        </w:tc>
        <w:tc>
          <w:tcPr>
            <w:tcW w:w="2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Hospitality</w:t>
            </w:r>
          </w:p>
        </w:tc>
        <w:tc>
          <w:tcPr>
            <w:tcW w:w="200" w:type="dxa"/>
            <w:vAlign w:val="bottom"/>
          </w:tcPr>
          <w:p>
            <w:pPr>
              <w:spacing w:after="0"/>
              <w:rPr>
                <w:sz w:val="20"/>
                <w:szCs w:val="20"/>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Corporate</w:t>
            </w:r>
          </w:p>
        </w:tc>
        <w:tc>
          <w:tcPr>
            <w:tcW w:w="280" w:type="dxa"/>
            <w:vAlign w:val="bottom"/>
          </w:tcPr>
          <w:p>
            <w:pPr>
              <w:spacing w:after="0"/>
              <w:rPr>
                <w:sz w:val="20"/>
                <w:szCs w:val="20"/>
                <w:color w:val="auto"/>
              </w:rPr>
            </w:pPr>
          </w:p>
        </w:tc>
        <w:tc>
          <w:tcPr>
            <w:tcW w:w="920" w:type="dxa"/>
            <w:vAlign w:val="bottom"/>
            <w:vMerge w:val="restart"/>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Solutions</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Solutions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Income (Loss)</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474,969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(234,976)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228,707</w:t>
            </w:r>
          </w:p>
        </w:tc>
        <w:tc>
          <w:tcPr>
            <w:tcW w:w="0" w:type="dxa"/>
            <w:vAlign w:val="bottom"/>
          </w:tcPr>
          <w:p>
            <w:pPr>
              <w:spacing w:after="0"/>
              <w:rPr>
                <w:sz w:val="1"/>
                <w:szCs w:val="1"/>
                <w:color w:val="auto"/>
              </w:rPr>
            </w:pPr>
          </w:p>
        </w:tc>
      </w:tr>
      <w:tr>
        <w:trPr>
          <w:trHeight w:val="215"/>
        </w:trPr>
        <w:tc>
          <w:tcPr>
            <w:tcW w:w="5140" w:type="dxa"/>
            <w:vAlign w:val="bottom"/>
          </w:tcPr>
          <w:p>
            <w:pPr>
              <w:ind w:left="20"/>
              <w:spacing w:after="0"/>
              <w:rPr>
                <w:sz w:val="20"/>
                <w:szCs w:val="20"/>
                <w:color w:val="auto"/>
              </w:rPr>
            </w:pPr>
            <w:r>
              <w:rPr>
                <w:rFonts w:ascii="Arial" w:cs="Arial" w:eastAsia="Arial" w:hAnsi="Arial"/>
                <w:sz w:val="16"/>
                <w:szCs w:val="16"/>
                <w:color w:val="auto"/>
              </w:rPr>
              <w:t>Less: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Equity method income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40,237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40,237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72,096</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0" w:type="dxa"/>
            <w:vAlign w:val="bottom"/>
          </w:tcPr>
          <w:p>
            <w:pPr>
              <w:spacing w:after="0"/>
              <w:rPr>
                <w:sz w:val="1"/>
                <w:szCs w:val="1"/>
                <w:color w:val="auto"/>
              </w:rPr>
            </w:pPr>
          </w:p>
        </w:tc>
      </w:tr>
      <w:tr>
        <w:trPr>
          <w:trHeight w:val="215"/>
        </w:trPr>
        <w:tc>
          <w:tcPr>
            <w:tcW w:w="5140" w:type="dxa"/>
            <w:vAlign w:val="bottom"/>
          </w:tcPr>
          <w:p>
            <w:pPr>
              <w:ind w:left="48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52,015</w:t>
            </w:r>
          </w:p>
        </w:tc>
        <w:tc>
          <w:tcPr>
            <w:tcW w:w="0" w:type="dxa"/>
            <w:vAlign w:val="bottom"/>
          </w:tcPr>
          <w:p>
            <w:pPr>
              <w:spacing w:after="0"/>
              <w:rPr>
                <w:sz w:val="1"/>
                <w:szCs w:val="1"/>
                <w:color w:val="auto"/>
              </w:rPr>
            </w:pPr>
          </w:p>
        </w:tc>
      </w:tr>
      <w:tr>
        <w:trPr>
          <w:trHeight w:val="234"/>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472,927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558,183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337,146</w:t>
            </w:r>
          </w:p>
        </w:tc>
        <w:tc>
          <w:tcPr>
            <w:tcW w:w="0" w:type="dxa"/>
            <w:vAlign w:val="bottom"/>
          </w:tcPr>
          <w:p>
            <w:pPr>
              <w:spacing w:after="0"/>
              <w:rPr>
                <w:sz w:val="1"/>
                <w:szCs w:val="1"/>
                <w:color w:val="auto"/>
              </w:rPr>
            </w:pPr>
          </w:p>
        </w:tc>
      </w:tr>
      <w:tr>
        <w:trPr>
          <w:trHeight w:val="215"/>
        </w:trPr>
        <w:tc>
          <w:tcPr>
            <w:tcW w:w="5140" w:type="dxa"/>
            <w:vAlign w:val="bottom"/>
          </w:tcPr>
          <w:p>
            <w:pPr>
              <w:ind w:left="20"/>
              <w:spacing w:after="0"/>
              <w:rPr>
                <w:sz w:val="20"/>
                <w:szCs w:val="20"/>
                <w:color w:val="auto"/>
              </w:rPr>
            </w:pPr>
            <w:r>
              <w:rPr>
                <w:rFonts w:ascii="Arial" w:cs="Arial" w:eastAsia="Arial" w:hAnsi="Arial"/>
                <w:sz w:val="16"/>
                <w:szCs w:val="16"/>
                <w:color w:val="auto"/>
              </w:rPr>
              <w:t>Less: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80"/>
              <w:spacing w:after="0" w:line="217"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65,814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85,408</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17,400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23,031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40,237</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72,096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72,096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12,838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52,015</w:t>
            </w:r>
          </w:p>
        </w:tc>
        <w:tc>
          <w:tcPr>
            <w:tcW w:w="0" w:type="dxa"/>
            <w:vAlign w:val="bottom"/>
          </w:tcPr>
          <w:p>
            <w:pPr>
              <w:spacing w:after="0"/>
              <w:rPr>
                <w:sz w:val="1"/>
                <w:szCs w:val="1"/>
                <w:color w:val="auto"/>
              </w:rPr>
            </w:pPr>
          </w:p>
        </w:tc>
      </w:tr>
      <w:tr>
        <w:trPr>
          <w:trHeight w:val="215"/>
        </w:trPr>
        <w:tc>
          <w:tcPr>
            <w:tcW w:w="5140" w:type="dxa"/>
            <w:vAlign w:val="bottom"/>
          </w:tcPr>
          <w:p>
            <w:pPr>
              <w:ind w:left="480"/>
              <w:spacing w:after="0"/>
              <w:rPr>
                <w:sz w:val="20"/>
                <w:szCs w:val="20"/>
                <w:color w:val="auto"/>
              </w:rPr>
            </w:pPr>
            <w:r>
              <w:rPr>
                <w:rFonts w:ascii="Arial" w:cs="Arial" w:eastAsia="Arial" w:hAnsi="Arial"/>
                <w:sz w:val="16"/>
                <w:szCs w:val="16"/>
                <w:color w:val="auto"/>
              </w:rPr>
              <w:t>Equity method income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35"/>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472,927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(414,498)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47,143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6"/>
                <w:szCs w:val="16"/>
                <w:color w:val="auto"/>
              </w:rPr>
              <w:t>Interest expense, net</w:t>
            </w: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(447,878)</w:t>
            </w:r>
          </w:p>
        </w:tc>
        <w:tc>
          <w:tcPr>
            <w:tcW w:w="0" w:type="dxa"/>
            <w:vAlign w:val="bottom"/>
          </w:tcPr>
          <w:p>
            <w:pPr>
              <w:spacing w:after="0" w:line="20" w:lineRule="exact"/>
              <w:rPr>
                <w:sz w:val="1"/>
                <w:szCs w:val="1"/>
                <w:color w:val="auto"/>
              </w:rPr>
            </w:pPr>
          </w:p>
        </w:tc>
      </w:tr>
      <w:tr>
        <w:trPr>
          <w:trHeight w:val="162"/>
        </w:trPr>
        <w:tc>
          <w:tcPr>
            <w:tcW w:w="51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80"/>
              <w:spacing w:after="0" w:line="217"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13,751</w:t>
            </w:r>
          </w:p>
        </w:tc>
        <w:tc>
          <w:tcPr>
            <w:tcW w:w="0" w:type="dxa"/>
            <w:vAlign w:val="bottom"/>
          </w:tcPr>
          <w:p>
            <w:pPr>
              <w:spacing w:after="0"/>
              <w:rPr>
                <w:sz w:val="1"/>
                <w:szCs w:val="1"/>
                <w:color w:val="auto"/>
              </w:rPr>
            </w:pPr>
          </w:p>
        </w:tc>
      </w:tr>
      <w:tr>
        <w:trPr>
          <w:trHeight w:val="215"/>
        </w:trPr>
        <w:tc>
          <w:tcPr>
            <w:tcW w:w="5140" w:type="dxa"/>
            <w:vAlign w:val="bottom"/>
          </w:tcPr>
          <w:p>
            <w:pPr>
              <w:ind w:left="480"/>
              <w:spacing w:after="0"/>
              <w:rPr>
                <w:sz w:val="20"/>
                <w:szCs w:val="20"/>
                <w:color w:val="auto"/>
              </w:rPr>
            </w:pPr>
            <w:r>
              <w:rPr>
                <w:rFonts w:ascii="Arial" w:cs="Arial" w:eastAsia="Arial" w:hAnsi="Arial"/>
                <w:sz w:val="16"/>
                <w:szCs w:val="16"/>
                <w:color w:val="auto"/>
              </w:rPr>
              <w:t>Loss on extinguishment of debt,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(108,577)</w:t>
            </w: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Equity method income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15"/>
        </w:trPr>
        <w:tc>
          <w:tcPr>
            <w:tcW w:w="51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(34,729)</w:t>
            </w:r>
          </w:p>
        </w:tc>
        <w:tc>
          <w:tcPr>
            <w:tcW w:w="0" w:type="dxa"/>
            <w:vAlign w:val="bottom"/>
          </w:tcPr>
          <w:p>
            <w:pPr>
              <w:spacing w:after="0"/>
              <w:rPr>
                <w:sz w:val="1"/>
                <w:szCs w:val="1"/>
                <w:color w:val="auto"/>
              </w:rPr>
            </w:pPr>
          </w:p>
        </w:tc>
      </w:tr>
      <w:tr>
        <w:trPr>
          <w:trHeight w:val="23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(528,248)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299"/>
              <w:spacing w:after="0"/>
              <w:rPr>
                <w:sz w:val="20"/>
                <w:szCs w:val="20"/>
                <w:color w:val="auto"/>
              </w:rPr>
            </w:pPr>
            <w:r>
              <w:rPr>
                <w:rFonts w:ascii="Arial" w:cs="Arial" w:eastAsia="Arial" w:hAnsi="Arial"/>
                <w:sz w:val="16"/>
                <w:szCs w:val="16"/>
                <w:color w:val="auto"/>
              </w:rPr>
              <w:t>32</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51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Year Ended December 31, 2022</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3"/>
              </w:rPr>
              <w:t>Travel</w:t>
            </w:r>
          </w:p>
        </w:tc>
        <w:tc>
          <w:tcPr>
            <w:tcW w:w="18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Hospitality</w:t>
            </w:r>
          </w:p>
        </w:tc>
        <w:tc>
          <w:tcPr>
            <w:tcW w:w="22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Corporate</w:t>
            </w:r>
          </w:p>
        </w:tc>
        <w:tc>
          <w:tcPr>
            <w:tcW w:w="28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Solutions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Solutions</w:t>
            </w: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Operating Income (Loss)</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213,290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(229,753)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Less: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method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0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0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4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Operating income (loss)</w:t>
            </w:r>
          </w:p>
        </w:tc>
        <w:tc>
          <w:tcPr>
            <w:tcW w:w="8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212,604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(51,579)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(422,085)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5"/>
                <w:szCs w:val="15"/>
                <w:color w:val="auto"/>
              </w:rPr>
            </w:pPr>
          </w:p>
        </w:tc>
        <w:tc>
          <w:tcPr>
            <w:tcW w:w="49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Adjusted EBITDA</w:t>
            </w:r>
          </w:p>
        </w:tc>
        <w:tc>
          <w:tcPr>
            <w:tcW w:w="11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323,803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(29,794)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(228,672)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65,337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Less: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00"/>
              <w:spacing w:after="0" w:line="216"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16,715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(2)</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tcPr>
          <w:p>
            <w:pPr>
              <w:ind w:left="20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6"/>
                <w:szCs w:val="16"/>
                <w:color w:val="auto"/>
              </w:rPr>
              <w:t>Equity method income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(422,085)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(261,060)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Interest expense, net</w:t>
            </w: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(295,231)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49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method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Provision for income taxes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continuing operations</w:t>
            </w: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99"/>
              <w:spacing w:after="0"/>
              <w:rPr>
                <w:sz w:val="20"/>
                <w:szCs w:val="20"/>
                <w:color w:val="auto"/>
              </w:rPr>
            </w:pPr>
            <w:r>
              <w:rPr>
                <w:rFonts w:ascii="Arial" w:cs="Arial" w:eastAsia="Arial" w:hAnsi="Arial"/>
                <w:sz w:val="16"/>
                <w:szCs w:val="16"/>
                <w:color w:val="auto"/>
              </w:rPr>
              <w:t>33</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tbl>
      <w:tblPr>
        <w:tblLayout w:type="fixed"/>
        <w:tblInd w:w="4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Year Ended December 31, 2021</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3"/>
              </w:rPr>
              <w:t>Travel</w:t>
            </w:r>
          </w:p>
        </w:tc>
        <w:tc>
          <w:tcPr>
            <w:tcW w:w="20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Hospitality</w:t>
            </w:r>
          </w:p>
        </w:tc>
        <w:tc>
          <w:tcPr>
            <w:tcW w:w="22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980" w:type="dxa"/>
            <w:vAlign w:val="bottom"/>
            <w:vMerge w:val="restart"/>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Solutions</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Solutions</w:t>
            </w: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Operating Loss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(222,679)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(39,806)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(196,832)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(459,317)</w:t>
            </w: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method loss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64,144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64,144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6,744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w:t>
            </w:r>
          </w:p>
        </w:tc>
        <w:tc>
          <w:tcPr>
            <w:tcW w:w="0" w:type="dxa"/>
            <w:vAlign w:val="bottom"/>
          </w:tcPr>
          <w:p>
            <w:pPr>
              <w:spacing w:after="0"/>
              <w:rPr>
                <w:sz w:val="1"/>
                <w:szCs w:val="1"/>
                <w:color w:val="auto"/>
              </w:rPr>
            </w:pPr>
          </w:p>
        </w:tc>
      </w:tr>
      <w:tr>
        <w:trPr>
          <w:trHeight w:val="215"/>
        </w:trPr>
        <w:tc>
          <w:tcPr>
            <w:tcW w:w="57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120,892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120,892</w:t>
            </w:r>
          </w:p>
        </w:tc>
        <w:tc>
          <w:tcPr>
            <w:tcW w:w="0" w:type="dxa"/>
            <w:vAlign w:val="bottom"/>
          </w:tcPr>
          <w:p>
            <w:pPr>
              <w:spacing w:after="0"/>
              <w:rPr>
                <w:sz w:val="1"/>
                <w:szCs w:val="1"/>
                <w:color w:val="auto"/>
              </w:rPr>
            </w:pPr>
          </w:p>
        </w:tc>
      </w:tr>
      <w:tr>
        <w:trPr>
          <w:trHeight w:val="234"/>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(222,415)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(665,487)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(261,276)</w:t>
            </w: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00"/>
              <w:spacing w:after="0" w:line="217" w:lineRule="exact"/>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(3b)</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140,231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163,291</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line="216"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(3c)</w:t>
            </w:r>
          </w:p>
        </w:tc>
        <w:tc>
          <w:tcPr>
            <w:tcW w:w="2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30,442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4,308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34,750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(3a)</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64,144</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w:t>
            </w: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(7)</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22,262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22,262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120,892</w:t>
            </w:r>
          </w:p>
        </w:tc>
        <w:tc>
          <w:tcPr>
            <w:tcW w:w="0" w:type="dxa"/>
            <w:vAlign w:val="bottom"/>
          </w:tcPr>
          <w:p>
            <w:pPr>
              <w:spacing w:after="0"/>
              <w:rPr>
                <w:sz w:val="1"/>
                <w:szCs w:val="1"/>
                <w:color w:val="auto"/>
              </w:rPr>
            </w:pPr>
          </w:p>
        </w:tc>
      </w:tr>
      <w:tr>
        <w:trPr>
          <w:trHeight w:val="215"/>
        </w:trPr>
        <w:tc>
          <w:tcPr>
            <w:tcW w:w="5740" w:type="dxa"/>
            <w:vAlign w:val="bottom"/>
          </w:tcPr>
          <w:p>
            <w:pPr>
              <w:ind w:left="220"/>
              <w:spacing w:after="0"/>
              <w:rPr>
                <w:sz w:val="20"/>
                <w:szCs w:val="20"/>
                <w:color w:val="auto"/>
              </w:rPr>
            </w:pPr>
            <w:r>
              <w:rPr>
                <w:rFonts w:ascii="Arial" w:cs="Arial" w:eastAsia="Arial" w:hAnsi="Arial"/>
                <w:sz w:val="16"/>
                <w:szCs w:val="16"/>
                <w:color w:val="auto"/>
              </w:rPr>
              <w:t>Equity method loss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5"/>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(222,415)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(665,487)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Interest expense,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(257,818)</w:t>
            </w:r>
          </w:p>
        </w:tc>
        <w:tc>
          <w:tcPr>
            <w:tcW w:w="0" w:type="dxa"/>
            <w:vAlign w:val="bottom"/>
          </w:tcPr>
          <w:p>
            <w:pPr>
              <w:spacing w:after="0" w:line="20" w:lineRule="exact"/>
              <w:rPr>
                <w:sz w:val="1"/>
                <w:szCs w:val="1"/>
                <w:color w:val="auto"/>
              </w:rPr>
            </w:pPr>
          </w:p>
        </w:tc>
      </w:tr>
      <w:tr>
        <w:trPr>
          <w:trHeight w:val="162"/>
        </w:trPr>
        <w:tc>
          <w:tcPr>
            <w:tcW w:w="5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215"/>
        </w:trPr>
        <w:tc>
          <w:tcPr>
            <w:tcW w:w="574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(13,070)</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loss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Benefit for income taxes</w:t>
            </w:r>
          </w:p>
        </w:tc>
        <w:tc>
          <w:tcPr>
            <w:tcW w:w="2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14,612</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(923,775)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following tables present information from our statements of cash flows and set forth the reconciliation of Free Cash Flow to cash provided by operating activities, the most directly comparable GAAP measure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3"/>
                <w:szCs w:val="13"/>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r>
      <w:tr>
        <w:trPr>
          <w:trHeight w:val="183"/>
        </w:trPr>
        <w:tc>
          <w:tcPr>
            <w:tcW w:w="7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2021</w:t>
            </w:r>
          </w:p>
        </w:tc>
      </w:tr>
      <w:tr>
        <w:trPr>
          <w:trHeight w:val="21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(414,654)</w:t>
            </w: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Cash (used in) provided by investing activities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(109,980)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173,977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(29,428)</w:t>
            </w: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(50,558)</w:t>
            </w:r>
          </w:p>
        </w:tc>
      </w:tr>
      <w:tr>
        <w:trPr>
          <w:trHeight w:val="401"/>
        </w:trPr>
        <w:tc>
          <w:tcPr>
            <w:tcW w:w="7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3"/>
                <w:szCs w:val="13"/>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r>
      <w:tr>
        <w:trPr>
          <w:trHeight w:val="183"/>
        </w:trPr>
        <w:tc>
          <w:tcPr>
            <w:tcW w:w="7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2021</w:t>
            </w:r>
          </w:p>
        </w:tc>
      </w:tr>
      <w:tr>
        <w:trPr>
          <w:trHeight w:val="21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(414,654)</w:t>
            </w:r>
          </w:p>
        </w:tc>
      </w:tr>
      <w:tr>
        <w:trPr>
          <w:trHeight w:val="215"/>
        </w:trPr>
        <w:tc>
          <w:tcPr>
            <w:tcW w:w="76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Additions to property and equipment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(54,302)</w:t>
            </w:r>
          </w:p>
        </w:tc>
      </w:tr>
      <w:tr>
        <w:trPr>
          <w:trHeight w:val="23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(31,184)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(345,952)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(468,956)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107" w:lineRule="exact"/>
        <w:rPr>
          <w:sz w:val="20"/>
          <w:szCs w:val="20"/>
          <w:color w:val="auto"/>
        </w:rPr>
      </w:pPr>
    </w:p>
    <w:p>
      <w:pPr>
        <w:jc w:val="both"/>
        <w:ind w:left="340" w:hanging="332"/>
        <w:spacing w:after="0" w:line="268"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income attributable to noncontrolling interests represents an adjustment to include earnings allocated to noncontrolling interests held in (i) Sabre Travel Network Middle East of 40%, (ii) Sabre Seyahat Dagitim Sistemleri A.S. of 40%, (iii) Sabre Travel Network Lanka (Pte) Ltd of 40%, (iv) Sabre Bulgaria of 40%, and (v) FERMR Holdings Limited (the direct parent of Conferma) of 19%.</w:t>
      </w:r>
    </w:p>
    <w:p>
      <w:pPr>
        <w:spacing w:after="0" w:line="1"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Impairment and related charges in 2022 represents a $5 million impairment charge associated with the impact of regulatory changes in Russia on the future recoverability of certain assets.</w:t>
      </w: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Depreciation and amortization expenses:</w:t>
      </w:r>
    </w:p>
    <w:p>
      <w:pPr>
        <w:spacing w:after="0" w:line="14" w:lineRule="exact"/>
        <w:rPr>
          <w:rFonts w:ascii="Arial" w:cs="Arial" w:eastAsia="Arial" w:hAnsi="Arial"/>
          <w:sz w:val="14"/>
          <w:szCs w:val="14"/>
          <w:color w:val="auto"/>
        </w:rPr>
      </w:pPr>
    </w:p>
    <w:p>
      <w:pPr>
        <w:ind w:left="980" w:right="20" w:hanging="324"/>
        <w:spacing w:after="0" w:line="261" w:lineRule="auto"/>
        <w:tabs>
          <w:tab w:leader="none" w:pos="978" w:val="left"/>
        </w:tabs>
        <w:numPr>
          <w:ilvl w:val="1"/>
          <w:numId w:val="9"/>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ind w:left="980" w:hanging="324"/>
        <w:spacing w:after="0"/>
        <w:tabs>
          <w:tab w:leader="none" w:pos="980" w:val="left"/>
        </w:tabs>
        <w:numPr>
          <w:ilvl w:val="1"/>
          <w:numId w:val="9"/>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includes software developed for internal use as well as amortization of contract acquisition costs.</w:t>
      </w:r>
    </w:p>
    <w:p>
      <w:pPr>
        <w:spacing w:after="0" w:line="14" w:lineRule="exact"/>
        <w:rPr>
          <w:rFonts w:ascii="Arial" w:cs="Arial" w:eastAsia="Arial" w:hAnsi="Arial"/>
          <w:sz w:val="14"/>
          <w:szCs w:val="14"/>
          <w:color w:val="auto"/>
        </w:rPr>
      </w:pPr>
    </w:p>
    <w:p>
      <w:pPr>
        <w:ind w:left="980" w:hanging="324"/>
        <w:spacing w:after="0" w:line="251" w:lineRule="auto"/>
        <w:tabs>
          <w:tab w:leader="none" w:pos="970" w:val="left"/>
        </w:tabs>
        <w:numPr>
          <w:ilvl w:val="1"/>
          <w:numId w:val="9"/>
        </w:numPr>
        <w:rPr>
          <w:rFonts w:ascii="Arial" w:cs="Arial" w:eastAsia="Arial" w:hAnsi="Arial"/>
          <w:sz w:val="14"/>
          <w:szCs w:val="14"/>
          <w:color w:val="auto"/>
        </w:rPr>
      </w:pPr>
      <w:r>
        <w:rPr>
          <w:rFonts w:ascii="Arial" w:cs="Arial" w:eastAsia="Arial" w:hAnsi="Arial"/>
          <w:sz w:val="14"/>
          <w:szCs w:val="14"/>
          <w:color w:val="auto"/>
        </w:rPr>
        <w:t>Amortization of capitalized implementation costs represents amortization of upfront costs to implement new customer contracts under our SaaS and hosted revenue model.</w:t>
      </w:r>
    </w:p>
    <w:p>
      <w:pPr>
        <w:ind w:left="340" w:right="20" w:hanging="332"/>
        <w:spacing w:after="0" w:line="284"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net includes a $180 million gain on the sale of AirCentre during 2022, the impacts of fair value adjustments of our GBT investment in 2023 and 2022, and a $15 million gain on sale of equity securities in 2021. In addition, 2022 and 2021 include pension settlement charges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6" w:name="page37"/>
    <w:bookmarkEnd w:id="36"/>
    <w:p>
      <w:pPr>
        <w:jc w:val="both"/>
        <w:ind w:left="340"/>
        <w:spacing w:after="0" w:line="255" w:lineRule="auto"/>
        <w:rPr>
          <w:sz w:val="20"/>
          <w:szCs w:val="20"/>
          <w:color w:val="auto"/>
        </w:rPr>
      </w:pPr>
      <w:r>
        <w:rPr>
          <w:rFonts w:ascii="Arial" w:cs="Arial" w:eastAsia="Arial" w:hAnsi="Arial"/>
          <w:sz w:val="14"/>
          <w:szCs w:val="14"/>
          <w:color w:val="auto"/>
        </w:rPr>
        <w:t>and all periods presented include foreign exchange gains and losses related to the remeasurement of foreign currency denominated balances included in our consolidated balance sheets into the relevant functional currency. See Note 3. Acquisitions and Dispositions to our consolidated financial statements regarding the AirCentre sale and Note 17. Pension and Other Postretirement Benefit Plans to our consolidated financial statements regarding the pension settlements.</w:t>
      </w:r>
    </w:p>
    <w:p>
      <w:pPr>
        <w:ind w:left="340" w:right="300" w:hanging="332"/>
        <w:spacing w:after="0" w:line="248"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Restructuring and other costs in 2023 primarily represents charges associated with our cost reduction plan implemented in the second quarter of 2023. See Note 5. Restructuring Activities to our consolidated financial statements. During 2022, charges, and adjustments to those charges, were recorded associated with planning and implementing business restructuring activities, including costs associated with third party consultants advising on our business structure and strategy.</w:t>
      </w: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Acquisition-related costs represent fees and expenses incurred associated with acquisition and disposition-related activities.</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Litigation costs, net represent charges associated with antitrust litigation and other foreign non-income tax contingency matters. See Note 18. Commitments and Contingencies to our consolidated financial statements.</w:t>
      </w:r>
    </w:p>
    <w:p>
      <w:pPr>
        <w:ind w:left="340" w:hanging="332"/>
        <w:spacing w:after="0" w:line="264"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our consolidated statement of operations data for each of the periods presented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2,907,738</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2,537,015</w:t>
            </w:r>
          </w:p>
        </w:tc>
        <w:tc>
          <w:tcPr>
            <w:tcW w:w="10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1,688,875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1,189,606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1,040,819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691,451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Technology costs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1,036,596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1,096,097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1,052,833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634,393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661,159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610,078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78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47,143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(261,060)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(665,487)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(257,818)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Loss on debt extinguishment, net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(108,577)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(13,070)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income (loss)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13,751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136,645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 before income taxes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(493,519)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(938,387)</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2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34,729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8,666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(528,248)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(432,099)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(923,775)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Years Ended December 31, 2023 and 2022</w:t>
            </w: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40" w:type="dxa"/>
            <w:vAlign w:val="bottom"/>
          </w:tcPr>
          <w:p>
            <w:pPr>
              <w:spacing w:after="0"/>
              <w:rPr>
                <w:sz w:val="24"/>
                <w:szCs w:val="24"/>
                <w:color w:val="auto"/>
              </w:rPr>
            </w:pPr>
          </w:p>
        </w:tc>
        <w:tc>
          <w:tcPr>
            <w:tcW w:w="5780" w:type="dxa"/>
            <w:vAlign w:val="bottom"/>
          </w:tcPr>
          <w:p>
            <w:pPr>
              <w:ind w:left="460"/>
              <w:spacing w:after="0"/>
              <w:rPr>
                <w:sz w:val="20"/>
                <w:szCs w:val="20"/>
                <w:color w:val="auto"/>
              </w:rPr>
            </w:pPr>
            <w:r>
              <w:rPr>
                <w:rFonts w:ascii="Arial" w:cs="Arial" w:eastAsia="Arial" w:hAnsi="Arial"/>
                <w:sz w:val="16"/>
                <w:szCs w:val="16"/>
                <w:i w:val="1"/>
                <w:iCs w:val="1"/>
                <w:color w:val="auto"/>
              </w:rPr>
              <w:t>Revenue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437"/>
              <w:spacing w:after="0"/>
              <w:rPr>
                <w:sz w:val="20"/>
                <w:szCs w:val="20"/>
                <w:color w:val="auto"/>
              </w:rPr>
            </w:pPr>
            <w:r>
              <w:rPr>
                <w:rFonts w:ascii="Arial" w:cs="Arial" w:eastAsia="Arial" w:hAnsi="Arial"/>
                <w:sz w:val="13"/>
                <w:szCs w:val="13"/>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rPr>
              <w:t>Change</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6"/>
          </w:tcPr>
          <w:p>
            <w:pPr>
              <w:jc w:val="right"/>
              <w:ind w:right="557"/>
              <w:spacing w:after="0"/>
              <w:rPr>
                <w:sz w:val="20"/>
                <w:szCs w:val="20"/>
                <w:color w:val="auto"/>
              </w:rPr>
            </w:pPr>
            <w:r>
              <w:rPr>
                <w:rFonts w:ascii="Arial" w:cs="Arial" w:eastAsia="Arial" w:hAnsi="Arial"/>
                <w:sz w:val="13"/>
                <w:szCs w:val="13"/>
                <w:color w:val="auto"/>
              </w:rPr>
              <w:t>(Amounts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2,642,077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2,311,275</w:t>
            </w:r>
          </w:p>
        </w:tc>
        <w:tc>
          <w:tcPr>
            <w:tcW w:w="3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Hospitality Solutions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304,169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254,620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49,549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segment revenue</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2,946,246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2,565,895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(38,508)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(28,880)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34"/>
        </w:trPr>
        <w:tc>
          <w:tcPr>
            <w:tcW w:w="40" w:type="dxa"/>
            <w:vAlign w:val="bottom"/>
            <w:tcBorders>
              <w:right w:val="single" w:sz="8" w:color="CCEEFF"/>
            </w:tcBorders>
          </w:tcPr>
          <w:p>
            <w:pPr>
              <w:spacing w:after="0"/>
              <w:rPr>
                <w:sz w:val="19"/>
                <w:szCs w:val="19"/>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2,907,738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2,537,015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370,723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—Revenue increased $331 million, or 14%, for the year ended December 31, 2023 compared to the prior year, primarily due to:</w:t>
      </w:r>
    </w:p>
    <w:p>
      <w:pPr>
        <w:spacing w:after="0" w:line="21" w:lineRule="exact"/>
        <w:rPr>
          <w:sz w:val="20"/>
          <w:szCs w:val="20"/>
          <w:color w:val="auto"/>
        </w:rPr>
      </w:pPr>
    </w:p>
    <w:p>
      <w:pPr>
        <w:ind w:left="660" w:hanging="328"/>
        <w:spacing w:after="0" w:line="283" w:lineRule="auto"/>
        <w:tabs>
          <w:tab w:leader="none" w:pos="649"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a $434 million, or 27%, increase in distribution revenue, which was primarily due to a 18% increase in direct billable bookings to 355 million and favorable rate impacts from improved international and corporate bookings; and</w:t>
      </w:r>
    </w:p>
    <w:p>
      <w:pPr>
        <w:spacing w:after="0" w:line="184" w:lineRule="exact"/>
        <w:rPr>
          <w:rFonts w:ascii="Arial" w:cs="Arial" w:eastAsia="Arial" w:hAnsi="Arial"/>
          <w:sz w:val="16"/>
          <w:szCs w:val="16"/>
          <w:b w:val="1"/>
          <w:bCs w:val="1"/>
          <w:color w:val="auto"/>
        </w:rPr>
      </w:pPr>
    </w:p>
    <w:p>
      <w:pPr>
        <w:jc w:val="both"/>
        <w:ind w:left="660" w:hanging="328"/>
        <w:spacing w:after="0" w:line="261" w:lineRule="auto"/>
        <w:tabs>
          <w:tab w:leader="none" w:pos="649"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an $104 million, or 15%, decrease in IT solutions revenue consisting of approximately $100 million decrease as a result of de-migrations, primarily due to changes in Russian law and impacts of termination fees in both periods from certain carriers and a $2 million decline in the recognition of previously deferred revenue comprised of a $27 million decrease primarily due to a change in facts and circumstances associated with a Russian carrier in the prior year, offset by $25 million recognized in the current year, which we do not expect to reoccur. In addition, we incurred a $36 million decrease due to the sale of our AirCentre portfolio on February 28, 2022. These decreases were partially offset by a $28 million increase in revenue due to an 8% increase in passengers boarded to 689 million.</w:t>
      </w:r>
    </w:p>
    <w:p>
      <w:pPr>
        <w:spacing w:after="0" w:line="8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—Revenue increased $50 million, or 19%, for the year ended December 31, 2023 compared to the prior year.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driven by a $48 million increase in SynXis Software and Services revenue due to an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right="20"/>
        <w:spacing w:after="0" w:line="286" w:lineRule="auto"/>
        <w:rPr>
          <w:sz w:val="20"/>
          <w:szCs w:val="20"/>
          <w:color w:val="auto"/>
        </w:rPr>
      </w:pPr>
      <w:r>
        <w:rPr>
          <w:rFonts w:ascii="Arial" w:cs="Arial" w:eastAsia="Arial" w:hAnsi="Arial"/>
          <w:sz w:val="16"/>
          <w:szCs w:val="16"/>
          <w:color w:val="auto"/>
        </w:rPr>
        <w:t>increase in transaction volumes of 10% to 122 million driven by new customer deployments and a favorable mix within our distribution channels. Additionally, DX revenue increased by $2 million.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9"/>
        </w:trPr>
        <w:tc>
          <w:tcPr>
            <w:tcW w:w="58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8"/>
                <w:szCs w:val="18"/>
                <w:color w:val="auto"/>
              </w:rPr>
            </w:pPr>
          </w:p>
        </w:tc>
      </w:tr>
      <w:tr>
        <w:trPr>
          <w:trHeight w:val="260"/>
        </w:trPr>
        <w:tc>
          <w:tcPr>
            <w:tcW w:w="5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1,038,628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894,556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144,072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146,820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126,543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20,277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(9,628)</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09"/>
        </w:trPr>
        <w:tc>
          <w:tcPr>
            <w:tcW w:w="5800" w:type="dxa"/>
            <w:vAlign w:val="bottom"/>
          </w:tcPr>
          <w:p>
            <w:pPr>
              <w:ind w:left="220"/>
              <w:spacing w:after="0"/>
              <w:rPr>
                <w:sz w:val="20"/>
                <w:szCs w:val="20"/>
                <w:color w:val="auto"/>
              </w:rPr>
            </w:pPr>
            <w:r>
              <w:rPr>
                <w:rFonts w:ascii="Arial" w:cs="Arial" w:eastAsia="Arial" w:hAnsi="Arial"/>
                <w:sz w:val="16"/>
                <w:szCs w:val="16"/>
                <w:color w:val="auto"/>
              </w:rPr>
              <w:t>Total segment cost of revenue, excluding technology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1,146,940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992,219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154,721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15"/>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34"/>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 of revenue, excluding technology costs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1,189,606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1,040,819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148,787</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—Cost of revenue, excluding technology costs, increased $144 million, or 16%, for the year ended December 31,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increase was primarily driven by a $185 million increase in incentive consideration due to higher transaction volume as well as an increase in rates. This increase was partially offset by a decrease in labor and professional services costs partially due to our cost reduction plan and the sale of AirCentre.</w:t>
      </w:r>
    </w:p>
    <w:p>
      <w:pPr>
        <w:spacing w:after="0" w:line="5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—Cost of revenue, excluding technology costs, increased $20 million, or 16%, for the year ended December 31, 2023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prior year primarily due to costs associated with increased transaction volumes.</w:t>
      </w:r>
    </w:p>
    <w:p>
      <w:pPr>
        <w:spacing w:after="0" w:line="115" w:lineRule="exact"/>
        <w:rPr>
          <w:sz w:val="20"/>
          <w:szCs w:val="20"/>
          <w:color w:val="auto"/>
        </w:rPr>
      </w:pPr>
    </w:p>
    <w:p>
      <w:pPr>
        <w:jc w:val="both"/>
        <w:ind w:firstLine="261"/>
        <w:spacing w:after="0" w:line="266"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Cost of revenue, excluding technology costs, increased $10 million, or 114%, for the year ended December 31, 2023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$13 million restructuring charge associated with the reduction of our workforce in the current period. This increase was partially offset by a $3 million decrease in labor and professional services costs due to our cost reduction plan.</w:t>
      </w:r>
    </w:p>
    <w:p>
      <w:pPr>
        <w:spacing w:after="0" w:line="6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Cost of revenue, excluding technology costs, decreased $16 million, or 39%, for the year ended December 31, 2023</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completion of amortization associated with certain customer implementations.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34"/>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863,888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910,219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122,476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(10,452)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60,684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63,402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5800" w:type="dxa"/>
            <w:vAlign w:val="bottom"/>
          </w:tcPr>
          <w:p>
            <w:pPr>
              <w:ind w:left="120"/>
              <w:spacing w:after="0"/>
              <w:rPr>
                <w:sz w:val="20"/>
                <w:szCs w:val="20"/>
                <w:color w:val="auto"/>
              </w:rPr>
            </w:pPr>
            <w:r>
              <w:rPr>
                <w:rFonts w:ascii="Arial" w:cs="Arial" w:eastAsia="Arial" w:hAnsi="Arial"/>
                <w:sz w:val="16"/>
                <w:szCs w:val="16"/>
                <w:color w:val="auto"/>
              </w:rPr>
              <w:t>Total technology costs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1,036,596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1,096,097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(59,501)</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Technology costs decreased $46 million, or 5%, for the year ended December 31, 2023 compared to the prior year.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a $28 million decrease in technology costs due to cost savings related to our mainframe offloads and data migrations. Additionally, depreciation and amortization decreased by $12 million primarily due to the sale of our AirCentre portfolio and the completion of amortization of capitalized internal use software, and labor and professional services decreased by $8 million due to our cost reduction plan, which was partially offset by increased costs to support our technology transformation and strategic growth initiatives.</w:t>
      </w:r>
    </w:p>
    <w:p>
      <w:pPr>
        <w:spacing w:after="0" w:line="51"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Technology costs decreased $10 million, or 9%, for the year ended December 31, 2023 compared to the prior year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a $17 million decrease in labor and professional services driven by our cost reduction plan. This decrease was partially offset by a $6 million increase in technology costs associated with our technology transformation initiatives, including the migration of SynXis to the cloud, and an increase in transaction volumes.</w:t>
      </w:r>
    </w:p>
    <w:p>
      <w:pPr>
        <w:spacing w:after="0" w:line="90"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Technology costs decreased $3 million, or 4%, for the year ended December 31, 2023 compared to the prior year primarily due to an</w:t>
      </w:r>
      <w:r>
        <w:rPr>
          <w:rFonts w:ascii="Arial" w:cs="Arial" w:eastAsia="Arial" w:hAnsi="Arial"/>
          <w:sz w:val="16"/>
          <w:szCs w:val="16"/>
          <w:i w:val="1"/>
          <w:iCs w:val="1"/>
          <w:color w:val="auto"/>
        </w:rPr>
        <w:t xml:space="preserve"> </w:t>
      </w:r>
      <w:r>
        <w:rPr>
          <w:rFonts w:ascii="Arial" w:cs="Arial" w:eastAsia="Arial" w:hAnsi="Arial"/>
          <w:sz w:val="16"/>
          <w:szCs w:val="16"/>
          <w:color w:val="auto"/>
        </w:rPr>
        <w:t>$11 million decrease in depreciation and amortization due to the completion of amortization of technology assets from prior acquisitions, a $10 million decrease in stock-based compensation primarily due to forfeitures of unvested shares, and an $8 million decrease in labor and professional services driven by our cost reduction plan. These decreases were partially offset by a $27 million restructuring charge associated with the reduction of our workforce in the current period.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8" w:name="page39"/>
    <w:bookmarkEnd w:id="38"/>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33"/>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260,318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52,116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334,821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348,725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(13,904)</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5800" w:type="dxa"/>
            <w:vAlign w:val="bottom"/>
          </w:tcPr>
          <w:p>
            <w:pPr>
              <w:ind w:left="120"/>
              <w:spacing w:after="0"/>
              <w:rPr>
                <w:sz w:val="20"/>
                <w:szCs w:val="20"/>
                <w:color w:val="auto"/>
              </w:rPr>
            </w:pPr>
            <w:r>
              <w:rPr>
                <w:rFonts w:ascii="Arial" w:cs="Arial" w:eastAsia="Arial" w:hAnsi="Arial"/>
                <w:sz w:val="16"/>
                <w:szCs w:val="16"/>
                <w:color w:val="auto"/>
              </w:rPr>
              <w:t>Total selling, general and administrative expenses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634,393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661,159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(26,766)</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Selling, general and administrative expenses decreased $12 million, or 4%, for the year ended December 31,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decrease was driven by a $18 million decrease in labor and professional services due to our cost reduction plan. This decrease was partially offset by a $4 million increase in the provision for credit losses and a $2 million increase due to investment in our internal business systems.</w:t>
      </w:r>
    </w:p>
    <w:p>
      <w:pPr>
        <w:spacing w:after="0" w:line="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Selling, general and administrative expenses decreased $1 million, or 2%, for the year ended December 31,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primarily due to a $3 million decrease in labor and professional services driven by our cost reduction plan, partially offset by a $2 million increase in the provision for credit losses, primarily due to an unfavorable fluctuation to provision reductions in the prior year.</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Selling, general and administrative expenses decreased $14 million, or 4%, for the year ended December 31, 2023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This decrease was partially driven by a decrease of $19 million in stock-based compensation primarily due to forfeitures of unvested shares, a $17 million decrease in legal costs resulting from ongoing litigation, a $15 million decrease due to a litigation reserve recorded in the prior year, and a decrease in other ongoing business expenses. These decreases were partially offset by a $26 million restructuring charge for severance and related benefits costs associated with the reduction of our workforce in 2023, an $11 million charge associated with a tax litigation matter, and a $5 million increase in labor and professional services costs.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34"/>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295,231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152,647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bl>
    <w:p>
      <w:pPr>
        <w:spacing w:after="0" w:line="24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Interest expense increased $153 million, or 52%, for the year ended December 31, 2023 compared to the same period in the prior year primarily due to higher interest rates on our term loans and additional interest incurred in connection with the financing activities that have occurred during 2023. This increase was partially offset by the impact of our interest rate swaps. See Note 10. Debt for further details these debt transactions and Note 11. Derivatives for further details regarding our interest rate swaps.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 net</w:t>
      </w:r>
    </w:p>
    <w:p>
      <w:pPr>
        <w:spacing w:after="0" w:line="11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6"/>
          <w:szCs w:val="16"/>
          <w:color w:val="auto"/>
        </w:rPr>
        <w:t>We recognized a loss on extinguishment of debt of $109 million during the year ended December 31, 2023, including a loss on extinguishment of debt of $121 million as a result of the financing activity that occurred in the third quarter of 2023, partially offset by a gain on extinguishment of debt of $13 million as a result of the financing activity that occurred in the second quarter of 2023. We recognized a loss on extinguishment of debt of $4 million during the year ended December 31, 2022 as a result of the refinancing that occurred in 2022. See Note 10. Debt for further details regarding these debt transactions</w:t>
      </w:r>
      <w:r>
        <w:rPr>
          <w:rFonts w:ascii="Arial" w:cs="Arial" w:eastAsia="Arial" w:hAnsi="Arial"/>
          <w:sz w:val="16"/>
          <w:szCs w:val="16"/>
          <w:b w:val="1"/>
          <w:bCs w:val="1"/>
          <w:color w:val="auto"/>
        </w:rPr>
        <w: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net</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6"/>
                <w:szCs w:val="16"/>
                <w:color w:val="auto"/>
              </w:rPr>
            </w:pPr>
          </w:p>
        </w:tc>
      </w:tr>
      <w:tr>
        <w:trPr>
          <w:trHeight w:val="233"/>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ind w:left="340"/>
              <w:spacing w:after="0"/>
              <w:rPr>
                <w:sz w:val="20"/>
                <w:szCs w:val="20"/>
                <w:color w:val="auto"/>
              </w:rPr>
            </w:pPr>
            <w:r>
              <w:rPr>
                <w:rFonts w:ascii="Arial" w:cs="Arial" w:eastAsia="Arial" w:hAnsi="Arial"/>
                <w:sz w:val="13"/>
                <w:szCs w:val="13"/>
                <w:color w:val="auto"/>
              </w:rPr>
              <w:t>(Amounts in thousands)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(13,751)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68"/>
              <w:spacing w:after="0"/>
              <w:rPr>
                <w:sz w:val="20"/>
                <w:szCs w:val="20"/>
                <w:color w:val="auto"/>
              </w:rPr>
            </w:pPr>
            <w:r>
              <w:rPr>
                <w:rFonts w:ascii="Arial" w:cs="Arial" w:eastAsia="Arial" w:hAnsi="Arial"/>
                <w:sz w:val="16"/>
                <w:szCs w:val="16"/>
                <w:color w:val="auto"/>
              </w:rPr>
              <w:t>122,894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bl>
    <w:p>
      <w:pPr>
        <w:spacing w:after="0" w:line="200" w:lineRule="exact"/>
        <w:rPr>
          <w:sz w:val="20"/>
          <w:szCs w:val="20"/>
          <w:color w:val="auto"/>
        </w:rPr>
      </w:pPr>
    </w:p>
    <w:p>
      <w:pPr>
        <w:spacing w:after="0" w:line="339"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Other, net increased $123 million for the year ended December 31, 2023 compared to the same period in the prior year primarily due to the gain on the sale of AirCentre of $180 million in the prior year, partially offset by a change in fair value of our GBT investment from a loss of $26 million in the prior year to a loss of $2 million in the current year, as well as other non-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9" w:name="page40"/>
    <w:bookmarkEnd w:id="39"/>
    <w:p>
      <w:pPr>
        <w:jc w:val="both"/>
        <w:spacing w:after="0" w:line="286" w:lineRule="auto"/>
        <w:rPr>
          <w:sz w:val="20"/>
          <w:szCs w:val="20"/>
          <w:color w:val="auto"/>
        </w:rPr>
      </w:pPr>
      <w:r>
        <w:rPr>
          <w:rFonts w:ascii="Arial" w:cs="Arial" w:eastAsia="Arial" w:hAnsi="Arial"/>
          <w:sz w:val="16"/>
          <w:szCs w:val="16"/>
          <w:color w:val="auto"/>
        </w:rPr>
        <w:t>operating gains of $15 million in the current year and realized and unrealized foreign currency exchange gains. See Note 3. Acquisitions and Dispositions for further details regarding the AirCentre sale and Note 12. Fair Value Measurements for further details regarding the GBT investment.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800" w:type="dxa"/>
            <w:vAlign w:val="bottom"/>
            <w:tcBorders>
              <w:bottom w:val="single" w:sz="8" w:color="auto"/>
            </w:tcBorders>
          </w:tcPr>
          <w:p>
            <w:pPr>
              <w:spacing w:after="0"/>
              <w:rPr>
                <w:sz w:val="16"/>
                <w:szCs w:val="16"/>
                <w:color w:val="auto"/>
              </w:rPr>
            </w:pPr>
          </w:p>
        </w:tc>
      </w:tr>
      <w:tr>
        <w:trPr>
          <w:trHeight w:val="274"/>
        </w:trPr>
        <w:tc>
          <w:tcPr>
            <w:tcW w:w="5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8,666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648"/>
              <w:spacing w:after="0"/>
              <w:rPr>
                <w:sz w:val="20"/>
                <w:szCs w:val="20"/>
                <w:color w:val="auto"/>
              </w:rPr>
            </w:pPr>
            <w:r>
              <w:rPr>
                <w:rFonts w:ascii="Arial" w:cs="Arial" w:eastAsia="Arial" w:hAnsi="Arial"/>
                <w:sz w:val="16"/>
                <w:szCs w:val="16"/>
                <w:color w:val="auto"/>
              </w:rPr>
              <w:t>26,063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301 %</w:t>
            </w:r>
          </w:p>
        </w:tc>
      </w:tr>
    </w:tbl>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effective tax rate for each of the years ended December 31, 2023 and 2022 was less than 1%. The effective tax rate for the year ended December 31, 2023, as compared to the same period in 2022 decreased primarily due to changes in the valuation allowance due to adjustments based on realizability of the related deferred tax assets.</w:t>
      </w:r>
    </w:p>
    <w:p>
      <w:pPr>
        <w:spacing w:after="0" w:line="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differences between our effective tax rate and the U.S. federal statutory income tax rate primarily resulted from our geographic mix of taxable income in various tax jurisdictions, tax permanent differences, valuation allowances, and tax credits.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Years Ended December 31, 2022 and 2021</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Revenue</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33"/>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2,311,275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1,503,539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807,736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5"/>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254,620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202,628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51,992</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r>
      <w:tr>
        <w:trPr>
          <w:trHeight w:val="210"/>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segment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2,565,895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1,706,167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859,728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15"/>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(11,588)</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r>
      <w:tr>
        <w:trPr>
          <w:trHeight w:val="23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2,537,015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1,688,875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848,140</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—Revenue increased $808 million, or 54%, for the year ended December 31, 2022 compared to the prior year, primarily due to:</w:t>
      </w:r>
    </w:p>
    <w:p>
      <w:pPr>
        <w:spacing w:after="0" w:line="235" w:lineRule="exact"/>
        <w:rPr>
          <w:sz w:val="20"/>
          <w:szCs w:val="20"/>
          <w:color w:val="auto"/>
        </w:rPr>
      </w:pPr>
    </w:p>
    <w:p>
      <w:pPr>
        <w:jc w:val="both"/>
        <w:ind w:left="660" w:hanging="328"/>
        <w:spacing w:after="0" w:line="266" w:lineRule="auto"/>
        <w:tabs>
          <w:tab w:leader="none" w:pos="649"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 $721 million, or 80%, increase in distribution revenue, which was primarily due to a 46% increase in direct billable bookings to 302 million primarily as a result of continued recovery trends from the COVID-19 pandemic and favorable rate impacts from improved international and corporate bookings; and</w:t>
      </w:r>
    </w:p>
    <w:p>
      <w:pPr>
        <w:spacing w:after="0" w:line="184" w:lineRule="exact"/>
        <w:rPr>
          <w:rFonts w:ascii="Arial" w:cs="Arial" w:eastAsia="Arial" w:hAnsi="Arial"/>
          <w:sz w:val="16"/>
          <w:szCs w:val="16"/>
          <w:b w:val="1"/>
          <w:bCs w:val="1"/>
          <w:color w:val="auto"/>
        </w:rPr>
      </w:pPr>
    </w:p>
    <w:p>
      <w:pPr>
        <w:jc w:val="both"/>
        <w:ind w:left="660" w:hanging="328"/>
        <w:spacing w:after="0" w:line="258" w:lineRule="auto"/>
        <w:tabs>
          <w:tab w:leader="none" w:pos="649"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color w:val="auto"/>
        </w:rPr>
        <w:t>an $87 million, or 14%, increase in IT solutions revenue consisting of a $114 million, or 52% increase in reservation revenue primarily due to a 50% increase in passengers boarded to 637 million as a result of the continued recovery trends from the COVID-19 pandemic, $24 million of previously deferred revenue recognized during the three months ended March 31, 2022 due to a change in facts and circumstances associated with a Russian carrier, a $15 million increase due to the recognition of termination fees on a carrier in the process of de-migrating from our systems, and the recognition of $3 million in previously deferred revenue from a customer that entered liquidation. See Note 2. Revenue from Contracts with Customers. These increases were partially offset by an unfavorable rate mix due to revenue that does not fluctuate with our volumes and a $4 million reduction associated with a Russian carrier. Additionally, commercial and operations revenue decreased $27 million due to a $69 million decline as a result of the sale of our AirCentre portfolio on February 28, 2022, partially offset by a $31 million increase in other product revenue and a $10 million increase due to the aforementioned termination fees on the carrier that is de-migrating.</w:t>
      </w:r>
    </w:p>
    <w:p>
      <w:pPr>
        <w:spacing w:after="0" w:line="6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—Revenue increased $52 million, or 26%, for the year ended December 31, 2022 compared to the prior year.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driven by a $48 million increase in SynXis Software and Services revenue due to an increase in transaction volumes of 21% to 111 million, as a result of continued recovery from the COVID-19 pandemic, and a $4 million increase in DX revenue.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9"/>
        </w:trPr>
        <w:tc>
          <w:tcPr>
            <w:tcW w:w="58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8"/>
                <w:szCs w:val="18"/>
                <w:color w:val="auto"/>
              </w:rPr>
            </w:pPr>
          </w:p>
        </w:tc>
      </w:tr>
      <w:tr>
        <w:trPr>
          <w:trHeight w:val="261"/>
        </w:trPr>
        <w:tc>
          <w:tcPr>
            <w:tcW w:w="5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894,556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564,137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330,419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126,543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96,487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30,056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09"/>
        </w:trPr>
        <w:tc>
          <w:tcPr>
            <w:tcW w:w="5800" w:type="dxa"/>
            <w:vAlign w:val="bottom"/>
          </w:tcPr>
          <w:p>
            <w:pPr>
              <w:ind w:left="220"/>
              <w:spacing w:after="0"/>
              <w:rPr>
                <w:sz w:val="20"/>
                <w:szCs w:val="20"/>
                <w:color w:val="auto"/>
              </w:rPr>
            </w:pPr>
            <w:r>
              <w:rPr>
                <w:rFonts w:ascii="Arial" w:cs="Arial" w:eastAsia="Arial" w:hAnsi="Arial"/>
                <w:sz w:val="16"/>
                <w:szCs w:val="16"/>
                <w:color w:val="auto"/>
              </w:rPr>
              <w:t>Total segment cost of revenue, excluding technology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992,219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643,332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348,887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39,756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r>
      <w:tr>
        <w:trPr>
          <w:trHeight w:val="234"/>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 of revenue, excluding technology costs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1,040,819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691,451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349,368</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—Cost of revenue, excluding technology costs, increased $330 million, or 59%, for the year ended December 31,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The increase was primarily driven by a $337 million increase in incentive consideration due to higher transaction volume as well as an increase in rates given the continued recovery from the COVID-19 pandemic. This increase was partially offset by a decrease in labor and professional services costs resulting from the sale of AirCentre and other labor related expenses.</w:t>
      </w:r>
    </w:p>
    <w:p>
      <w:pPr>
        <w:spacing w:after="0" w:line="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—Cost of revenue, excluding technology costs, increased $30 million, or 31%, for the year ended December 31,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prior year primarily due to costs associated with increased transaction volumes.</w:t>
      </w:r>
    </w:p>
    <w:p>
      <w:pPr>
        <w:spacing w:after="0" w:line="200" w:lineRule="exact"/>
        <w:rPr>
          <w:sz w:val="20"/>
          <w:szCs w:val="20"/>
          <w:color w:val="auto"/>
        </w:rPr>
      </w:pPr>
    </w:p>
    <w:p>
      <w:pPr>
        <w:spacing w:after="0" w:line="30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6"/>
                <w:szCs w:val="16"/>
                <w:color w:val="auto"/>
              </w:rPr>
            </w:pPr>
          </w:p>
        </w:tc>
      </w:tr>
      <w:tr>
        <w:trPr>
          <w:trHeight w:val="233"/>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3"/>
                <w:szCs w:val="13"/>
                <w:color w:val="auto"/>
                <w:w w:val="96"/>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876,499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center"/>
              <w:ind w:left="183"/>
              <w:spacing w:after="0"/>
              <w:rPr>
                <w:sz w:val="20"/>
                <w:szCs w:val="20"/>
                <w:color w:val="auto"/>
              </w:rPr>
            </w:pPr>
            <w:r>
              <w:rPr>
                <w:rFonts w:ascii="Arial" w:cs="Arial" w:eastAsia="Arial" w:hAnsi="Arial"/>
                <w:sz w:val="16"/>
                <w:szCs w:val="16"/>
                <w:color w:val="auto"/>
              </w:rPr>
              <w:t>33,720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122,476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96,059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left="183"/>
              <w:spacing w:after="0"/>
              <w:rPr>
                <w:sz w:val="20"/>
                <w:szCs w:val="20"/>
                <w:color w:val="auto"/>
              </w:rPr>
            </w:pPr>
            <w:r>
              <w:rPr>
                <w:rFonts w:ascii="Arial" w:cs="Arial" w:eastAsia="Arial" w:hAnsi="Arial"/>
                <w:sz w:val="16"/>
                <w:szCs w:val="16"/>
                <w:color w:val="auto"/>
              </w:rPr>
              <w:t>26,417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63,402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80,275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ind w:left="163"/>
              <w:spacing w:after="0"/>
              <w:rPr>
                <w:sz w:val="20"/>
                <w:szCs w:val="20"/>
                <w:color w:val="auto"/>
              </w:rPr>
            </w:pPr>
            <w:r>
              <w:rPr>
                <w:rFonts w:ascii="Arial" w:cs="Arial" w:eastAsia="Arial" w:hAnsi="Arial"/>
                <w:sz w:val="16"/>
                <w:szCs w:val="16"/>
                <w:color w:val="auto"/>
              </w:rPr>
              <w:t>(16,873)</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5800" w:type="dxa"/>
            <w:vAlign w:val="bottom"/>
          </w:tcPr>
          <w:p>
            <w:pPr>
              <w:ind w:left="160"/>
              <w:spacing w:after="0"/>
              <w:rPr>
                <w:sz w:val="20"/>
                <w:szCs w:val="20"/>
                <w:color w:val="auto"/>
              </w:rPr>
            </w:pPr>
            <w:r>
              <w:rPr>
                <w:rFonts w:ascii="Arial" w:cs="Arial" w:eastAsia="Arial" w:hAnsi="Arial"/>
                <w:sz w:val="16"/>
                <w:szCs w:val="16"/>
                <w:color w:val="auto"/>
              </w:rPr>
              <w:t>Total technology costs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1,096,097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1,052,833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center"/>
              <w:ind w:left="183"/>
              <w:spacing w:after="0"/>
              <w:rPr>
                <w:sz w:val="20"/>
                <w:szCs w:val="20"/>
                <w:color w:val="auto"/>
              </w:rPr>
            </w:pPr>
            <w:r>
              <w:rPr>
                <w:rFonts w:ascii="Arial" w:cs="Arial" w:eastAsia="Arial" w:hAnsi="Arial"/>
                <w:sz w:val="16"/>
                <w:szCs w:val="16"/>
                <w:color w:val="auto"/>
              </w:rPr>
              <w:t>43,264</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r>
      <w:tr>
        <w:trPr>
          <w:trHeight w:val="21"/>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Technology costs increased $34 million, or 4%, for the year ended December 31, 2022 compared to the prior year.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due to a $59 million increase in technology costs due to higher transaction volumes given the continued recovery from the COVID-19 pandemic and expected temporary costs resulting from our cloud migration efforts. Additionally, labor and professional services increased $30 million to support our technology transformation initiatives, and other ongoing business expenses increased by $2 million. We incurred a significant amount of incremental technology costs in 2022 over the prior year as a result of our technology transformation. These increases were partially offset by a decrease in depreciation and amortization of $57 million primarily due to a change in the mix of our technology spend beginning in 2019 resulting in less capitalized internal use software as well as a reduction due to the sale of our AirCentre portfolio.</w:t>
      </w:r>
    </w:p>
    <w:p>
      <w:pPr>
        <w:spacing w:after="0" w:line="17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Technology costs increased $26 million, or 28%, for the year ended December 31, 2022 compared to the prior year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$16 million increase in technology costs to support our technology transformation initiatives, including the migration of SynXis to the cloud, and a $14 million increase in labor and professional services costs. These increases were partially offset by a $3 million decrease in depreciation and amortization primarily driven by a change in the mix of our technology spend beginning in 2019 resulting in less capitalized internal use software. The migration to the cloud for SynXis is expected to result in higher cloud-based transaction costs for Hospitality Solutions whereas historically it incurred data center operating costs and incurred hardware and infrastructure costs, which were capitalized, and became fully depreciated in prior periods.</w:t>
      </w:r>
    </w:p>
    <w:p>
      <w:pPr>
        <w:spacing w:after="0" w:line="19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Technology costs decreased $17 million, or 21%, for the year ended December 31, 2022 compared to the prior year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$10 million decrease in depreciation and amortization associated with a reduction in intangible amortization as a result of the completion of amortization of technology assets from prior acquisitions, and a $7 million decrease in labor and professional services costs.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1" w:name="page42"/>
    <w:bookmarkEnd w:id="41"/>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33"/>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Solutions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253,438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Hospitality Solutions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52,116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45,495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6,621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348,725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311,145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37,580</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9"/>
        </w:trPr>
        <w:tc>
          <w:tcPr>
            <w:tcW w:w="5800" w:type="dxa"/>
            <w:vAlign w:val="bottom"/>
          </w:tcPr>
          <w:p>
            <w:pPr>
              <w:ind w:left="160"/>
              <w:spacing w:after="0"/>
              <w:rPr>
                <w:sz w:val="20"/>
                <w:szCs w:val="20"/>
                <w:color w:val="auto"/>
              </w:rPr>
            </w:pPr>
            <w:r>
              <w:rPr>
                <w:rFonts w:ascii="Arial" w:cs="Arial" w:eastAsia="Arial" w:hAnsi="Arial"/>
                <w:sz w:val="16"/>
                <w:szCs w:val="16"/>
                <w:color w:val="auto"/>
              </w:rPr>
              <w:t>Total selling, general and administrative expenses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661,159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610,078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51,081</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Selling, general and administrative expenses increased $7 million, or 3%, for the year ended December 31, 2022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The increase was driven by a $9 million increase in the provision for expected credit losses due to the unfavorable comparison to a provision reversal in the prior year as the economy began to recover and payment experience began to improve and a $4 million increase due to continued investment in our internal business systems. These increases were partially offset by a $5 million decrease in depreciation and amortization and a $2 million decrease in labor and professional services costs.</w:t>
      </w:r>
    </w:p>
    <w:p>
      <w:pPr>
        <w:spacing w:after="0" w:line="17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Selling, general and administrative expenses increased $7 million, or 15%, for the year ended December 31,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primarily due to a $7 million increase in labor and professional services costs related to our business strategy to support the long-term growth of the business and a $2 million increase in technology costs related to internal investments in business systems. This increase was partially offset by a $2 million decrease in the provision for expected credit losses due to an improvement in our expected credit losses in the current year as a result of the continued recovery from the COVID-19 pandemic, and lower depreciation and amortization.</w:t>
      </w:r>
    </w:p>
    <w:p>
      <w:pPr>
        <w:spacing w:after="0" w:line="17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Selling, general and administrative expenses increased $38 million, or 12%, for the year ended December 31, 2022 compared to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This increase was driven by a $19 million increase consisting of $7 million related to labor and professional services and $12 million related to our business structure and strategy to support the long-term growth of the business, a $15 million increase due to litigation reserves, an $8 million increase in risk and security costs, a $7 million increase in transaction tax expense, a $5 million increase related to an impairment associated with an IT Solutions customer located in Russia, a $5 million increase for restructuring costs and the reversal of severance costs in the prior year associated with the reduction of our workforce in 2020, and a $6 million increase in other ongoing business expenses. These increases were partially offset by a $29 million decrease in stock-based compensation primarily due to forfeitures of unvested shares.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58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274"/>
        </w:trPr>
        <w:tc>
          <w:tcPr>
            <w:tcW w:w="5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3"/>
                <w:szCs w:val="13"/>
                <w:color w:val="auto"/>
                <w:w w:val="96"/>
              </w:rPr>
              <w:t>(Amounts in thousands)</w:t>
            </w:r>
          </w:p>
        </w:tc>
        <w:tc>
          <w:tcPr>
            <w:tcW w:w="4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257,818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37,413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bl>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Interest expense increased $37 million, or 15%, for the year ended December 31, 2022 compared to the same period in the prior year primarily due to higher interest rates on our term loans. This increase was partially offset by the impact of our interest rate swaps. See Note 10. Debt for further details of these debt transactions and Note 11. Derivatives for further details regarding our interest rate swaps.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w:t>
      </w:r>
    </w:p>
    <w:p>
      <w:pPr>
        <w:spacing w:after="0" w:line="111" w:lineRule="exact"/>
        <w:rPr>
          <w:sz w:val="20"/>
          <w:szCs w:val="20"/>
          <w:color w:val="auto"/>
        </w:rPr>
      </w:pPr>
    </w:p>
    <w:p>
      <w:pPr>
        <w:jc w:val="both"/>
        <w:ind w:firstLine="486"/>
        <w:spacing w:after="0" w:line="280" w:lineRule="auto"/>
        <w:rPr>
          <w:sz w:val="20"/>
          <w:szCs w:val="20"/>
          <w:color w:val="auto"/>
        </w:rPr>
      </w:pPr>
      <w:r>
        <w:rPr>
          <w:rFonts w:ascii="Arial" w:cs="Arial" w:eastAsia="Arial" w:hAnsi="Arial"/>
          <w:sz w:val="16"/>
          <w:szCs w:val="16"/>
          <w:color w:val="auto"/>
        </w:rPr>
        <w:t>We recognized a loss on extinguishment of debt of $4 million during the year ended December 31, 2022 as a result of the refinancings that occurred in 2022 and a loss on extinguishment of debt of $13 million during the year ended December 31, 2021 as a result of the refinancing that occurred in 2021. See Note 10. Debt for further details regarding these debt transactions</w:t>
      </w:r>
      <w:r>
        <w:rPr>
          <w:rFonts w:ascii="Arial" w:cs="Arial" w:eastAsia="Arial" w:hAnsi="Arial"/>
          <w:sz w:val="16"/>
          <w:szCs w:val="16"/>
          <w:b w:val="1"/>
          <w:bCs w:val="1"/>
          <w:color w:val="auto"/>
        </w:rPr>
        <w:t>.</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net</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5"/>
        </w:trPr>
        <w:tc>
          <w:tcPr>
            <w:tcW w:w="59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Change</w:t>
            </w:r>
          </w:p>
        </w:tc>
        <w:tc>
          <w:tcPr>
            <w:tcW w:w="600" w:type="dxa"/>
            <w:vAlign w:val="bottom"/>
            <w:tcBorders>
              <w:bottom w:val="single" w:sz="8" w:color="auto"/>
            </w:tcBorders>
          </w:tcPr>
          <w:p>
            <w:pPr>
              <w:spacing w:after="0"/>
              <w:rPr>
                <w:sz w:val="16"/>
                <w:szCs w:val="16"/>
                <w:color w:val="auto"/>
              </w:rPr>
            </w:pPr>
          </w:p>
        </w:tc>
      </w:tr>
      <w:tr>
        <w:trPr>
          <w:trHeight w:val="274"/>
        </w:trPr>
        <w:tc>
          <w:tcPr>
            <w:tcW w:w="5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20" w:type="dxa"/>
            <w:vAlign w:val="bottom"/>
            <w:gridSpan w:val="5"/>
          </w:tcPr>
          <w:p>
            <w:pPr>
              <w:ind w:left="340"/>
              <w:spacing w:after="0"/>
              <w:rPr>
                <w:sz w:val="20"/>
                <w:szCs w:val="20"/>
                <w:color w:val="auto"/>
              </w:rPr>
            </w:pPr>
            <w:r>
              <w:rPr>
                <w:rFonts w:ascii="Arial" w:cs="Arial" w:eastAsia="Arial" w:hAnsi="Arial"/>
                <w:sz w:val="13"/>
                <w:szCs w:val="13"/>
                <w:color w:val="auto"/>
              </w:rPr>
              <w:t>(Amounts in thousands)</w:t>
            </w:r>
          </w:p>
        </w:tc>
        <w:tc>
          <w:tcPr>
            <w:tcW w:w="3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(136,645)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688"/>
              <w:spacing w:after="0"/>
              <w:rPr>
                <w:sz w:val="20"/>
                <w:szCs w:val="20"/>
                <w:color w:val="auto"/>
              </w:rPr>
            </w:pPr>
            <w:r>
              <w:rPr>
                <w:rFonts w:ascii="Arial" w:cs="Arial" w:eastAsia="Arial" w:hAnsi="Arial"/>
                <w:sz w:val="16"/>
                <w:szCs w:val="16"/>
                <w:color w:val="auto"/>
              </w:rPr>
              <w:t>(138,393)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not meaningful</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Other, net increased $138 million for the year ended December 31, 2022 compared to the same period in the prior year primarily due to the gain on the sale of AirCentre of $180 million partially offset by a fair value loss of $26 million on our GBT</w:t>
      </w:r>
    </w:p>
    <w:p>
      <w:pPr>
        <w:sectPr>
          <w:pgSz w:w="11900" w:h="16838" w:orient="portrait"/>
          <w:cols w:equalWidth="0" w:num="1">
            <w:col w:w="11240"/>
          </w:cols>
          <w:pgMar w:left="320" w:top="1113"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42" w:name="page43"/>
    <w:bookmarkEnd w:id="42"/>
    <w:p>
      <w:pPr>
        <w:jc w:val="both"/>
        <w:spacing w:after="0" w:line="286" w:lineRule="auto"/>
        <w:rPr>
          <w:sz w:val="20"/>
          <w:szCs w:val="20"/>
          <w:color w:val="auto"/>
        </w:rPr>
      </w:pPr>
      <w:r>
        <w:rPr>
          <w:rFonts w:ascii="Arial" w:cs="Arial" w:eastAsia="Arial" w:hAnsi="Arial"/>
          <w:sz w:val="16"/>
          <w:szCs w:val="16"/>
          <w:color w:val="auto"/>
        </w:rPr>
        <w:t>investment and a $15 million gain on sale of investment recorded in the first quarter of 2021. See Note 3. Acquisitions and Dispositions for further details regarding the AirCentre sale and Note 12. Fair Value Measurements for further details regarding the GBT investment.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(benefit) for Income Taxes</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Year Ended December 31,</w:t>
            </w:r>
          </w:p>
        </w:tc>
        <w:tc>
          <w:tcPr>
            <w:tcW w:w="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820" w:type="dxa"/>
            <w:vAlign w:val="bottom"/>
            <w:tcBorders>
              <w:bottom w:val="single" w:sz="8" w:color="auto"/>
            </w:tcBorders>
          </w:tcPr>
          <w:p>
            <w:pPr>
              <w:spacing w:after="0"/>
              <w:rPr>
                <w:sz w:val="16"/>
                <w:szCs w:val="16"/>
                <w:color w:val="auto"/>
              </w:rPr>
            </w:pPr>
          </w:p>
        </w:tc>
      </w:tr>
      <w:tr>
        <w:trPr>
          <w:trHeight w:val="274"/>
        </w:trPr>
        <w:tc>
          <w:tcPr>
            <w:tcW w:w="5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3"/>
                <w:szCs w:val="13"/>
                <w:color w:val="auto"/>
                <w:w w:val="97"/>
              </w:rPr>
              <w:t>(Amounts in thousands)</w:t>
            </w: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23,278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bl>
    <w:p>
      <w:pPr>
        <w:spacing w:after="0" w:line="18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effective tax rate for the year ended December 31, 2022 and 2021 was less than 1% and 2%, respectively. The effective tax rate for the year ended December 31, 2022, as compared to the same period in 2021 decreased primarily due to non-deductible goodwill related to the disposition of AirCentre.</w:t>
      </w:r>
    </w:p>
    <w:p>
      <w:pPr>
        <w:spacing w:after="0" w:line="24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differences between our effective tax rate and the U.S. federal statutory income tax rate primarily resulted from our geographic mix of taxable income in various tax jurisdictions, tax permanent differences, valuation allowances, and tax credits.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Our current principal source of liquidity is our cash and cash equivalents on hand. As of December 31, 2023 and 2022, our cash and cash equivalents and outstanding letters of credit were as follows (in thousands):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5"/>
                <w:szCs w:val="15"/>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2022</w:t>
            </w:r>
          </w:p>
        </w:tc>
      </w:tr>
      <w:tr>
        <w:trPr>
          <w:trHeight w:val="21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648,207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794,888</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Available undrawn balance under the AR Facility</w:t>
            </w:r>
          </w:p>
        </w:tc>
        <w:tc>
          <w:tcPr>
            <w:tcW w:w="38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AR Facility outstanding balance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Available under the bilateral letter of credit facility</w:t>
            </w:r>
          </w:p>
        </w:tc>
        <w:tc>
          <w:tcPr>
            <w:tcW w:w="38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8,486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8,473</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letters of credit under the bilateral letter of credit facility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11,514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11,527</w:t>
            </w:r>
          </w:p>
        </w:tc>
      </w:tr>
    </w:tbl>
    <w:p>
      <w:pPr>
        <w:spacing w:after="0" w:line="188"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 xml:space="preserve">As of December 31, 2023, we had </w:t>
      </w:r>
      <w:r>
        <w:rPr>
          <w:rFonts w:ascii="Arial" w:cs="Arial" w:eastAsia="Arial" w:hAnsi="Arial"/>
          <w:sz w:val="16"/>
          <w:szCs w:val="16"/>
          <w:color w:val="212529"/>
        </w:rPr>
        <w:t>$110 million</w:t>
      </w:r>
      <w:r>
        <w:rPr>
          <w:rFonts w:ascii="Arial" w:cs="Arial" w:eastAsia="Arial" w:hAnsi="Arial"/>
          <w:sz w:val="16"/>
          <w:szCs w:val="16"/>
          <w:color w:val="auto"/>
        </w:rPr>
        <w:t xml:space="preserve"> outstanding under the AR Facility with a </w:t>
      </w:r>
      <w:r>
        <w:rPr>
          <w:rFonts w:ascii="Arial" w:cs="Arial" w:eastAsia="Arial" w:hAnsi="Arial"/>
          <w:sz w:val="16"/>
          <w:szCs w:val="16"/>
          <w:color w:val="212529"/>
        </w:rPr>
        <w:t>borrowing base of $110 million, of which Sabre had availability</w:t>
      </w:r>
      <w:r>
        <w:rPr>
          <w:rFonts w:ascii="Arial" w:cs="Arial" w:eastAsia="Arial" w:hAnsi="Arial"/>
          <w:sz w:val="16"/>
          <w:szCs w:val="16"/>
          <w:color w:val="auto"/>
        </w:rPr>
        <w:t xml:space="preserve"> </w:t>
      </w:r>
      <w:r>
        <w:rPr>
          <w:rFonts w:ascii="Arial" w:cs="Arial" w:eastAsia="Arial" w:hAnsi="Arial"/>
          <w:sz w:val="16"/>
          <w:szCs w:val="16"/>
          <w:color w:val="212529"/>
        </w:rPr>
        <w:t xml:space="preserve">of less than $1 million. </w:t>
      </w:r>
      <w:r>
        <w:rPr>
          <w:rFonts w:ascii="Arial" w:cs="Arial" w:eastAsia="Arial" w:hAnsi="Arial"/>
          <w:sz w:val="16"/>
          <w:szCs w:val="16"/>
          <w:color w:val="000000"/>
        </w:rPr>
        <w:t>Our AR Facility matures on January 14, 2025 at the earliest and February 13, 2026 at the latest, depending on certain “springing”</w:t>
      </w:r>
      <w:r>
        <w:rPr>
          <w:rFonts w:ascii="Arial" w:cs="Arial" w:eastAsia="Arial" w:hAnsi="Arial"/>
          <w:sz w:val="16"/>
          <w:szCs w:val="16"/>
          <w:color w:val="212529"/>
        </w:rPr>
        <w:t xml:space="preserve"> </w:t>
      </w:r>
      <w:r>
        <w:rPr>
          <w:rFonts w:ascii="Arial" w:cs="Arial" w:eastAsia="Arial" w:hAnsi="Arial"/>
          <w:sz w:val="16"/>
          <w:szCs w:val="16"/>
          <w:color w:val="000000"/>
        </w:rPr>
        <w:t>maturity conditions. The AR Facility allows us the ability to prepay the principal amount prior to the maturity date without penalty. See Note 10. Debt.</w:t>
      </w:r>
    </w:p>
    <w:p>
      <w:pPr>
        <w:spacing w:after="0" w:line="7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December 31, 2023 and 2022. We had $21 million held as cash collateral for standby letters of credit in restricted cash on our consolidated balance sheets as of December 31, 2023 and 2022.</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Liquidity Outlook</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We have experienced continued material headwinds within our consolidated financial results for 2022 and 2023. These changes have had, and we believe they will continue to have, a material negative impact on our financial results and liquidity, and this negative impact may continue. Given the uncertain economic environment, we cannot provide assurance that the assumptions used to estimate our liquidity requirements will be accurate. However, based on our assumptions and estimates with respect to our financial condition, we believe that we have resources to sufficiently fund our liquidity requirements over at least the next twelve months. We will continue to monitor our liquidity and take additional steps should we determine they are necessary.</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2022 and 2023, we refinanced and extended the maturity on portions of our debt, which also negatively impacted our results due to increasing interest rates, as well as negatively impacted our liquidity due to our utilizing $130 million in cash from our balance sheet. In the second quarter of 2023, we implemented a cost reduction plan designed to reposition our business to the current environment and to structurally reduce our cost base. We believe our cash position and the liquidity measures we have taken will provide additional flexibility as we manage through continued headwinds. We will continue to monitor our liquidity levels and take additional steps should we determine they are necessary.</w:t>
      </w:r>
    </w:p>
    <w:p>
      <w:pPr>
        <w:spacing w:after="0" w:line="64"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utilize cash and cash equivalents primarily to pay our operating expenses, make capital expenditures, invest in our information technology infrastructure, products and offerings, pay taxes, and service our debt and other long-term liabilities. Free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6"/>
          <w:szCs w:val="16"/>
          <w:color w:val="auto"/>
        </w:rPr>
        <w:t>cash flow is calculated as cash flow from operations reduced by additions to property and equipment. We expect the full year 2024 free cash flow to be positive.</w:t>
      </w:r>
    </w:p>
    <w:p>
      <w:pPr>
        <w:spacing w:after="0" w:line="6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and planned capital expenditures will depend on our ability to generate cash in the future, which is subject to general economic, financial, competitive, business, legislative, regulatory and other factors that are beyond our control. See “Risk Factor—We may require more cash than we generate in our operating activities, and additional funding on reasonable terms or at all may not be available.”</w:t>
      </w:r>
    </w:p>
    <w:p>
      <w:pPr>
        <w:spacing w:after="0" w:line="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an ongoing basis, we will evaluate and consider strategic acquisitions, divestitures, joint ventures, equity method investments, refinancing our existing debt or repurchasing our outstanding debt obligations in open market or in privately negotiated transactions, as well as other transactions we believe may create stockholder value or enhance financial performance. These transactions may require cash expenditures or generate proceeds and, to the extent they require cash expenditures, may be funded through a combination of cash on hand, debt or equity offerings.</w:t>
      </w:r>
    </w:p>
    <w:p>
      <w:pPr>
        <w:spacing w:after="0" w:line="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While our business has incurred net losses on a GAAP basis, we recognized federal taxable income in 2023 based on our operating and non-operating results along with provisions of the Tax Cuts and Jobs Act that limit interest expense deduction and the annual use of Net Operating Loss (“NOL”) carryforwards, and requires companies to capitalize and amortize research and development costs. As a result, we expect to be a U.S. federal cash taxpayer in 2024, and we also expect to benefit from the usage of NOLs in 2024 to the extent available. We expect to continue to benefit from our NOLs and certain tax credits in the near-term beyond 2024.</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2023 Term Loan Agreement, as described below, requires that we maintain cash balances of at least $100 million in certain foreign subsidiaries. Otherwise, our cash, cash equivalents and marketable securities held by our foreign subsidiaries are available to satisfy domestic liquidity needs arising in the ordinary course of business, including liquidity needs associated with our domestic debt service requirements. We do not consider undistributed foreign earnings to be indefinitely reinvested as of December 31, 2023, with certain limited exceptions and have, in those cases, recorded corresponding deferred taxes. We consider the undistributed capital investments in most of our foreign subsidiaries to be indefinitely reinvested as of December 31, 2023 and have not provided deferred taxes on any outside basis differences.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material cash requirements consist of the following contractual obligations, excluding pension obligations. See Note 17. Pension and Other Postretirement Benefit Plans, to our consolidated financial statements. We had no off balance sheet arrangements during the years ended December 31, 2023, 2022 and 2021.</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debt obligation includes all interest and principal of borrowings under our senior secured credit facilities, senior secured term loan due 2028, AR Facility, senior secured notes due 2025 and 2027 and senior exchangeable notes due 2025. Under certain circumstances, we are required to pay a percentage of the excess cash flow, if any, generated each year to our lenders which is not reflected in the amount disclosed below. Interest on the senior secured credit facilities, senior secured term loan due 2028 and AR Facility is based on the SOFR rate or the Reference Rate plus a base margin and includes the effect of interest rate swaps. See Note 10. Debt, to our consolidated financial statements. As of December 31, 2023, we had a total debt obligation, including interest, of $7 billion, with $501 million due within the next 12 months. For purposes of this disclosure, we have used projected SOFR or Reference Rates, as applicable, for all future periods.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Lease obligations</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lease approximately 800 thousand square feet of office space in 61 locations in 38 countries. Lease payment escalations are based on fixed annual increases, local consumer price index changes or market rental reviews. We have renewal options of various term lengths in approximately 37 leases. We have 1 purchase options and no restrictions imposed by our leases concerning dividends or additional debt. See Note 13. Leases, to our consolidated financial statements. As of December 31, 2023, we had total lease obligation of $97 million, with $18 million due within the next 12 months.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IT agreements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Certain agreements with technology providers, including for the provision of outsourcing services for our IT infrastructure and applications and the provision of certain cloud-based services, include minimum amounts due for the provision of those services. Contractual minimums are annual in some instances and span multiple years in other contracts. As of December 31, 2023, we had total IT agreement obligations of $2.2 billion, with $275 million due within the next 12 months. Actual payments may vary significantly from the minimum amounts calculated and include our estimated spend for those contracts with committed spend covering multiple years.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Purchase obligations</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Purchase obligations represent an estimate of open purchase orders and contractual obligations in the ordinary course of business for which we have not received the goods or services as of December 31, 2023. Although open purchase orders are considered enforceable and legally binding, the terms generally allow us the option to cancel, reschedule and adjust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jc w:val="both"/>
        <w:ind w:right="20"/>
        <w:spacing w:after="0" w:line="286" w:lineRule="auto"/>
        <w:rPr>
          <w:sz w:val="20"/>
          <w:szCs w:val="20"/>
          <w:color w:val="auto"/>
        </w:rPr>
      </w:pPr>
      <w:r>
        <w:rPr>
          <w:rFonts w:ascii="Arial" w:cs="Arial" w:eastAsia="Arial" w:hAnsi="Arial"/>
          <w:sz w:val="16"/>
          <w:szCs w:val="16"/>
          <w:color w:val="auto"/>
        </w:rPr>
        <w:t>requirements based on our business needs prior to the delivery of goods or performance of services. As of December 31, 2023, we had a total purchase obligation of $271 million, with $204 million due within the next 12 months.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Letters of credit</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letters of credit consist of stand-by letters of credit, underwritten by a group of lenders and backed by cash collateral, which we primarily issue in the normal course of business. There were no claims made against any standby letters of credit during the years ended December 31, 2023, 2022 and 2021. As of December 31, 2023, we had a total obligation of $12 million, with $6 million due within the next 12 months.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Unrecognized tax benefits</w:t>
      </w:r>
    </w:p>
    <w:p>
      <w:pPr>
        <w:spacing w:after="0" w:line="125"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 As of December 31, 2023, we had a total obligation of $61 million, with $4 million due within the next 12 months.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As of December 31, 2023, our outstanding debt totaled $4.8 billion, which is net of debt issuance costs and unamortized discounts of $128 million. Currently approximately 45% of our debt, net of cash and hedging impacts from interest rates swaps, is variable and impacted by changes in interest rates. Approximately 28% of our debt is variable, excluding the Senior Secured Term Loan due in 2028, where interest rate pricing is subject to the highest yield to maturity of Sabre GLBL secured debt as defined by the Reference Rate. See “Risk Factors—We are exposed to interest rate fluctuations." In the future, we may review opportunities to refinance our existing debt, as well as conduct debt or equity offerings to support future strategic investments, support operational requirements, provide additional liquidity, or pay down debt.</w:t>
      </w:r>
    </w:p>
    <w:p>
      <w:pPr>
        <w:spacing w:after="0" w:line="8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global capital markets experienced periods of volatility throughout 2022 and 2023 in response to the geopolitical conflict, increases in the rate of inflation, and uncertainty regarding the path of U.S. monetary policy. During 2022 and 2023, we refinanced portions of our debt which resulted in interest rates higher than prior years, increasing current and future interest expense. However, the June 2023 Refinancing (as defined below) provides the ability for interest to be payable-in-kind, such that amounts due are capitalized into the note balance at the payment date rather than paid in cash, reducing our near-term cash payments for interest on this debt. Additionally, the issuance of the June 2027 Notes (as defined below) resulted in cash payments totaling $130 million primarily to holders of prior notes but allowed us to better manage our ongoing interest expense and payments and extend our debt maturities. Subject to market conditions, we may opportunistically refinance portions of our debt in the near term which, at current interest rates and market conditions, may negatively impact our interest expense or result in higher dilution. In addition, from time to time, we may decide to repurchase or otherwise retire portions of our existing indebtedness through transactions in the open market, privately negotiated transactions, tender offers, exchange offers or otherwise, or we may redeem or prepay portions of our existing indebtedness. Any such action will depend on market conditions and various other factors existing at that time. Furthermore, we may be required to pay US Airways' reasonable attorneys' fees and costs related to our antitrust litigation with US Airways. See Note 18. Commitments and Contingencies, to our consolidated financial statements.</w:t>
      </w:r>
    </w:p>
    <w:p>
      <w:pPr>
        <w:spacing w:after="0" w:line="7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continued access to capital resources depends on multiple factors, including global economic conditions, the condition of global financial markets, the availability of sufficient amounts of financing, our ability to meet debt covenant requirements, our operating performance, and our credit ratings. These factors could lead to further market disruption and potential increases to our funding costs.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If our credit ratings were to be downgraded, or financing sources were to become more limited or to ascribe higher risk to our rating levels or our industry, our access to capital and the cost of any financing would be negatively impacted. There is no guarantee that additional debt financing will be available in the future to fund our obligations, or that it will be available on commercially reasonable terms, in which case we may need to seek other sources of funding. In addition, the terms of future debt agreements could include more restrictive covenants than those we are currently subject to, which could restrict our business operations. For more information, see "Risk Factors—We may require more cash than we generate in our operating activities, and additional funding on reasonable terms or at all may not be available."</w:t>
      </w:r>
    </w:p>
    <w:p>
      <w:pPr>
        <w:spacing w:after="0" w:line="7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restrictions on incurring certain types of indebtedness, creation of liens on certain assets, making of certain investments, and payment of dividends. In the first quarter of 2023, we entered into a securitization transaction on our accounts receivable balances pursuant to the AR facility which provided a maximum of $200 million in additional funding. In June 2023, we entered into the 2023 Term Loan Agreement, which provides for a senior secured term loan of up to $700 million in aggregate principal amount and requires that we maintain cash balances of at least $100 million in certain foreign subsidiaries and other covenants to ensure collateral of the applicable foreign guarantors meet certain minimum levels. The 2023 Term Loan Agreement also includes various non-financial covenants, including restrictions on making certain investments, disposition activities and affiliate transactions. In addition, the 2023 Term Loan Agreement contains customary prepayment events and financial and negative covenants and other representations, covenants and events of default based on, but in certain instances more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jc w:val="both"/>
        <w:ind w:right="20"/>
        <w:spacing w:after="0" w:line="286" w:lineRule="auto"/>
        <w:rPr>
          <w:sz w:val="20"/>
          <w:szCs w:val="20"/>
          <w:color w:val="auto"/>
        </w:rPr>
      </w:pPr>
      <w:r>
        <w:rPr>
          <w:rFonts w:ascii="Arial" w:cs="Arial" w:eastAsia="Arial" w:hAnsi="Arial"/>
          <w:sz w:val="16"/>
          <w:szCs w:val="16"/>
          <w:color w:val="auto"/>
        </w:rPr>
        <w:t>restrictive than, the Amended and Restated Credit Agreement. As of December 31, 2023, we are in compliance with all covenants under the terms of the Amended and Restated Credit Agreement, the AR Facility and the 2023 Term Loan Agreement.</w:t>
      </w:r>
    </w:p>
    <w:p>
      <w:pPr>
        <w:spacing w:after="0" w:line="6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required to pay down our term loans by an amount equal to 50% of annual excess cash flow, as defined in the Amended and Restated Credit Agreement. This percentage requirement may decrease or be eliminated if certain leverage ratios are achieved. Based on our results for the year ended December 31, 2022, we were not required to make an excess cash flow payment in 2023, and no excess cash flow payment is expected to be required in 2024 with respect to our results for the year ended December 31, 2023.</w:t>
      </w:r>
    </w:p>
    <w:p>
      <w:pPr>
        <w:spacing w:after="0" w:line="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further required to pay down the term loans with proceeds from certain asset sales, net of taxes, or borrowings, that are not otherwise reinvested in the business, as provided in the Amended and Restated Credit Agreement. As of December 31, 2023, we have reinvested $277 million of the proceeds from the disposition of AirCentre. In 2023, we prepaid $16 million in principal and unaccrued interest on 2021 Term Loan B-2, and $32 million in principal and unaccrued interest on 2022 Term Loan B-1 and 2022 Term Loan B-2, using the remaining net cash proceeds from the sale of AirCentre, in accordance with the contractual terms of the Amended and Restated Credit Agreement dated February 19, 2013.</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Events Impacting Our Liquidity and Capital Resources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 Agreements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May 16, 2023, Sabre GLBL entered into Amendment No. 5 to the Credit Agreement (the “SOFR Amendment”). The SOFR Amendment was entered into pursuant to the Amended and Restated Credit Agreement, dated as of February 19, 2013. The SOFR Amendment provides for the replacement of LIBOR-based rates with a SOFR-based rate for the 2021 Term Loan B-1 and 2021 Term Loan B-2 and amends certain provisions of the Credit Agreement. The change from LIBOR to SOFR is due to the reference rate reform and the phasing out of LIBOR as a loan benchmark. The SOFR Amendment did not have a material impact on our financial position or results of operations.</w:t>
      </w:r>
    </w:p>
    <w:p>
      <w:pPr>
        <w:spacing w:after="0" w:line="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June 13, 2023, Sabre Financial Borrower, LLC (“Sabre FB”), our indirect, consolidated subsidiary entered into a series of transactions including a new term loan credit agreement with certain lenders (the "2023 Term Loan Agreement") and an intercompany secured term loan agreement (the “Pari Passu Loan Agreement“”). The 2023 Term Loan Agreement provides for a senior secured term loan (the “Senior Secured Term Loan Due 2028”) of up to $700 million in aggregate principal amount, subject to Sabre FB using the proceeds from the Senior Secured Term Loan Due 2028 for an intercompany loan to Sabre GLBL. On June 13, 2023, Sabre FB borrowed the full $700 million amount under the 2023 Term Loan Agreement and lent the funds to Sabre GLBL under the Pari Passu Loan Agreement. Borrowings under 2023 Term Loan Agreement are secured by the assets of Sabre FB, including Sabre FB's claims under the Pari Passu Loan Agreement, and assets of certain of our foreign subsidiaries. Borrowings under the Pari Passu Loan Agreement are secured by first-priority liens on the same collateral securing the indebtedness owing under the Senior Secured Credit Facilities and Sabre GLBL's outstanding Senior Secured Notes. Sabre GLBL used the proceeds borrowed under the Pari Passu Loan Agreement to repurchase $650 million of its outstanding 9.25% Senior Secured Notes due 2025 (the “June 2023 Refinancing”) and $15 million of its outstanding 2021 Term Loan B-1, 2021 Term Loan B-2 and 2022 Term Loan B-</w:t>
      </w:r>
    </w:p>
    <w:p>
      <w:pPr>
        <w:spacing w:after="0" w:line="5" w:lineRule="exact"/>
        <w:rPr>
          <w:sz w:val="20"/>
          <w:szCs w:val="20"/>
          <w:color w:val="auto"/>
        </w:rPr>
      </w:pPr>
    </w:p>
    <w:p>
      <w:pPr>
        <w:jc w:val="both"/>
        <w:ind w:firstLine="8"/>
        <w:spacing w:after="0" w:line="258" w:lineRule="auto"/>
        <w:tabs>
          <w:tab w:leader="none" w:pos="20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remaining proceeds, net of a discount of $23 million, were used to pay $13 million in other fees and expenses. We incurred additional fees of $15 million, plus $10 million of accrued and unpaid interest on the 9.25% Senior Secured Notes, which were funded with cash on hand. We recognized a net gain on extinguishment of debt in connection with the June 2023 Refinancing during the year ended December 31, 2023 of $13 million. As of December 31, 2023, we are in compliance with the covenants under the 2023 Term Loan Agreement and the Pari Passu Loan Agreement.</w:t>
      </w:r>
    </w:p>
    <w:p>
      <w:pPr>
        <w:spacing w:after="0" w:line="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September 7, 2023, Sabre GLBL completed exchange offers in which approximately $787 million of our 7.375% senior secured notes due 2025 and approximately $66 million of our 9.25% senior secured notes due 2025 were exchanged for a combination of cash and approximately $853 million aggregate principal amount of 8.625% senior secured notes due 2027 (the “June 2027 Notes”), issued at par (the “September 2023 Exchange Transaction”). The June 2027 Notes are jointly and severally, irrevocably and unconditionally guaranteed by Sabre Holdings and all of Sabre GLBL’s restricted subsidiaries that guarantee the Senior Secured Credit Facilities and the Secured Term Loan Due 2028. The June 2027 Notes bear interest at a rate of 8.625% per annum and interest payments are due semi-annually in arrears on March 1 and September 1 of each year, beginning March 1, 2024. The June 2027 Notes mature on June 1, 2027. Sabre GLBL did not receive any cash proceeds from the exchange and did not incur additional indebtedness in excess of the aggregate principal amount of existing notes that were exchanged. We incurred additional fees of approximately $133 million, primarily consisting of approximately $115 million in exchange fees, $15 million in underwriting and associated fees and expenses plus $3 million of accrued and unpaid interest, all of which were funded with cash on hand. We determined that the exchange transaction, including the impact of the exchange fees, represents a debt extinguishment and therefore recognized a loss on extinguishment of debt during the year ended December 31, 2023 of $121 million, consisting of $115 million in exchange fees related to the June 2027 Notes and $6 million related to the write-off of unamortized debt issuance costs on the 9.25% senior secured notes and 7.375% senior secured notes.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AR Facility</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On February 14, 2023, Sabre Securitization, LLC, an indirect, consolidated subsidiary of Sabre Corporation and a special purpose entity (“Sabre Securitization”), entered into a three-year committed accounts receivable securitization facility (the “AR Facility”) of up to $200 million with PNC Bank, N.A. As of December 31, 2023, we had $110 million outstanding under the AR Facility. These proceeds are being used for general corporate purposes.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Dividends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6" w:name="page47"/>
    <w:bookmarkEnd w:id="46"/>
    <w:p>
      <w:pPr>
        <w:jc w:val="both"/>
        <w:ind w:firstLine="486"/>
        <w:spacing w:after="0" w:line="265" w:lineRule="auto"/>
        <w:rPr>
          <w:sz w:val="20"/>
          <w:szCs w:val="20"/>
          <w:color w:val="auto"/>
        </w:rPr>
      </w:pPr>
      <w:r>
        <w:rPr>
          <w:rFonts w:ascii="Arial" w:cs="Arial" w:eastAsia="Arial" w:hAnsi="Arial"/>
          <w:sz w:val="16"/>
          <w:szCs w:val="16"/>
          <w:color w:val="auto"/>
        </w:rPr>
        <w:t>The Preferred Stock accumulated cumulative dividends at a rate per annum equal to 6.50% payable, at our election, in cash, shares of our common stock or a combination of cash and shares of our common stock. We accrued $14 million and $21 million of preferred stock dividends in our consolidated results of operations for the year ended December 31, 2023 and 2022, respectively. During the year ended December 31, 2023 and 2022, we paid cash dividends on our preferred stock of $16 million and $21 million, respectively. On September 1, 2023, the mandatory conversion date, each outstanding share of Preferred Stock was automatically converted into shares of our common stock. See Note 14. Stock and Stockholders’ Equity for further details.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Share Repurchase Program</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During the year ended December 31, 2023, we did not repurchase any shares pursuant to the Share Repurchase Program. On March 16, 2020, we announced the suspension of share repurchases under the Share Repurchase Program in conjunction with the cash management measures we are undertaking as a result of the market conditions caused by COVID-19. As of December 31, 2023, the Share Repurchase Program remains suspended and approximately $287 million remains authorized for repurchases. In addition, the terms of certain of the agreements governing our indebtedness contain covenants that, among other things, limit our ability to repurchase our common stock. See “Risk Factors—The terms of our debt covenants could limit our discretion in operating our business and any failure to comply with such covenants could result in the default of all of our debt.”</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March 9, 2022, we entered into an amendment to refinance a portion of our then-outstanding Term Loan B facility (the "March 2022 Refinancing"). Our Senior Secured Credit Facility is governed by the Amended and Restated Credit Agreement. We incurred no additional indebtedness as a result of the March 2022 Refinancing, other than amounts covering discounts and certain fees and expenses. The March 2022 Refinancing included the application of the proceeds of a new $625 million term loan “B” facility (the “2022 Term Loan B-1 Facility”), borrowed by Sabre GLBL under our Amended and Restated Credit Agreement, with the effect of extending the maturity of approximately $623 million of the existing Term Loan B credit facility under the Amended and Restated Credit Agreement. The remaining proceeds, net of a discount of $1 million, were used to pay $1 million in other fees and expenses. We incurred an additional discount of $5 million and other fees of $3 million which were funded with cash on hand. We recognized a loss on extinguishment of debt in connection with the March 2022 Refinancing during the year ended December 31, 2022 of $4 million and debt modification costs for financing fees of $1 million recorded to Other, net. The 2022 Term Loan B-1 Facility matures on June 30, 2028 and offers us the ability to prepay or repay the 2022 Term Loan B-1 Facility after 12 months or to prepay or repay at a 101 premium before that date. The interest rates on the 2022 Term Loan B-1 Facility are based on Term SOFR, replacing LIBOR, plus an applicable margin.</w:t>
      </w:r>
    </w:p>
    <w:p>
      <w:pPr>
        <w:spacing w:after="0" w:line="7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On August 15, 2022, we entered into an amendment to refinance a portion of our then-outstanding Term Loan B facility (the "August 2022 Refinancing"). We incurred no additional indebtedness as a result of the August 2022 Refinancing, other than amounts covering discounts and certain fees and expenses. The August 2022 Refinancing included the application of the proceeds of a new $675 million term loan “B” facility (the “2022 Term Loan B-2 Facility”), borrowed by Sabre GLBL under our Amended and Restated Credit Agreement, with the effect of extending the maturity of approximately $647 million of the existing Term Loan B credit facility under the Amended and Restated Credit Agreement. The remaining proceeds, net of a discount of $25 million, were used to pay $3 million in other fees and expenses. We incurred an additional discount of $9 million and other fees of $2 million which were funded with cash on hand. We recognized debt modification costs for financing fees in connection with the August 2022 Refinancing during the year ended December 31, 2022 of $5 million recorded to Other, net. No loss on extinguishment of debt was recorded as a result of the August 2022 Refinancing. The 2022 Term Loan B-2 Facility matures on June 30, 2028 and offers us the ability to prepay or repay the 2022 Term Loan B-2 Facility after 12 months months or to prepay or repay at a 101 premium before that date. The interest rates on the 2022 Term Loan B-2 Facility are based on Term SOFR, replacing LIBOR, plus an applicable margin.</w:t>
      </w:r>
    </w:p>
    <w:p>
      <w:pPr>
        <w:spacing w:after="0" w:line="6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Applicable margins for the 2021 Term Loan B-1 and 2021 Term Loan B-2 are 3.50% per annum for Term SOFR loans and 2.50% per annum for base rate loans over the life of the loan, with a floor of 0.50% for the Term SOFR rate, and 1.50% for the base rate, respectively, and a credit spread adjustment factor of 0.11%. Applicable margins for the 2022 Term Loan B-1 are 4.25% per annum for Term SOFR loans and 3.25% per annum for base rate loans over the life of the loan, with a floor of 0.50% for the Term SOFR rate, and 1.50% for the base rate, respectively, and a credit spread adjustment factor of 0.10%. Applicable margins for the 2022 Term Loan B-2 are 5.00% per annum for Term SOFR loans and 4.00% per annum for base rate loans over the life of the loan, with a floor of 0.50% for the Term SOFR rate, and 1.50% for the base rate, respectively, and a credit spread adjustment factor of 0.10%.</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Cash provided by operating activities totaled $56 million for the year ended December 31, 2023. The $333 million increase in operating cash flow from 2022 was primarily due to increased transaction volumes, partially offset by a $108 million increase in interest payments related to our debt and $48 million of severance payments made in connection with our cost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reduction plan. Additionally, cash flow from operations in 2023 benefited from several working capital initiatives, which is not expected to reoccur in 2024.</w:t>
      </w:r>
    </w:p>
    <w:p>
      <w:pPr>
        <w:spacing w:after="0" w:line="11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Cash used in operating activities totaled $276 million for the year ended December 31, 2022. The $138 million increase in operating cash flow from 2021 was primarily due to an improvement in our results of operations as a result of the gradual global recovery from the COVID-19 pandemic during 2022, partially offset by payments of $67 million to our employees under performance-based bonus plans that did not occur in the prior year and an increase in interest payments of $39 million related to our term loans.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For the year ended December 31, 2023, we used $87 million of cash for capital expenditures primarily related to software developed for internal use, and $23 million for investment and acquisition-related activity.</w:t>
      </w:r>
    </w:p>
    <w:p>
      <w:pPr>
        <w:spacing w:after="0" w:line="3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For the year ended December 31, 2022, we received proceeds of $392 million from the sale of AirCentre, partially offset by $69 million of cash used on capital expenditures primarily related to software developed for internal use, $80 million for the investment in GBT, and $69 million for Conferma and other acquisitions.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2023, we used $94 million for financing activities. Significant highlights of our financing activities included:</w:t>
      </w:r>
    </w:p>
    <w:p>
      <w:pPr>
        <w:spacing w:after="0" w:line="113" w:lineRule="exact"/>
        <w:rPr>
          <w:sz w:val="20"/>
          <w:szCs w:val="20"/>
          <w:color w:val="auto"/>
        </w:rPr>
      </w:pPr>
    </w:p>
    <w:p>
      <w:pPr>
        <w:ind w:left="800" w:hanging="306"/>
        <w:spacing w:after="0"/>
        <w:tabs>
          <w:tab w:leader="none" w:pos="800" w:val="left"/>
        </w:tabs>
        <w:numPr>
          <w:ilvl w:val="0"/>
          <w:numId w:val="14"/>
        </w:numPr>
        <w:rPr>
          <w:rFonts w:ascii="Arial" w:cs="Arial" w:eastAsia="Arial" w:hAnsi="Arial"/>
          <w:sz w:val="16"/>
          <w:szCs w:val="16"/>
          <w:i w:val="1"/>
          <w:iCs w:val="1"/>
          <w:color w:val="212529"/>
        </w:rPr>
      </w:pPr>
      <w:r>
        <w:rPr>
          <w:rFonts w:ascii="Arial" w:cs="Arial" w:eastAsia="Arial" w:hAnsi="Arial"/>
          <w:sz w:val="16"/>
          <w:szCs w:val="16"/>
          <w:color w:val="auto"/>
        </w:rPr>
        <w:t>proceeds of $853 million from the issuance of the 8.625% senior secured notes due 2027;</w:t>
      </w:r>
    </w:p>
    <w:p>
      <w:pPr>
        <w:spacing w:after="0" w:line="113" w:lineRule="exact"/>
        <w:rPr>
          <w:rFonts w:ascii="Arial" w:cs="Arial" w:eastAsia="Arial" w:hAnsi="Arial"/>
          <w:sz w:val="16"/>
          <w:szCs w:val="16"/>
          <w:i w:val="1"/>
          <w:iCs w:val="1"/>
          <w:color w:val="212529"/>
        </w:rPr>
      </w:pPr>
    </w:p>
    <w:p>
      <w:pPr>
        <w:ind w:left="800" w:hanging="306"/>
        <w:spacing w:after="0"/>
        <w:tabs>
          <w:tab w:leader="none" w:pos="800" w:val="left"/>
        </w:tabs>
        <w:numPr>
          <w:ilvl w:val="0"/>
          <w:numId w:val="14"/>
        </w:numPr>
        <w:rPr>
          <w:rFonts w:ascii="Arial" w:cs="Arial" w:eastAsia="Arial" w:hAnsi="Arial"/>
          <w:sz w:val="16"/>
          <w:szCs w:val="16"/>
          <w:i w:val="1"/>
          <w:iCs w:val="1"/>
          <w:color w:val="212529"/>
        </w:rPr>
      </w:pPr>
      <w:r>
        <w:rPr>
          <w:rFonts w:ascii="Arial" w:cs="Arial" w:eastAsia="Arial" w:hAnsi="Arial"/>
          <w:sz w:val="16"/>
          <w:szCs w:val="16"/>
          <w:color w:val="auto"/>
        </w:rPr>
        <w:t>payment of $787 million on our 7.375% senior secured notes due 2025 and $66 million on our 9.25% senior secured notes due 2025;</w:t>
      </w:r>
    </w:p>
    <w:p>
      <w:pPr>
        <w:spacing w:after="0" w:line="126" w:lineRule="exact"/>
        <w:rPr>
          <w:rFonts w:ascii="Arial" w:cs="Arial" w:eastAsia="Arial" w:hAnsi="Arial"/>
          <w:sz w:val="16"/>
          <w:szCs w:val="16"/>
          <w:i w:val="1"/>
          <w:iCs w:val="1"/>
          <w:color w:val="212529"/>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proceeds of $677 million from the issuance of the Senior Secured Term Loan Due 2028;</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payment of $665 million on our 9.25% senior secured notes due 2025, 2021 Term Loan B-1, 2021 Term Loan B-2 and 2022 Term Loan B-2;</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payment of $160 million in debt discount and issuance costs;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proceeds of $110 million from borrowings on our AR Facility;</w:t>
      </w:r>
    </w:p>
    <w:p>
      <w:pPr>
        <w:spacing w:after="0" w:line="113" w:lineRule="exact"/>
        <w:rPr>
          <w:rFonts w:ascii="Arial" w:cs="Arial" w:eastAsia="Arial" w:hAnsi="Arial"/>
          <w:sz w:val="16"/>
          <w:szCs w:val="16"/>
          <w:color w:val="auto"/>
        </w:rPr>
      </w:pPr>
    </w:p>
    <w:p>
      <w:pPr>
        <w:ind w:left="820" w:hanging="326"/>
        <w:spacing w:after="0" w:line="197" w:lineRule="auto"/>
        <w:tabs>
          <w:tab w:leader="none" w:pos="815" w:val="left"/>
        </w:tabs>
        <w:numPr>
          <w:ilvl w:val="0"/>
          <w:numId w:val="14"/>
        </w:numPr>
        <w:rPr>
          <w:rFonts w:ascii="Times New Roman" w:cs="Times New Roman" w:eastAsia="Times New Roman" w:hAnsi="Times New Roman"/>
          <w:sz w:val="28"/>
          <w:szCs w:val="28"/>
          <w:color w:val="auto"/>
          <w:vertAlign w:val="superscript"/>
        </w:rPr>
      </w:pPr>
      <w:r>
        <w:rPr>
          <w:rFonts w:ascii="Arial" w:cs="Arial" w:eastAsia="Arial" w:hAnsi="Arial"/>
          <w:sz w:val="16"/>
          <w:szCs w:val="16"/>
          <w:color w:val="auto"/>
        </w:rPr>
        <w:t>payment of $56 million on our term loans under the Amended and Restated Credit Agreement, $48 million of which is a prepayment from the AirCentre disposition;</w:t>
      </w:r>
    </w:p>
    <w:p>
      <w:pPr>
        <w:spacing w:after="0" w:line="84" w:lineRule="exact"/>
        <w:rPr>
          <w:rFonts w:ascii="Times New Roman" w:cs="Times New Roman" w:eastAsia="Times New Roman" w:hAnsi="Times New Roman"/>
          <w:sz w:val="28"/>
          <w:szCs w:val="28"/>
          <w:color w:val="auto"/>
          <w:vertAlign w:val="superscript"/>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proceeds of $16 million from the sale of common shares of a subsidiary;</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payment of $16 million in dividends on our preferred stock;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payments of $6 million from the settlement of employee stock awards.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2022, we used $75 million for financing activities. Significant highlights of our financing activities included:</w:t>
      </w:r>
    </w:p>
    <w:p>
      <w:pPr>
        <w:spacing w:after="0" w:line="127" w:lineRule="exact"/>
        <w:rPr>
          <w:sz w:val="20"/>
          <w:szCs w:val="20"/>
          <w:color w:val="auto"/>
        </w:rPr>
      </w:pPr>
    </w:p>
    <w:p>
      <w:pPr>
        <w:ind w:left="820" w:hanging="326"/>
        <w:spacing w:after="0" w:line="286" w:lineRule="auto"/>
        <w:tabs>
          <w:tab w:leader="none" w:pos="80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proceeds of $624 million, $650 million, and $545 million from the issuance of the 2022 Term Loan B-1 Facility, the 2022 Term Loan B-2 Facility and the December 2027 Notes;</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 of $1.8 billion on Term Loan B;</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 of $17 million on 2021 Term B-1 Facility, 2021 Term B-2 Facility, 2022 Term Loan B-1 Facility and 2022 Term Loan B-2 Facility;</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 of $33 million in debt discount and issuance costs;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 of $21 million in dividends on our preferred stock;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payments of $16 million from the settlement of employee stock awards.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3"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Information related to Recent Accounting Pronouncements is included in Note 1. Summary of Business and Significant Accounting Policies, to our consolidated financial statements included in Part II, Item 8 in this Annual Report on Form 10-K, which is incorporated herein by reference.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accounting policies that include significant estimates and assumptions include: (i) estimation for revenue recognition and multiple performance obligation arrangements, (ii) the evaluation of the recoverability of the carrying value of long-lived assets and goodwill, (iii) the evaluation of uncertainties surrounding the calculation of our tax assets and liabilities, and (iv) estimation of loss contingencies.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8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 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1. Summary of Business and Significant Accounting Policies, to our consolidated financial statements.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 and Multiple Performance Obligation Arrangements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agreements with customers of our Travel Solutions business may have multiple performance obligations which generally include software solutions through SaaS and hosted delivery, professional service fees and implementation services. We also evaluate performance obligations across multiple agreements when entered into with the same customer at or near the same time. These multiple performance obligation arrangements involve judgments, including estimating the selling prices of goods and services, estimating the total contract consideration and allocating amounts to each distinct performance obligation and forecasting future volumes.</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Revenue recognition from our IT Solutions products requires significant judgments such as identifying distinct performance obligations including material rights within an agreement, estimating the total contract consideration and allocating amounts to each distinct performance obligation, determining whether variable pricing within a contract meets the allocation objective, and forecasting future volumes. For a small number of our contracts, we are required to forecast volumes as a result of pricing variability within the contract in order to calculate the rate for revenue recognition. Any changes in these judgments and estimates could have an impact on the revenue recognized in future periods.</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evaluate revenue recognition for agreements with customers which generally are represented by individual contracts but could include groups of contracts if the contracts are executed at or near the same time. Typically, access to our GDS and our professional service fees are separated from the implementation and software services. We account for separate 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8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are reviewed for recoverability on a periodic basis based on a review of impairment indicators. Deferred customer advances and discounts are reviewed for recoverability based on future contracted revenues and estimated direct costs of the contract when a significant event occurs that could impact the recoverability of the assets, such as a significant contract modification or early renewal of contract terms. These assets are directly supported by estimates of Passengers Boarded and booking volumes for specific customers over their remaining contractual terms. Due to the long-term nature of the relevant contracts, recovery of these assets is not sensitive to near-term declines in volumes. For the year ended December 31, 2023, we did not impair any of these assets as a result of the related contracts becoming uncollectable, modified or canceled. Contracts are priced to generate total revenues over the life of the contract that exceed any discounts or advances provided and any upfront costs incurred to implement the customer contract.</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two reporting units associated with our continuing operations: Travel Solutions and Hospitality Solutions.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9" w:name="page50"/>
    <w:bookmarkEnd w:id="49"/>
    <w:p>
      <w:pPr>
        <w:jc w:val="both"/>
        <w:ind w:firstLine="486"/>
        <w:spacing w:after="0" w:line="257" w:lineRule="auto"/>
        <w:rPr>
          <w:sz w:val="20"/>
          <w:szCs w:val="20"/>
          <w:color w:val="auto"/>
        </w:rPr>
      </w:pPr>
      <w:r>
        <w:rPr>
          <w:rFonts w:ascii="Arial" w:cs="Arial" w:eastAsia="Arial" w:hAnsi="Arial"/>
          <w:sz w:val="16"/>
          <w:szCs w:val="16"/>
          <w:color w:val="auto"/>
        </w:rPr>
        <w:t>We evaluate goodwill for impairment on an annual basis or when impairment indicators exist. We begin our evaluation with a qualitative assessment of whether it is more likely than not that a reporting unit’s fair value is less than its carrying value before applying a quantitative assessment. Our qualitative assessments consider a variety of factors, including but not limited to domestic and international economic indicators, interest rates, our financial performance, and the most recent information from the International Air Transport Association ("IATA") about global passenger traffic returning to pre-COVID-19 levels, which we believe to be a key assumption. If it is determined through the evaluation of events or circumstances that the carrying value may not be recoverable, or if we decide to bypass the qualitative assessment, we perform a quantitative assessment comparing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fair value through an adjustment to the goodwill balance, resulting in an impairment charge. The determination of fair value requires us to make significant judgments and estimates including cash flow projections and assumptions related to market participants, the principal markets, and the highest and best use of the reporting units. Changes in the assumptions used in our impairment testing may result in future impairment losses which could have a material impact on our results of operations. We utilize third-party appraisal firms to assist us in determining the fair value of a reporting unit as part of performing the quantitative assessment. We did not record any goodwill impairment charges for the years ended December 31, 2023, 2022 and 2021.</w:t>
      </w:r>
    </w:p>
    <w:p>
      <w:pPr>
        <w:spacing w:after="0" w:line="7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Definite-lived intangible assets are assigned depreciable lives of two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then measured at fair value and an impairment charge is recorded based on the excess of the carrying value of the assets over its fair value. We did not record material intangible asset impairment charges for the years ended December 31, 2023, 2022 and 2021.</w:t>
      </w:r>
    </w:p>
    <w:p>
      <w:pPr>
        <w:spacing w:after="0" w:line="3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Taxes</w:t>
      </w:r>
    </w:p>
    <w:p>
      <w:pPr>
        <w:spacing w:after="0" w:line="12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The current economic environment has caused increased uncertainty in determining certain key assumptions</w:t>
      </w:r>
    </w:p>
    <w:p>
      <w:pPr>
        <w:spacing w:after="0" w:line="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within the assessment of our future taxable income upon which recognition of deferred tax assets is assessed. At year end, we had a valuation allowance on a portion of our deferred tax assets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When assessing the need for a valuation allowance, all positive and negative evidence is analyzed, including our ability to carry back NOLs to prior periods, the reversal of deferred tax liabilities, tax planning strategies and projected future taxable income. Significant losses related to COVID-19 resulted in a three-year cumulative loss in certain jurisdictions, which represents significant negative evidence regarding the ability to realize deferred tax assets. As a result, we maintain a cumulative valuation allowance on our U.S. federal and state deferred tax assets of $486 million and $47 million, respectively as of December 31, 2023. For non-U.S. deferred tax assets of certain subsidiaries, we maintained a cumulative valuation allowance on current year losses and other deferred tax assets of $118 million as of December 31, 2023. We reassess these assumptions regularly, which could cause an increase or decrease to the valuation allowance resulting in an increase or decrease in the effective tax rate and could materially impact our results of operations.</w:t>
      </w:r>
    </w:p>
    <w:p>
      <w:pPr>
        <w:spacing w:after="0" w:line="8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2023 and 2022, we had a liability, including interest and penalty, of $61 million and $97 million, respectively, for unrecognized tax benefits, of which $57 million and $88 million, respectively, would affect our effective tax rate if recognized. Such a change in recognition or measurement would result in the recognition of a tax benefit or an additional charge to the provision for income taxes from continuing operations.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Loss Contingencies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While certain legal proceedings and related indemnification obligations and certain tax matters to which we are a party specify the amounts claimed, these claims may not represent reasonably possible losses. Given the inherent uncertainties of litigation and tax claims, the ultimate outcome of these matters cannot be predicted, nor can the amount of possible loss or range of loss, if any, be reasonably estimated, except in circumstances where an aggregate litigation accrual has been recorded for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6"/>
          <w:szCs w:val="16"/>
          <w:color w:val="auto"/>
        </w:rPr>
        <w:t>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Changes in these factors could materially impact our results of operations.</w:t>
      </w:r>
    </w:p>
    <w:p>
      <w:pPr>
        <w:spacing w:after="0" w:line="200" w:lineRule="exact"/>
        <w:rPr>
          <w:sz w:val="20"/>
          <w:szCs w:val="20"/>
          <w:color w:val="auto"/>
        </w:rPr>
      </w:pPr>
    </w:p>
    <w:p>
      <w:pPr>
        <w:spacing w:after="0" w:line="291"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Market Risk Management</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Market risk is the potential loss from adverse changes in: (i) prevailing interest rates, (ii) foreign exchange rates, (iii) credit risk and (iv) inflation. Our exposure to market risk relates to interest payments due on our long-term debt, derivative instruments, income on cash and cash equivalents, accounts receivable and payable, subscriber incentive liabilities and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Historically, our exposure to interest rate risk has primarily related to our interest rate swaps and interest rates under our Amended and Restated Credit Agreement on our senior secured credit facilities. In June 2023, we entered into a new senior secured term loan facility, the Senior Secured Term Loan Due 2028, that bears interest at a floating rate based on the average of the highest yield to maturity of any tranche of Sabre GLBL’s or any of its affiliates’ outstanding secured indebtedness (as defined within the 2023 Term Loan Agreement) on each of the 20 prior trading days (the “Reference Rate”), plus (i) 25 basis points for cash interest or (ii) 175 basis points for payable-in-kind interest. The all-in interest rate floor is 11.50% for cash interest and 13.00% for payable-in-kind interest and the all-in interest rate ceiling is 17.50% for cash interest and 19.00% for payable-in-kind interest. An increase in the Reference Rate, up to the ceiling rates, would negatively impact our interest expense. Offsetting some of this exposure is interest income received from our time deposits and money market funds. The objectives of our investment in time deposits and money market funds are (i) preservation of principal, (ii) liquidity and (iii) yield. If future short-term interest rates averaged 10% lower than they were during the year ended December 31, 2023, the impact to our interest income from these investments would not be material. This amount was determined by applying the hypothetical interest rate change to our average time deposits and money market funds invested.</w:t>
      </w:r>
    </w:p>
    <w:p>
      <w:pPr>
        <w:spacing w:after="0" w:line="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2018, we entered into forward starting interest rate swaps to hedge the interest payments associated with $600 million of the then floating-rate Term Loan B related to the year 2021. In April 2022, we entered into an interest rate swap to hedge the interest payments associated with $200 million of the floating-rate 2022 Term Loan B-1 for the years 2022 and 2023. In June 2022, we entered into an interest rate swap to hedge the interest payments associated with $150 million of the floating-rate 2022 Term Loan B-1 for the years 2022 and 2023. In February 2023, we entered into a forward-starting interest rate swap to hedge the interest payments associated with $250 million of the floating-rate 2022 Term Loan B-1 for the year ended 2024. In June 2023, we entered into an interest rate swap to hedge the interest payments associated with $250 million of the floating-rate 2022 Term Loan B-2 for the periods through June 2026. We designated these swaps as cash flow hedges.</w:t>
      </w:r>
    </w:p>
    <w:p>
      <w:pPr>
        <w:spacing w:after="0" w:line="8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Subsequent to December 31, 2023, on January 11, 2024, we entered into an interest rate swap to hedge interest payments associated with $250 million of the floating rate 2022 Term Loan B-1 related to the years 2024 and 2025. The total notional outstanding of $250 million became effective January 16, 2024.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Interest rate swaps outstanding at December 31, 2023 and matured during the years ended December 31, 2023, 2022 and 2021 are as follows: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2140" w:type="dxa"/>
            <w:vAlign w:val="bottom"/>
          </w:tcPr>
          <w:p>
            <w:pPr>
              <w:jc w:val="center"/>
              <w:ind w:left="24"/>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2"/>
                <w:szCs w:val="12"/>
                <w:color w:val="auto"/>
              </w:rPr>
            </w:pPr>
          </w:p>
        </w:tc>
        <w:tc>
          <w:tcPr>
            <w:tcW w:w="2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Interest Rate Paid</w:t>
            </w:r>
          </w:p>
        </w:tc>
        <w:tc>
          <w:tcPr>
            <w:tcW w:w="23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Effective Date</w:t>
            </w:r>
          </w:p>
        </w:tc>
        <w:tc>
          <w:tcPr>
            <w:tcW w:w="2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0" w:type="dxa"/>
            <w:vAlign w:val="bottom"/>
          </w:tcPr>
          <w:p>
            <w:pPr>
              <w:spacing w:after="0"/>
              <w:rPr>
                <w:sz w:val="1"/>
                <w:szCs w:val="1"/>
                <w:color w:val="auto"/>
              </w:rPr>
            </w:pPr>
          </w:p>
        </w:tc>
      </w:tr>
      <w:tr>
        <w:trPr>
          <w:trHeight w:val="176"/>
        </w:trPr>
        <w:tc>
          <w:tcPr>
            <w:tcW w:w="2040" w:type="dxa"/>
            <w:vAlign w:val="bottom"/>
            <w:vMerge w:val="continue"/>
          </w:tcPr>
          <w:p>
            <w:pPr>
              <w:spacing w:after="0"/>
              <w:rPr>
                <w:sz w:val="15"/>
                <w:szCs w:val="15"/>
                <w:color w:val="auto"/>
              </w:rPr>
            </w:pPr>
          </w:p>
        </w:tc>
        <w:tc>
          <w:tcPr>
            <w:tcW w:w="2140" w:type="dxa"/>
            <w:vAlign w:val="bottom"/>
          </w:tcPr>
          <w:p>
            <w:pPr>
              <w:jc w:val="center"/>
              <w:ind w:left="44"/>
              <w:spacing w:after="0"/>
              <w:rPr>
                <w:sz w:val="20"/>
                <w:szCs w:val="20"/>
                <w:color w:val="auto"/>
              </w:rPr>
            </w:pPr>
            <w:r>
              <w:rPr>
                <w:rFonts w:ascii="Arial" w:cs="Arial" w:eastAsia="Arial" w:hAnsi="Arial"/>
                <w:sz w:val="13"/>
                <w:szCs w:val="13"/>
                <w:b w:val="1"/>
                <w:bCs w:val="1"/>
                <w:color w:val="auto"/>
                <w:w w:val="94"/>
              </w:rPr>
              <w:t>Received</w:t>
            </w:r>
          </w:p>
        </w:tc>
        <w:tc>
          <w:tcPr>
            <w:tcW w:w="10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80" w:type="dxa"/>
            <w:vAlign w:val="bottom"/>
            <w:tcBorders>
              <w:top w:val="single" w:sz="8" w:color="auto"/>
              <w:bottom w:val="single" w:sz="8" w:color="auto"/>
            </w:tcBorders>
            <w:gridSpan w:val="2"/>
            <w:shd w:val="clear" w:color="auto" w:fill="CCEEFF"/>
          </w:tcPr>
          <w:p>
            <w:pPr>
              <w:ind w:left="104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$600 million</w:t>
            </w:r>
          </w:p>
        </w:tc>
        <w:tc>
          <w:tcPr>
            <w:tcW w:w="2140" w:type="dxa"/>
            <w:vAlign w:val="bottom"/>
            <w:shd w:val="clear" w:color="auto" w:fill="CCEEFF"/>
          </w:tcPr>
          <w:p>
            <w:pPr>
              <w:jc w:val="center"/>
              <w:ind w:left="44"/>
              <w:spacing w:after="0" w:line="216" w:lineRule="exact"/>
              <w:rPr>
                <w:sz w:val="20"/>
                <w:szCs w:val="20"/>
                <w:color w:val="auto"/>
              </w:rPr>
            </w:pPr>
            <w:r>
              <w:rPr>
                <w:rFonts w:ascii="Arial" w:cs="Arial" w:eastAsia="Arial" w:hAnsi="Arial"/>
                <w:sz w:val="16"/>
                <w:szCs w:val="16"/>
                <w:color w:val="auto"/>
                <w:w w:val="98"/>
              </w:rPr>
              <w:t>1 month LIBOR</w:t>
            </w:r>
            <w:r>
              <w:rPr>
                <w:rFonts w:ascii="Arial" w:cs="Arial" w:eastAsia="Arial" w:hAnsi="Arial"/>
                <w:sz w:val="21"/>
                <w:szCs w:val="21"/>
                <w:color w:val="auto"/>
                <w:w w:val="98"/>
                <w:vertAlign w:val="superscript"/>
              </w:rPr>
              <w:t>(1)</w:t>
            </w:r>
          </w:p>
        </w:tc>
        <w:tc>
          <w:tcPr>
            <w:tcW w:w="2120" w:type="dxa"/>
            <w:vAlign w:val="bottom"/>
            <w:gridSpan w:val="2"/>
            <w:shd w:val="clear" w:color="auto" w:fill="CCEEFF"/>
          </w:tcPr>
          <w:p>
            <w:pPr>
              <w:jc w:val="right"/>
              <w:ind w:right="717"/>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2020</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56"/>
        </w:trPr>
        <w:tc>
          <w:tcPr>
            <w:tcW w:w="2040" w:type="dxa"/>
            <w:vAlign w:val="bottom"/>
          </w:tcPr>
          <w:p>
            <w:pPr>
              <w:jc w:val="center"/>
              <w:spacing w:after="0"/>
              <w:rPr>
                <w:sz w:val="20"/>
                <w:szCs w:val="20"/>
                <w:color w:val="auto"/>
              </w:rPr>
            </w:pPr>
            <w:r>
              <w:rPr>
                <w:rFonts w:ascii="Arial" w:cs="Arial" w:eastAsia="Arial" w:hAnsi="Arial"/>
                <w:sz w:val="16"/>
                <w:szCs w:val="16"/>
                <w:color w:val="auto"/>
              </w:rPr>
              <w:t>$200 million</w:t>
            </w:r>
          </w:p>
        </w:tc>
        <w:tc>
          <w:tcPr>
            <w:tcW w:w="2140" w:type="dxa"/>
            <w:vAlign w:val="bottom"/>
          </w:tcPr>
          <w:p>
            <w:pPr>
              <w:jc w:val="center"/>
              <w:ind w:left="44"/>
              <w:spacing w:after="0"/>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(2)</w:t>
            </w:r>
          </w:p>
        </w:tc>
        <w:tc>
          <w:tcPr>
            <w:tcW w:w="2120" w:type="dxa"/>
            <w:vAlign w:val="bottom"/>
            <w:gridSpan w:val="2"/>
          </w:tcPr>
          <w:p>
            <w:pPr>
              <w:jc w:val="center"/>
              <w:ind w:right="157"/>
              <w:spacing w:after="0"/>
              <w:rPr>
                <w:sz w:val="20"/>
                <w:szCs w:val="20"/>
                <w:color w:val="auto"/>
              </w:rPr>
            </w:pPr>
            <w:r>
              <w:rPr>
                <w:rFonts w:ascii="Arial" w:cs="Arial" w:eastAsia="Arial" w:hAnsi="Arial"/>
                <w:sz w:val="16"/>
                <w:szCs w:val="16"/>
                <w:color w:val="auto"/>
                <w:w w:val="92"/>
              </w:rPr>
              <w:t>1.71%</w:t>
            </w:r>
            <w:r>
              <w:rPr>
                <w:rFonts w:ascii="Arial" w:cs="Arial" w:eastAsia="Arial" w:hAnsi="Arial"/>
                <w:sz w:val="21"/>
                <w:szCs w:val="21"/>
                <w:color w:val="auto"/>
                <w:w w:val="92"/>
                <w:vertAlign w:val="superscript"/>
              </w:rPr>
              <w:t>(3)</w:t>
            </w:r>
          </w:p>
        </w:tc>
        <w:tc>
          <w:tcPr>
            <w:tcW w:w="120" w:type="dxa"/>
            <w:vAlign w:val="bottom"/>
          </w:tcPr>
          <w:p>
            <w:pPr>
              <w:spacing w:after="0"/>
              <w:rPr>
                <w:sz w:val="22"/>
                <w:szCs w:val="22"/>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6"/>
                <w:szCs w:val="16"/>
                <w:color w:val="auto"/>
              </w:rPr>
              <w:t>April 30, 2022</w:t>
            </w:r>
          </w:p>
        </w:tc>
        <w:tc>
          <w:tcPr>
            <w:tcW w:w="2340" w:type="dxa"/>
            <w:vAlign w:val="bottom"/>
          </w:tcPr>
          <w:p>
            <w:pPr>
              <w:jc w:val="center"/>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$150 million</w:t>
            </w:r>
          </w:p>
        </w:tc>
        <w:tc>
          <w:tcPr>
            <w:tcW w:w="2140" w:type="dxa"/>
            <w:vAlign w:val="bottom"/>
            <w:shd w:val="clear" w:color="auto" w:fill="CCEEFF"/>
          </w:tcPr>
          <w:p>
            <w:pPr>
              <w:jc w:val="center"/>
              <w:ind w:left="44"/>
              <w:spacing w:after="0" w:line="216" w:lineRule="exact"/>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(2)</w:t>
            </w:r>
          </w:p>
        </w:tc>
        <w:tc>
          <w:tcPr>
            <w:tcW w:w="2120" w:type="dxa"/>
            <w:vAlign w:val="bottom"/>
            <w:gridSpan w:val="2"/>
            <w:shd w:val="clear" w:color="auto" w:fill="CCEEFF"/>
          </w:tcPr>
          <w:p>
            <w:pPr>
              <w:jc w:val="center"/>
              <w:ind w:right="157"/>
              <w:spacing w:after="0" w:line="216" w:lineRule="exact"/>
              <w:rPr>
                <w:sz w:val="20"/>
                <w:szCs w:val="20"/>
                <w:color w:val="auto"/>
              </w:rPr>
            </w:pPr>
            <w:r>
              <w:rPr>
                <w:rFonts w:ascii="Arial" w:cs="Arial" w:eastAsia="Arial" w:hAnsi="Arial"/>
                <w:sz w:val="16"/>
                <w:szCs w:val="16"/>
                <w:color w:val="auto"/>
                <w:w w:val="92"/>
              </w:rPr>
              <w:t>2.79%</w:t>
            </w:r>
            <w:r>
              <w:rPr>
                <w:rFonts w:ascii="Arial" w:cs="Arial" w:eastAsia="Arial" w:hAnsi="Arial"/>
                <w:sz w:val="21"/>
                <w:szCs w:val="21"/>
                <w:color w:val="auto"/>
                <w:w w:val="92"/>
                <w:vertAlign w:val="superscript"/>
              </w:rPr>
              <w:t>(4)</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2022</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6"/>
                <w:szCs w:val="16"/>
                <w:color w:val="auto"/>
              </w:rPr>
              <w:t>$250 million</w:t>
            </w:r>
          </w:p>
        </w:tc>
        <w:tc>
          <w:tcPr>
            <w:tcW w:w="2140" w:type="dxa"/>
            <w:vAlign w:val="bottom"/>
          </w:tcPr>
          <w:p>
            <w:pPr>
              <w:jc w:val="center"/>
              <w:ind w:left="44"/>
              <w:spacing w:after="0" w:line="216" w:lineRule="exact"/>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(2)</w:t>
            </w:r>
          </w:p>
        </w:tc>
        <w:tc>
          <w:tcPr>
            <w:tcW w:w="2120" w:type="dxa"/>
            <w:vAlign w:val="bottom"/>
            <w:gridSpan w:val="2"/>
          </w:tcPr>
          <w:p>
            <w:pPr>
              <w:jc w:val="center"/>
              <w:ind w:right="157"/>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color w:val="auto"/>
              </w:rPr>
              <w:t>June 30, 2023</w:t>
            </w:r>
          </w:p>
        </w:tc>
        <w:tc>
          <w:tcPr>
            <w:tcW w:w="2340" w:type="dxa"/>
            <w:vAlign w:val="bottom"/>
          </w:tcPr>
          <w:p>
            <w:pPr>
              <w:jc w:val="center"/>
              <w:spacing w:after="0"/>
              <w:rPr>
                <w:sz w:val="20"/>
                <w:szCs w:val="20"/>
                <w:color w:val="auto"/>
              </w:rPr>
            </w:pPr>
            <w:r>
              <w:rPr>
                <w:rFonts w:ascii="Arial" w:cs="Arial" w:eastAsia="Arial" w:hAnsi="Arial"/>
                <w:sz w:val="16"/>
                <w:szCs w:val="16"/>
                <w:color w:val="auto"/>
              </w:rPr>
              <w:t>June 30, 2026</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 million</w:t>
            </w:r>
          </w:p>
        </w:tc>
        <w:tc>
          <w:tcPr>
            <w:tcW w:w="2140" w:type="dxa"/>
            <w:vAlign w:val="bottom"/>
            <w:shd w:val="clear" w:color="auto" w:fill="CCEEFF"/>
          </w:tcPr>
          <w:p>
            <w:pPr>
              <w:jc w:val="center"/>
              <w:ind w:left="44"/>
              <w:spacing w:after="0" w:line="216" w:lineRule="exact"/>
              <w:rPr>
                <w:sz w:val="20"/>
                <w:szCs w:val="20"/>
                <w:color w:val="auto"/>
              </w:rPr>
            </w:pPr>
            <w:r>
              <w:rPr>
                <w:rFonts w:ascii="Arial" w:cs="Arial" w:eastAsia="Arial" w:hAnsi="Arial"/>
                <w:sz w:val="16"/>
                <w:szCs w:val="16"/>
                <w:color w:val="auto"/>
                <w:w w:val="98"/>
              </w:rPr>
              <w:t>1 month SOFR</w:t>
            </w:r>
            <w:r>
              <w:rPr>
                <w:rFonts w:ascii="Arial" w:cs="Arial" w:eastAsia="Arial" w:hAnsi="Arial"/>
                <w:sz w:val="21"/>
                <w:szCs w:val="21"/>
                <w:color w:val="auto"/>
                <w:w w:val="98"/>
                <w:vertAlign w:val="superscript"/>
              </w:rPr>
              <w:t>(2)</w:t>
            </w:r>
          </w:p>
        </w:tc>
        <w:tc>
          <w:tcPr>
            <w:tcW w:w="2120" w:type="dxa"/>
            <w:vAlign w:val="bottom"/>
            <w:gridSpan w:val="2"/>
            <w:shd w:val="clear" w:color="auto" w:fill="CCEEFF"/>
          </w:tcPr>
          <w:p>
            <w:pPr>
              <w:jc w:val="center"/>
              <w:ind w:right="157"/>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2023</w:t>
            </w:r>
          </w:p>
        </w:tc>
        <w:tc>
          <w:tcPr>
            <w:tcW w:w="2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4"/>
          <w:szCs w:val="4"/>
          <w:color w:val="auto"/>
        </w:rPr>
      </w:pPr>
      <w:r>
        <w:rPr>
          <w:rFonts w:ascii="Arial" w:cs="Arial" w:eastAsia="Arial" w:hAnsi="Arial"/>
          <w:sz w:val="11"/>
          <w:szCs w:val="11"/>
          <w:color w:val="auto"/>
        </w:rPr>
        <w:t>____________________</w:t>
      </w:r>
    </w:p>
    <w:p>
      <w:pPr>
        <w:spacing w:after="0" w:line="15" w:lineRule="exact"/>
        <w:rPr>
          <w:rFonts w:ascii="Arial" w:cs="Arial" w:eastAsia="Arial" w:hAnsi="Arial"/>
          <w:sz w:val="4"/>
          <w:szCs w:val="4"/>
          <w:color w:val="auto"/>
        </w:rPr>
      </w:pPr>
    </w:p>
    <w:p>
      <w:pPr>
        <w:ind w:left="160" w:hanging="152"/>
        <w:spacing w:after="0" w:line="200"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Subject to a 0% floor.</w:t>
      </w:r>
    </w:p>
    <w:p>
      <w:pPr>
        <w:ind w:left="160" w:hanging="152"/>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4"/>
          <w:szCs w:val="14"/>
          <w:color w:val="auto"/>
        </w:rPr>
        <w:t>Subject to a 0.5% floor.</w:t>
      </w:r>
    </w:p>
    <w:p>
      <w:pPr>
        <w:spacing w:after="0" w:line="14" w:lineRule="exact"/>
        <w:rPr>
          <w:rFonts w:ascii="Arial" w:cs="Arial" w:eastAsia="Arial" w:hAnsi="Arial"/>
          <w:sz w:val="9"/>
          <w:szCs w:val="9"/>
          <w:color w:val="auto"/>
        </w:rPr>
      </w:pPr>
    </w:p>
    <w:p>
      <w:pPr>
        <w:ind w:left="220" w:hanging="212"/>
        <w:spacing w:after="0" w:line="192"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Fixed fee of 1.71% effective April 30, 2022, and expiring December 30, 2022, and 3.09% effective December 31, 2022, and expiring December 31, 2023.</w:t>
      </w:r>
    </w:p>
    <w:p>
      <w:pPr>
        <w:ind w:left="220" w:hanging="212"/>
        <w:spacing w:after="0" w:line="193"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Fixed fee of 2.79% effective June 30, 2022, and expiring December 30, 2022, and 3.98% effective December 31, 2022, and expiring December 31,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jc w:val="both"/>
        <w:ind w:firstLine="486"/>
        <w:spacing w:after="0" w:line="265" w:lineRule="auto"/>
        <w:rPr>
          <w:sz w:val="20"/>
          <w:szCs w:val="20"/>
          <w:color w:val="auto"/>
        </w:rPr>
      </w:pPr>
      <w:r>
        <w:rPr>
          <w:rFonts w:ascii="Arial" w:cs="Arial" w:eastAsia="Arial" w:hAnsi="Arial"/>
          <w:sz w:val="16"/>
          <w:szCs w:val="16"/>
          <w:color w:val="auto"/>
        </w:rPr>
        <w:t>Since outstanding balances under our senior secured credit facilities incur interest at rates based on SOFR, subject to an applicable floor, increases in short-term interest rates would impact our interest expense. If our mix of interest rate-sensitive assets and liabilities changes significantly, we may enter into additional derivative transactions to manage our net interest rate exposure. The fair value of these interest rate swaps was a net liability of $2 million as of December 31, 2023 and a net asset of $5 million as of December 31, 2022.</w:t>
      </w:r>
    </w:p>
    <w:p>
      <w:pPr>
        <w:spacing w:after="0" w:line="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 global capital markets experienced periods of volatility throughout 2022 and 2023 in response to the geopolitical conflict, increases in the rate of inflation, and uncertainty regarding the path of U.S. monetary policy. During 2022 and 2023, we refinanced portions of our debt which resulted in interest rates higher than prior years, increasing current and future interest expense. We may decide to further refinance portions of our debt in 2024 and 2025 which, at current interest rates, could negatively impact our interest expense. Although interest rate increases have recently moderated, they continue to remain volatile, which could drive higher funding costs. Currently approximately 45% of our debt, net of cash and hedging impacts from interest rates swaps, is variable and impacted by changes in interest rates. Excluding the impact of the Senior Secured Term Loan due in 2028, approximately 28% of our debt is variable. See “Risk Factors—We are exposed to interest rate fluctuations.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conduct various operations outside the United States, primarily in Asia Pacific, Europe and Latin America. Our foreign currency risk is primarily associated with operating expenses. During the year ended December 31, 2023, foreign currency operations included $193 million of revenue and $613 million of operating expenses, representing approximately 7% and 21% of our total revenue and operating expenses, respectively. During the year ended December 31, 2022, foreign currency operations included $169 million of revenue and $517 million of operating expenses, representing approximately 7% and 18% of our total revenue and operating expenses, respectively. During the year ended December 31, 2021, foreign currency operations included $158 million of revenue and $446 million of operating expenses, representing approximately 9% and 19% of our total revenue and operating expenses, respectively.</w:t>
      </w:r>
    </w:p>
    <w:p>
      <w:pPr>
        <w:spacing w:after="0" w:line="26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principal foreign currencies involved include the Euro, the Indian Rupee, the British Pound Sterling, the Australian Dollar, the Polish Zloty, and the Singapore Dollar. Our most significant foreign currency denominated operating expenses is in the Euro, which comprised approximately 7% and 5% of our operating expenses for the years ended December 31, 2023 and 2022, respectively. In recent years, exchange rates between foreign currencies and the U.S. dollar have fluctuated significantly and may continue to do so in the future. During times of volatile currency movements, this risk can impact our earnings. Additionally, approximately 32% of our exposure in foreign currency operating expenses is naturally hedged by foreign currency cash receipts associated with foreign currency revenue.</w:t>
      </w:r>
    </w:p>
    <w:p>
      <w:pPr>
        <w:spacing w:after="0" w:line="8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Due to the impacts of the uncertain economic environment on our foreign currency exposures, we have paused entering into new cash flow hedges of forecasted foreign currency cash flows until we have more clarity. As a result, as of December 31, 2023, we have no unsettled forward contracts and have not entered into any foreign currency forward contracts for 2023.</w:t>
      </w:r>
    </w:p>
    <w:p>
      <w:pPr>
        <w:spacing w:after="0" w:line="56"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6"/>
          <w:szCs w:val="16"/>
          <w:color w:val="auto"/>
        </w:rPr>
        <w:t>We are also exposed to foreign currency fluctuations through the translation of the financial condition and results of operations of our foreign operations into U.S. dollars in consolidation. These gains and losses are recognized as a component of accumulated other comprehensive loss and is included in stockholders’ (deficit) equity. We recognized net translation gain in other comprehensive income (loss) of $4 million for the year ended December 31, 2023, and net translation losses in other comprehensive income (loss) of $1 million and $7 million for the years ended December 31, 2022 and 2021, respectively.</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Credit Risk</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customers are primarily located in the United States, Canada, Europe, Latin America and Asia, and are concentrated in the travel industry.</w:t>
      </w:r>
    </w:p>
    <w:p>
      <w:pPr>
        <w:spacing w:after="0" w:line="12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generate a significant portion of our revenues and corresponding accounts receivable from services provided to the commercial air travel industry. Our other accounts receivable are generally due from other participants in the travel and transportation industry. As of December 31, 2023 and 2022, approximately $217 million, or 76%, and $222 million, or 83%, respectively, of our trade accounts receivable were attributable to services provided to the commercial air travel industry and travel agency customers. Substantially all of our accounts receivable represents trade balances. We generally do not require security or collateral from our customers as a condition of sale. See “</w:t>
      </w:r>
      <w:r>
        <w:rPr>
          <w:rFonts w:ascii="Arial" w:cs="Arial" w:eastAsia="Arial" w:hAnsi="Arial"/>
          <w:sz w:val="16"/>
          <w:szCs w:val="16"/>
          <w:u w:val="single" w:color="auto"/>
          <w:color w:val="0000FF"/>
        </w:rPr>
        <w:t>Risk Factors</w:t>
      </w:r>
      <w:r>
        <w:rPr>
          <w:rFonts w:ascii="Arial" w:cs="Arial" w:eastAsia="Arial" w:hAnsi="Arial"/>
          <w:sz w:val="16"/>
          <w:szCs w:val="16"/>
          <w:color w:val="auto"/>
        </w:rPr>
        <w:t>—Our travel supplier customers may experience financial instability or consolidation, pursue cost reductions, change their distribution model or undergo other changes.”</w:t>
      </w:r>
    </w:p>
    <w:p>
      <w:pPr>
        <w:spacing w:after="0" w:line="6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clearing houses, such as the Airline Clearing House (“ACH”).</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As of December 31, 2023, 2022 and 2021, approximately 53%, 48%, and 53%, respectively, of our air customers make payments through the ACH, or other similar clearing houses, which accounts for approximately 82%, 82% and 82%, respectively, of transaction revenue related to air customers. ACH requires participants to deposit certain balances into their demand deposit accounts by certain deadlines, which facilitates a timely settlement process.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2" w:name="page53"/>
    <w:bookmarkEnd w:id="52"/>
    <w:p>
      <w:pPr>
        <w:ind w:left="500"/>
        <w:spacing w:after="0"/>
        <w:rPr>
          <w:sz w:val="20"/>
          <w:szCs w:val="20"/>
          <w:color w:val="auto"/>
        </w:rPr>
      </w:pPr>
      <w:r>
        <w:rPr>
          <w:rFonts w:ascii="Arial" w:cs="Arial" w:eastAsia="Arial" w:hAnsi="Arial"/>
          <w:sz w:val="16"/>
          <w:szCs w:val="16"/>
          <w:b w:val="1"/>
          <w:bCs w:val="1"/>
          <w:i w:val="1"/>
          <w:iCs w:val="1"/>
          <w:color w:val="auto"/>
        </w:rPr>
        <w:t>Inflation</w:t>
      </w:r>
    </w:p>
    <w:p>
      <w:pPr>
        <w:spacing w:after="0" w:line="1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 xml:space="preserve">An overall labor shortage, lack of skilled labor, increased turnover or labor inflation, as a result of general macroeconomic factors, could have a material adverse impact on our operations, results of operations, liquidity or cash flows. See </w:t>
      </w:r>
      <w:r>
        <w:rPr>
          <w:rFonts w:ascii="Arial" w:cs="Arial" w:eastAsia="Arial" w:hAnsi="Arial"/>
          <w:sz w:val="16"/>
          <w:szCs w:val="16"/>
          <w:u w:val="single" w:color="auto"/>
          <w:color w:val="0000FF"/>
        </w:rPr>
        <w:t>Item 7</w:t>
      </w:r>
      <w:r>
        <w:rPr>
          <w:rFonts w:ascii="Arial" w:cs="Arial" w:eastAsia="Arial" w:hAnsi="Arial"/>
          <w:sz w:val="16"/>
          <w:szCs w:val="16"/>
          <w:color w:val="auto"/>
        </w:rPr>
        <w:t>, “</w:t>
      </w:r>
      <w:r>
        <w:rPr>
          <w:rFonts w:ascii="Arial" w:cs="Arial" w:eastAsia="Arial" w:hAnsi="Arial"/>
          <w:sz w:val="16"/>
          <w:szCs w:val="16"/>
          <w:u w:val="single" w:color="auto"/>
          <w:color w:val="0000FF"/>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Condition and Results of Operations</w:t>
      </w:r>
      <w:r>
        <w:rPr>
          <w:rFonts w:ascii="Arial" w:cs="Arial" w:eastAsia="Arial" w:hAnsi="Arial"/>
          <w:sz w:val="16"/>
          <w:szCs w:val="16"/>
          <w:color w:val="000000"/>
        </w:rPr>
        <w:t>—Factors Affecting our Results—Technology transformation and investments in modernizing our architecture” and “Risk</w:t>
      </w:r>
      <w:r>
        <w:rPr>
          <w:rFonts w:ascii="Arial" w:cs="Arial" w:eastAsia="Arial" w:hAnsi="Arial"/>
          <w:sz w:val="16"/>
          <w:szCs w:val="16"/>
          <w:color w:val="0000FF"/>
        </w:rPr>
        <w:t xml:space="preserve"> </w:t>
      </w:r>
      <w:r>
        <w:rPr>
          <w:rFonts w:ascii="Arial" w:cs="Arial" w:eastAsia="Arial" w:hAnsi="Arial"/>
          <w:sz w:val="16"/>
          <w:szCs w:val="16"/>
          <w:color w:val="000000"/>
        </w:rPr>
        <w:t>Factors—Our business could be harmed by adverse global and regional economic and political conditions."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3"/>
        </w:trPr>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ITEM 8.</w:t>
            </w:r>
          </w:p>
        </w:tc>
        <w:tc>
          <w:tcPr>
            <w:tcW w:w="7700" w:type="dxa"/>
            <w:vAlign w:val="bottom"/>
            <w:gridSpan w:val="7"/>
          </w:tcPr>
          <w:p>
            <w:pPr>
              <w:ind w:left="180"/>
              <w:spacing w:after="0"/>
              <w:rPr>
                <w:sz w:val="20"/>
                <w:szCs w:val="20"/>
                <w:color w:val="auto"/>
              </w:rPr>
            </w:pPr>
            <w:r>
              <w:rPr>
                <w:rFonts w:ascii="Arial" w:cs="Arial" w:eastAsia="Arial" w:hAnsi="Arial"/>
                <w:sz w:val="16"/>
                <w:szCs w:val="16"/>
                <w:b w:val="1"/>
                <w:bCs w:val="1"/>
                <w:color w:val="auto"/>
              </w:rPr>
              <w:t>FINANCIAL STATEMENTS AND SUPPLEMENTARY DATA</w:t>
            </w: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05"/>
        </w:trPr>
        <w:tc>
          <w:tcPr>
            <w:tcW w:w="8460" w:type="dxa"/>
            <w:vAlign w:val="bottom"/>
            <w:gridSpan w:val="9"/>
          </w:tcPr>
          <w:p>
            <w:pPr>
              <w:spacing w:after="0"/>
              <w:rPr>
                <w:sz w:val="20"/>
                <w:szCs w:val="20"/>
                <w:color w:val="auto"/>
              </w:rPr>
            </w:pPr>
            <w:r>
              <w:rPr>
                <w:rFonts w:ascii="Arial" w:cs="Arial" w:eastAsia="Arial" w:hAnsi="Arial"/>
                <w:sz w:val="16"/>
                <w:szCs w:val="16"/>
                <w:b w:val="1"/>
                <w:bCs w:val="1"/>
                <w:color w:val="auto"/>
              </w:rPr>
              <w:t>Index to Financial Statements and Supplementary Data</w:t>
            </w: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5"/>
        </w:trPr>
        <w:tc>
          <w:tcPr>
            <w:tcW w:w="8460" w:type="dxa"/>
            <w:vAlign w:val="bottom"/>
            <w:gridSpan w:val="9"/>
          </w:tcPr>
          <w:p>
            <w:pPr>
              <w:ind w:left="20"/>
              <w:spacing w:after="0"/>
              <w:rPr>
                <w:sz w:val="20"/>
                <w:szCs w:val="20"/>
                <w:color w:val="auto"/>
              </w:rPr>
            </w:pPr>
            <w:r>
              <w:rPr>
                <w:rFonts w:ascii="Arial" w:cs="Arial" w:eastAsia="Arial" w:hAnsi="Arial"/>
                <w:sz w:val="16"/>
                <w:szCs w:val="16"/>
                <w:color w:val="auto"/>
              </w:rPr>
              <w:t>Consolidated Financial Statements:</w:t>
            </w: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78"/>
        </w:trPr>
        <w:tc>
          <w:tcPr>
            <w:tcW w:w="340" w:type="dxa"/>
            <w:vAlign w:val="bottom"/>
          </w:tcPr>
          <w:p>
            <w:pPr>
              <w:spacing w:after="0"/>
              <w:rPr>
                <w:sz w:val="15"/>
                <w:szCs w:val="15"/>
                <w:color w:val="auto"/>
              </w:rPr>
            </w:pPr>
          </w:p>
        </w:tc>
        <w:tc>
          <w:tcPr>
            <w:tcW w:w="8120" w:type="dxa"/>
            <w:vAlign w:val="bottom"/>
            <w:gridSpan w:val="8"/>
          </w:tcPr>
          <w:p>
            <w:pPr>
              <w:ind w:left="20"/>
              <w:spacing w:after="0" w:line="178" w:lineRule="exact"/>
              <w:rPr>
                <w:sz w:val="20"/>
                <w:szCs w:val="20"/>
                <w:color w:val="auto"/>
              </w:rPr>
            </w:pPr>
            <w:r>
              <w:rPr>
                <w:rFonts w:ascii="Arial" w:cs="Arial" w:eastAsia="Arial" w:hAnsi="Arial"/>
                <w:sz w:val="16"/>
                <w:szCs w:val="16"/>
                <w:color w:val="0000FF"/>
              </w:rPr>
              <w:t xml:space="preserve">Reports of Independent Registered Public Accounting Firm </w:t>
            </w:r>
            <w:r>
              <w:rPr>
                <w:rFonts w:ascii="Arial" w:cs="Arial" w:eastAsia="Arial" w:hAnsi="Arial"/>
                <w:sz w:val="16"/>
                <w:szCs w:val="16"/>
                <w:color w:val="000000"/>
              </w:rPr>
              <w:t>(PCAOB ID: 42)</w:t>
            </w:r>
          </w:p>
        </w:tc>
        <w:tc>
          <w:tcPr>
            <w:tcW w:w="2720" w:type="dxa"/>
            <w:vAlign w:val="bottom"/>
            <w:gridSpan w:val="3"/>
          </w:tcPr>
          <w:p>
            <w:pPr>
              <w:jc w:val="right"/>
              <w:spacing w:after="0" w:line="178" w:lineRule="exact"/>
              <w:rPr>
                <w:sz w:val="20"/>
                <w:szCs w:val="20"/>
                <w:color w:val="auto"/>
              </w:rPr>
            </w:pPr>
            <w:r>
              <w:rPr>
                <w:rFonts w:ascii="Arial" w:cs="Arial" w:eastAsia="Arial" w:hAnsi="Arial"/>
                <w:sz w:val="16"/>
                <w:szCs w:val="16"/>
                <w:color w:val="0000FF"/>
              </w:rPr>
              <w:t>53</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120" w:type="dxa"/>
            <w:vAlign w:val="bottom"/>
            <w:gridSpan w:val="8"/>
          </w:tcPr>
          <w:p>
            <w:pPr>
              <w:ind w:left="20"/>
              <w:spacing w:after="0"/>
              <w:rPr>
                <w:sz w:val="20"/>
                <w:szCs w:val="20"/>
                <w:color w:val="auto"/>
              </w:rPr>
            </w:pPr>
            <w:r>
              <w:rPr>
                <w:rFonts w:ascii="Arial" w:cs="Arial" w:eastAsia="Arial" w:hAnsi="Arial"/>
                <w:sz w:val="16"/>
                <w:szCs w:val="16"/>
                <w:color w:val="0000FF"/>
              </w:rPr>
              <w:t>Consolidated Statements of Operations for the Years Ended December 31, 2023, 2022 and 2021</w:t>
            </w:r>
          </w:p>
        </w:tc>
        <w:tc>
          <w:tcPr>
            <w:tcW w:w="2720" w:type="dxa"/>
            <w:vAlign w:val="bottom"/>
            <w:gridSpan w:val="3"/>
          </w:tcPr>
          <w:p>
            <w:pPr>
              <w:jc w:val="right"/>
              <w:spacing w:after="0"/>
              <w:rPr>
                <w:sz w:val="20"/>
                <w:szCs w:val="20"/>
                <w:color w:val="auto"/>
              </w:rPr>
            </w:pPr>
            <w:r>
              <w:rPr>
                <w:rFonts w:ascii="Arial" w:cs="Arial" w:eastAsia="Arial" w:hAnsi="Arial"/>
                <w:sz w:val="16"/>
                <w:szCs w:val="16"/>
                <w:color w:val="0000FF"/>
              </w:rPr>
              <w:t>56</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120" w:type="dxa"/>
            <w:vAlign w:val="bottom"/>
            <w:tcBorders>
              <w:bottom w:val="single" w:sz="8" w:color="0000FF"/>
            </w:tcBorders>
            <w:gridSpan w:val="8"/>
          </w:tcPr>
          <w:p>
            <w:pPr>
              <w:ind w:left="20"/>
              <w:spacing w:after="0"/>
              <w:rPr>
                <w:sz w:val="20"/>
                <w:szCs w:val="20"/>
                <w:color w:val="auto"/>
              </w:rPr>
            </w:pPr>
            <w:r>
              <w:rPr>
                <w:rFonts w:ascii="Arial" w:cs="Arial" w:eastAsia="Arial" w:hAnsi="Arial"/>
                <w:sz w:val="16"/>
                <w:szCs w:val="16"/>
                <w:color w:val="0000FF"/>
              </w:rPr>
              <w:t>Consolidated Statements of Other Comprehensive Loss for the Years Ended December 31, 2023, 2022 and 2021</w:t>
            </w:r>
          </w:p>
        </w:tc>
        <w:tc>
          <w:tcPr>
            <w:tcW w:w="25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57</w:t>
            </w:r>
          </w:p>
        </w:tc>
      </w:tr>
      <w:tr>
        <w:trPr>
          <w:trHeight w:val="196"/>
        </w:trPr>
        <w:tc>
          <w:tcPr>
            <w:tcW w:w="340" w:type="dxa"/>
            <w:vAlign w:val="bottom"/>
          </w:tcPr>
          <w:p>
            <w:pPr>
              <w:spacing w:after="0"/>
              <w:rPr>
                <w:sz w:val="17"/>
                <w:szCs w:val="17"/>
                <w:color w:val="auto"/>
              </w:rPr>
            </w:pPr>
          </w:p>
        </w:tc>
        <w:tc>
          <w:tcPr>
            <w:tcW w:w="4720" w:type="dxa"/>
            <w:vAlign w:val="bottom"/>
            <w:tcBorders>
              <w:bottom w:val="single" w:sz="8" w:color="0000FF"/>
            </w:tcBorders>
            <w:gridSpan w:val="4"/>
          </w:tcPr>
          <w:p>
            <w:pPr>
              <w:ind w:left="20"/>
              <w:spacing w:after="0"/>
              <w:rPr>
                <w:sz w:val="20"/>
                <w:szCs w:val="20"/>
                <w:color w:val="auto"/>
              </w:rPr>
            </w:pPr>
            <w:r>
              <w:rPr>
                <w:rFonts w:ascii="Arial" w:cs="Arial" w:eastAsia="Arial" w:hAnsi="Arial"/>
                <w:sz w:val="16"/>
                <w:szCs w:val="16"/>
                <w:color w:val="0000FF"/>
              </w:rPr>
              <w:t>Consolidated Balance Sheets as of December 31, 2023 and 2022</w:t>
            </w:r>
          </w:p>
        </w:tc>
        <w:tc>
          <w:tcPr>
            <w:tcW w:w="3400" w:type="dxa"/>
            <w:vAlign w:val="bottom"/>
            <w:gridSpan w:val="4"/>
          </w:tcPr>
          <w:p>
            <w:pPr>
              <w:spacing w:after="0"/>
              <w:rPr>
                <w:sz w:val="17"/>
                <w:szCs w:val="17"/>
                <w:color w:val="auto"/>
              </w:rPr>
            </w:pPr>
          </w:p>
        </w:tc>
        <w:tc>
          <w:tcPr>
            <w:tcW w:w="25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58</w:t>
            </w:r>
          </w:p>
        </w:tc>
      </w:tr>
      <w:tr>
        <w:trPr>
          <w:trHeight w:val="196"/>
        </w:trPr>
        <w:tc>
          <w:tcPr>
            <w:tcW w:w="340" w:type="dxa"/>
            <w:vAlign w:val="bottom"/>
          </w:tcPr>
          <w:p>
            <w:pPr>
              <w:spacing w:after="0"/>
              <w:rPr>
                <w:sz w:val="17"/>
                <w:szCs w:val="17"/>
                <w:color w:val="auto"/>
              </w:rPr>
            </w:pPr>
          </w:p>
        </w:tc>
        <w:tc>
          <w:tcPr>
            <w:tcW w:w="8120" w:type="dxa"/>
            <w:vAlign w:val="bottom"/>
            <w:gridSpan w:val="8"/>
          </w:tcPr>
          <w:p>
            <w:pPr>
              <w:ind w:left="20"/>
              <w:spacing w:after="0"/>
              <w:rPr>
                <w:sz w:val="20"/>
                <w:szCs w:val="20"/>
                <w:color w:val="auto"/>
              </w:rPr>
            </w:pPr>
            <w:r>
              <w:rPr>
                <w:rFonts w:ascii="Arial" w:cs="Arial" w:eastAsia="Arial" w:hAnsi="Arial"/>
                <w:sz w:val="16"/>
                <w:szCs w:val="16"/>
                <w:color w:val="0000FF"/>
              </w:rPr>
              <w:t>Consolidated Statements of Cash Flows for the Years Ended December 31, 2023, 2022 and 2021</w:t>
            </w:r>
          </w:p>
        </w:tc>
        <w:tc>
          <w:tcPr>
            <w:tcW w:w="2720" w:type="dxa"/>
            <w:vAlign w:val="bottom"/>
            <w:gridSpan w:val="3"/>
          </w:tcPr>
          <w:p>
            <w:pPr>
              <w:jc w:val="right"/>
              <w:spacing w:after="0"/>
              <w:rPr>
                <w:sz w:val="20"/>
                <w:szCs w:val="20"/>
                <w:color w:val="auto"/>
              </w:rPr>
            </w:pPr>
            <w:r>
              <w:rPr>
                <w:rFonts w:ascii="Arial" w:cs="Arial" w:eastAsia="Arial" w:hAnsi="Arial"/>
                <w:sz w:val="16"/>
                <w:szCs w:val="16"/>
                <w:color w:val="0000FF"/>
              </w:rPr>
              <w:t>59</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120" w:type="dxa"/>
            <w:vAlign w:val="bottom"/>
            <w:gridSpan w:val="8"/>
          </w:tcPr>
          <w:p>
            <w:pPr>
              <w:ind w:left="20"/>
              <w:spacing w:after="0"/>
              <w:rPr>
                <w:sz w:val="20"/>
                <w:szCs w:val="20"/>
                <w:color w:val="auto"/>
              </w:rPr>
            </w:pPr>
            <w:r>
              <w:rPr>
                <w:rFonts w:ascii="Arial" w:cs="Arial" w:eastAsia="Arial" w:hAnsi="Arial"/>
                <w:sz w:val="16"/>
                <w:szCs w:val="16"/>
                <w:color w:val="0000FF"/>
              </w:rPr>
              <w:t>Consolidated Statements of Stockholders’ Deficit for the Years Ended December 31, 2023, 2022 and 2021</w:t>
            </w:r>
          </w:p>
        </w:tc>
        <w:tc>
          <w:tcPr>
            <w:tcW w:w="2720" w:type="dxa"/>
            <w:vAlign w:val="bottom"/>
            <w:gridSpan w:val="3"/>
          </w:tcPr>
          <w:p>
            <w:pPr>
              <w:jc w:val="right"/>
              <w:spacing w:after="0"/>
              <w:rPr>
                <w:sz w:val="20"/>
                <w:szCs w:val="20"/>
                <w:color w:val="auto"/>
              </w:rPr>
            </w:pPr>
            <w:r>
              <w:rPr>
                <w:rFonts w:ascii="Arial" w:cs="Arial" w:eastAsia="Arial" w:hAnsi="Arial"/>
                <w:sz w:val="16"/>
                <w:szCs w:val="16"/>
                <w:color w:val="0000FF"/>
              </w:rPr>
              <w:t>60</w:t>
            </w:r>
          </w:p>
        </w:tc>
      </w:tr>
      <w:tr>
        <w:trPr>
          <w:trHeight w:val="196"/>
        </w:trPr>
        <w:tc>
          <w:tcPr>
            <w:tcW w:w="340" w:type="dxa"/>
            <w:vAlign w:val="bottom"/>
          </w:tcPr>
          <w:p>
            <w:pPr>
              <w:spacing w:after="0"/>
              <w:rPr>
                <w:sz w:val="17"/>
                <w:szCs w:val="17"/>
                <w:color w:val="auto"/>
              </w:rPr>
            </w:pPr>
          </w:p>
        </w:tc>
        <w:tc>
          <w:tcPr>
            <w:tcW w:w="7620" w:type="dxa"/>
            <w:vAlign w:val="bottom"/>
            <w:tcBorders>
              <w:top w:val="single" w:sz="8" w:color="0000FF"/>
            </w:tcBorders>
            <w:gridSpan w:val="7"/>
          </w:tcPr>
          <w:p>
            <w:pPr>
              <w:ind w:left="20"/>
              <w:spacing w:after="0"/>
              <w:rPr>
                <w:sz w:val="20"/>
                <w:szCs w:val="20"/>
                <w:color w:val="auto"/>
              </w:rPr>
            </w:pPr>
            <w:r>
              <w:rPr>
                <w:rFonts w:ascii="Arial" w:cs="Arial" w:eastAsia="Arial" w:hAnsi="Arial"/>
                <w:sz w:val="16"/>
                <w:szCs w:val="16"/>
                <w:color w:val="0000FF"/>
              </w:rPr>
              <w:t>Notes to Consolidated Financial Statements</w:t>
            </w:r>
          </w:p>
        </w:tc>
        <w:tc>
          <w:tcPr>
            <w:tcW w:w="500" w:type="dxa"/>
            <w:vAlign w:val="bottom"/>
          </w:tcPr>
          <w:p>
            <w:pPr>
              <w:spacing w:after="0"/>
              <w:rPr>
                <w:sz w:val="17"/>
                <w:szCs w:val="17"/>
                <w:color w:val="auto"/>
              </w:rPr>
            </w:pPr>
          </w:p>
        </w:tc>
        <w:tc>
          <w:tcPr>
            <w:tcW w:w="2540" w:type="dxa"/>
            <w:vAlign w:val="bottom"/>
            <w:gridSpan w:val="2"/>
          </w:tcPr>
          <w:p>
            <w:pPr>
              <w:spacing w:after="0"/>
              <w:rPr>
                <w:sz w:val="17"/>
                <w:szCs w:val="17"/>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61</w:t>
            </w:r>
          </w:p>
        </w:tc>
      </w:tr>
      <w:tr>
        <w:trPr>
          <w:trHeight w:val="20"/>
        </w:trPr>
        <w:tc>
          <w:tcPr>
            <w:tcW w:w="34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450"/>
        </w:trPr>
        <w:tc>
          <w:tcPr>
            <w:tcW w:w="8460" w:type="dxa"/>
            <w:vAlign w:val="bottom"/>
            <w:gridSpan w:val="9"/>
          </w:tcPr>
          <w:p>
            <w:pPr>
              <w:ind w:left="20"/>
              <w:spacing w:after="0"/>
              <w:rPr>
                <w:sz w:val="20"/>
                <w:szCs w:val="20"/>
                <w:color w:val="auto"/>
              </w:rPr>
            </w:pPr>
            <w:r>
              <w:rPr>
                <w:rFonts w:ascii="Arial" w:cs="Arial" w:eastAsia="Arial" w:hAnsi="Arial"/>
                <w:sz w:val="16"/>
                <w:szCs w:val="16"/>
                <w:color w:val="auto"/>
              </w:rPr>
              <w:t>Financial Statement Schedules:</w:t>
            </w: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8"/>
        </w:trPr>
        <w:tc>
          <w:tcPr>
            <w:tcW w:w="340" w:type="dxa"/>
            <w:vAlign w:val="bottom"/>
          </w:tcPr>
          <w:p>
            <w:pPr>
              <w:spacing w:after="0"/>
              <w:rPr>
                <w:sz w:val="15"/>
                <w:szCs w:val="15"/>
                <w:color w:val="auto"/>
              </w:rPr>
            </w:pPr>
          </w:p>
        </w:tc>
        <w:tc>
          <w:tcPr>
            <w:tcW w:w="8120" w:type="dxa"/>
            <w:vAlign w:val="bottom"/>
            <w:gridSpan w:val="8"/>
          </w:tcPr>
          <w:p>
            <w:pPr>
              <w:ind w:left="20"/>
              <w:spacing w:after="0" w:line="178" w:lineRule="exact"/>
              <w:rPr>
                <w:sz w:val="20"/>
                <w:szCs w:val="20"/>
                <w:color w:val="auto"/>
              </w:rPr>
            </w:pPr>
            <w:r>
              <w:rPr>
                <w:rFonts w:ascii="Arial" w:cs="Arial" w:eastAsia="Arial" w:hAnsi="Arial"/>
                <w:sz w:val="16"/>
                <w:szCs w:val="16"/>
                <w:color w:val="0000FF"/>
              </w:rPr>
              <w:t>Schedule II — Valuation and Qualifying Accounts as of December 31, 2023, 2022 and 2021</w:t>
            </w:r>
          </w:p>
        </w:tc>
        <w:tc>
          <w:tcPr>
            <w:tcW w:w="2720" w:type="dxa"/>
            <w:vAlign w:val="bottom"/>
            <w:gridSpan w:val="3"/>
          </w:tcPr>
          <w:p>
            <w:pPr>
              <w:jc w:val="right"/>
              <w:spacing w:after="0" w:line="178" w:lineRule="exact"/>
              <w:rPr>
                <w:sz w:val="20"/>
                <w:szCs w:val="20"/>
                <w:color w:val="auto"/>
              </w:rPr>
            </w:pPr>
            <w:r>
              <w:rPr>
                <w:rFonts w:ascii="Arial" w:cs="Arial" w:eastAsia="Arial" w:hAnsi="Arial"/>
                <w:sz w:val="16"/>
                <w:szCs w:val="16"/>
                <w:color w:val="0000FF"/>
              </w:rPr>
              <w:t>114</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9" w:right="399" w:bottom="1440" w:gutter="0" w:footer="0" w:header="0"/>
        </w:sectPr>
      </w:pPr>
    </w:p>
    <w:bookmarkStart w:id="54" w:name="page55"/>
    <w:bookmarkEnd w:id="54"/>
    <w:p>
      <w:pPr>
        <w:ind w:right="3380" w:firstLine="3379"/>
        <w:spacing w:after="0" w:line="481"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Sabre Corporation </w:t>
      </w:r>
      <w:r>
        <w:rPr>
          <w:rFonts w:ascii="Arial" w:cs="Arial" w:eastAsia="Arial" w:hAnsi="Arial"/>
          <w:sz w:val="16"/>
          <w:szCs w:val="16"/>
          <w:b w:val="1"/>
          <w:bCs w:val="1"/>
          <w:color w:val="auto"/>
        </w:rPr>
        <w:t>Opinion on the Financial Statements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have audited the accompanying consolidated balance sheets of Sabre Corporation (the Company) as of December 31, 2023 and 2022, the related consolidated statements of operations, comprehensive loss, stockholders' deficit and cash flows for each of the three years in the period ended</w:t>
      </w:r>
    </w:p>
    <w:p>
      <w:pPr>
        <w:jc w:val="both"/>
        <w:spacing w:after="0" w:line="266" w:lineRule="auto"/>
        <w:rPr>
          <w:sz w:val="20"/>
          <w:szCs w:val="20"/>
          <w:color w:val="auto"/>
        </w:rPr>
      </w:pPr>
      <w:r>
        <w:rPr>
          <w:rFonts w:ascii="Arial" w:cs="Arial" w:eastAsia="Arial" w:hAnsi="Arial"/>
          <w:sz w:val="16"/>
          <w:szCs w:val="16"/>
          <w:color w:val="auto"/>
        </w:rPr>
        <w:t xml:space="preserve">December 31, 2023, and the related notes and financial statement schedule listed in the Index at Item 15 (collectively referred to as the </w:t>
      </w:r>
      <w:r>
        <w:rPr>
          <w:rFonts w:ascii="Arial" w:cs="Arial" w:eastAsia="Arial" w:hAnsi="Arial"/>
          <w:sz w:val="17"/>
          <w:szCs w:val="17"/>
          <w:color w:val="auto"/>
        </w:rPr>
        <w:t>“</w:t>
      </w:r>
      <w:r>
        <w:rPr>
          <w:rFonts w:ascii="Arial" w:cs="Arial" w:eastAsia="Arial" w:hAnsi="Arial"/>
          <w:sz w:val="16"/>
          <w:szCs w:val="16"/>
          <w:color w:val="auto"/>
        </w:rPr>
        <w:t>consolidated financial statements</w:t>
      </w:r>
      <w:r>
        <w:rPr>
          <w:rFonts w:ascii="Arial" w:cs="Arial" w:eastAsia="Arial" w:hAnsi="Arial"/>
          <w:sz w:val="17"/>
          <w:szCs w:val="17"/>
          <w:color w:val="auto"/>
        </w:rPr>
        <w:t>”</w:t>
      </w:r>
      <w:r>
        <w:rPr>
          <w:rFonts w:ascii="Arial" w:cs="Arial" w:eastAsia="Arial" w:hAnsi="Arial"/>
          <w:sz w:val="16"/>
          <w:szCs w:val="16"/>
          <w:color w:val="auto"/>
        </w:rPr>
        <w:t>).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8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w:t>
      </w:r>
      <w:r>
        <w:rPr>
          <w:rFonts w:ascii="Arial" w:cs="Arial" w:eastAsia="Arial" w:hAnsi="Arial"/>
          <w:sz w:val="17"/>
          <w:szCs w:val="17"/>
          <w:color w:val="auto"/>
        </w:rPr>
        <w:t>’</w:t>
      </w:r>
      <w:r>
        <w:rPr>
          <w:rFonts w:ascii="Arial" w:cs="Arial" w:eastAsia="Arial" w:hAnsi="Arial"/>
          <w:sz w:val="16"/>
          <w:szCs w:val="16"/>
          <w:color w:val="auto"/>
        </w:rPr>
        <w:t>s internal control over financial reporting as of December 31, 2023, based on criteria established in Internal Control—Integrated Framework issued by the Committee of Sponsoring Organizations of the Treadway Commission (2013 framework), and our report dated February 15, 2024 expressed an unqualified opinion thereon.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Measurement of IT Solutions Revenue</w:t>
      </w:r>
    </w:p>
    <w:p>
      <w:pPr>
        <w:sectPr>
          <w:pgSz w:w="11900" w:h="16838" w:orient="portrait"/>
          <w:cols w:equalWidth="0" w:num="1">
            <w:col w:w="11240"/>
          </w:cols>
          <w:pgMar w:left="320" w:top="895"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both"/>
        <w:ind w:right="420"/>
        <w:spacing w:after="0" w:line="247" w:lineRule="auto"/>
        <w:rPr>
          <w:sz w:val="20"/>
          <w:szCs w:val="20"/>
          <w:color w:val="auto"/>
        </w:rPr>
      </w:pPr>
      <w:r>
        <w:rPr>
          <w:rFonts w:ascii="Arial" w:cs="Arial" w:eastAsia="Arial" w:hAnsi="Arial"/>
          <w:sz w:val="16"/>
          <w:szCs w:val="16"/>
          <w:color w:val="auto"/>
        </w:rPr>
        <w:t>As discussed in Note 2 of the financial statements, the Company recognized $585 million of IT Solutions revenue. IT Solutions customer agreements are long-term contracts that frequently contain multiple performance obligations. Judgment exists in determining which performance obligations are distinct and accounted for separately. These contracts also contain variable consideration in the form of tiered pricing, contractual minimums or discounts. Judgment exists in estimating the total contract consideration and allocating amounts to each distinct performance obligation. Contracts with variable consideration may require forecasts over the term of the contract to determine the appropriate rate used to recognize revenue.</w:t>
      </w:r>
    </w:p>
    <w:p>
      <w:pPr>
        <w:spacing w:after="0" w:line="200" w:lineRule="exact"/>
        <w:rPr>
          <w:sz w:val="20"/>
          <w:szCs w:val="20"/>
          <w:color w:val="auto"/>
        </w:rPr>
      </w:pPr>
    </w:p>
    <w:p>
      <w:pPr>
        <w:sectPr>
          <w:pgSz w:w="11900" w:h="16838" w:orient="portrait"/>
          <w:cols w:equalWidth="0" w:num="2">
            <w:col w:w="1840" w:space="720"/>
            <w:col w:w="8680"/>
          </w:cols>
          <w:pgMar w:left="320" w:top="895" w:right="339" w:bottom="1440" w:gutter="0" w:footer="0" w:header="0"/>
          <w:type w:val="continuous"/>
        </w:sectPr>
      </w:pPr>
    </w:p>
    <w:p>
      <w:pPr>
        <w:spacing w:after="0" w:line="14" w:lineRule="exact"/>
        <w:rPr>
          <w:sz w:val="20"/>
          <w:szCs w:val="20"/>
          <w:color w:val="auto"/>
        </w:rPr>
      </w:pPr>
    </w:p>
    <w:p>
      <w:pPr>
        <w:jc w:val="both"/>
        <w:ind w:left="2560" w:right="420"/>
        <w:spacing w:after="0" w:line="266" w:lineRule="auto"/>
        <w:rPr>
          <w:sz w:val="20"/>
          <w:szCs w:val="20"/>
          <w:color w:val="auto"/>
        </w:rPr>
      </w:pPr>
      <w:r>
        <w:rPr>
          <w:rFonts w:ascii="Arial" w:cs="Arial" w:eastAsia="Arial" w:hAnsi="Arial"/>
          <w:sz w:val="16"/>
          <w:szCs w:val="16"/>
          <w:color w:val="auto"/>
        </w:rPr>
        <w:t>Auditing management’s recognition of IT Solutions revenue was complex and involved a high degree of judgment because of the significant management judgments and estimates required to identify the distinct performance obligations, estimate and allocate contract consideration, and determine the rate used to recognize revenue.</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5" w:name="page56"/>
    <w:bookmarkEnd w:id="55"/>
    <w:p>
      <w:pPr>
        <w:ind w:left="20"/>
        <w:spacing w:after="0"/>
        <w:tabs>
          <w:tab w:leader="none" w:pos="2540" w:val="left"/>
        </w:tabs>
        <w:rPr>
          <w:sz w:val="20"/>
          <w:szCs w:val="20"/>
          <w:color w:val="auto"/>
        </w:rPr>
      </w:pPr>
      <w:r>
        <w:rPr>
          <w:rFonts w:ascii="Arial" w:cs="Arial" w:eastAsia="Arial" w:hAnsi="Arial"/>
          <w:sz w:val="16"/>
          <w:szCs w:val="16"/>
          <w:i w:val="1"/>
          <w:iCs w:val="1"/>
          <w:color w:val="auto"/>
        </w:rPr>
        <w:t>How We Addressed the Matter in</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w:t>
      </w:r>
    </w:p>
    <w:p>
      <w:pPr>
        <w:ind w:left="20"/>
        <w:spacing w:after="0"/>
        <w:tabs>
          <w:tab w:leader="none" w:pos="2540" w:val="left"/>
        </w:tabs>
        <w:rPr>
          <w:sz w:val="20"/>
          <w:szCs w:val="20"/>
          <w:color w:val="auto"/>
        </w:rPr>
      </w:pPr>
      <w:r>
        <w:rPr>
          <w:rFonts w:ascii="Arial" w:cs="Arial" w:eastAsia="Arial" w:hAnsi="Arial"/>
          <w:sz w:val="16"/>
          <w:szCs w:val="16"/>
          <w:i w:val="1"/>
          <w:iCs w:val="1"/>
          <w:color w:val="auto"/>
        </w:rPr>
        <w:t>Our Audit</w:t>
      </w:r>
      <w:r>
        <w:rPr>
          <w:sz w:val="20"/>
          <w:szCs w:val="20"/>
          <w:color w:val="auto"/>
        </w:rPr>
        <w:tab/>
      </w:r>
      <w:r>
        <w:rPr>
          <w:rFonts w:ascii="Arial" w:cs="Arial" w:eastAsia="Arial" w:hAnsi="Arial"/>
          <w:sz w:val="16"/>
          <w:szCs w:val="16"/>
          <w:color w:val="auto"/>
        </w:rPr>
        <w:t>related to the Company’s process for recognizing IT Solutions revenue, including management’s review of the</w:t>
      </w:r>
    </w:p>
    <w:p>
      <w:pPr>
        <w:jc w:val="both"/>
        <w:ind w:left="2560"/>
        <w:spacing w:after="0" w:line="220" w:lineRule="auto"/>
        <w:rPr>
          <w:sz w:val="20"/>
          <w:szCs w:val="20"/>
          <w:color w:val="auto"/>
        </w:rPr>
      </w:pPr>
      <w:r>
        <w:rPr>
          <w:rFonts w:ascii="Arial" w:cs="Arial" w:eastAsia="Arial" w:hAnsi="Arial"/>
          <w:sz w:val="16"/>
          <w:szCs w:val="16"/>
          <w:color w:val="auto"/>
        </w:rPr>
        <w:t>significant judgments and estimates used in the identification of distinct performance obligations, the estimation and allocation of amounts to each performance obligation, and the determination of the rate used to recognize</w:t>
      </w:r>
    </w:p>
    <w:p>
      <w:pPr>
        <w:ind w:left="2560"/>
        <w:spacing w:after="0"/>
        <w:rPr>
          <w:sz w:val="20"/>
          <w:szCs w:val="20"/>
          <w:color w:val="auto"/>
        </w:rPr>
      </w:pPr>
      <w:r>
        <w:rPr>
          <w:rFonts w:ascii="Arial" w:cs="Arial" w:eastAsia="Arial" w:hAnsi="Arial"/>
          <w:sz w:val="16"/>
          <w:szCs w:val="16"/>
          <w:color w:val="auto"/>
        </w:rPr>
        <w:t>revenue.</w:t>
      </w:r>
    </w:p>
    <w:p>
      <w:pPr>
        <w:spacing w:after="0" w:line="219" w:lineRule="exact"/>
        <w:rPr>
          <w:sz w:val="20"/>
          <w:szCs w:val="20"/>
          <w:color w:val="auto"/>
        </w:rPr>
      </w:pPr>
    </w:p>
    <w:p>
      <w:pPr>
        <w:jc w:val="both"/>
        <w:ind w:left="2560"/>
        <w:spacing w:after="0" w:line="235" w:lineRule="auto"/>
        <w:rPr>
          <w:sz w:val="20"/>
          <w:szCs w:val="20"/>
          <w:color w:val="auto"/>
        </w:rPr>
      </w:pPr>
      <w:r>
        <w:rPr>
          <w:rFonts w:ascii="Arial" w:cs="Arial" w:eastAsia="Arial" w:hAnsi="Arial"/>
          <w:sz w:val="16"/>
          <w:szCs w:val="16"/>
          <w:color w:val="auto"/>
        </w:rPr>
        <w:t>Our audit procedures included, among others, testing management’s identification of the distinct performance obligations based on terms in the contracts and the Company’s policies. Our procedures also included testing the judgments and estimates used to determine the rate to recognize revenue based on the contractual minimums,</w:t>
      </w:r>
    </w:p>
    <w:p>
      <w:pPr>
        <w:spacing w:after="0" w:line="2" w:lineRule="exact"/>
        <w:rPr>
          <w:sz w:val="20"/>
          <w:szCs w:val="20"/>
          <w:color w:val="auto"/>
        </w:rPr>
      </w:pPr>
    </w:p>
    <w:p>
      <w:pPr>
        <w:jc w:val="both"/>
        <w:ind w:left="2560"/>
        <w:spacing w:after="0" w:line="220" w:lineRule="auto"/>
        <w:rPr>
          <w:sz w:val="20"/>
          <w:szCs w:val="20"/>
          <w:color w:val="auto"/>
        </w:rPr>
      </w:pPr>
      <w:r>
        <w:rPr>
          <w:rFonts w:ascii="Arial" w:cs="Arial" w:eastAsia="Arial" w:hAnsi="Arial"/>
          <w:sz w:val="16"/>
          <w:szCs w:val="16"/>
          <w:color w:val="auto"/>
        </w:rPr>
        <w:t>tiered pricing and other discounts, and current economic conditions. To test the calculation of the amount of consideration allocated to each distinct performance obligation, we performed procedures to test management’s</w:t>
      </w:r>
    </w:p>
    <w:p>
      <w:pPr>
        <w:jc w:val="both"/>
        <w:ind w:left="2560"/>
        <w:spacing w:after="0"/>
        <w:rPr>
          <w:sz w:val="20"/>
          <w:szCs w:val="20"/>
          <w:color w:val="auto"/>
        </w:rPr>
      </w:pPr>
      <w:r>
        <w:rPr>
          <w:rFonts w:ascii="Arial" w:cs="Arial" w:eastAsia="Arial" w:hAnsi="Arial"/>
          <w:sz w:val="16"/>
          <w:szCs w:val="16"/>
          <w:color w:val="auto"/>
        </w:rPr>
        <w:t>judgments and assumptions related to the allocation of consideration to each distinct performance obligation. Our procedures included an evaluation of the significant assumptions and the accuracy and completeness of the underlying data used in management’s calculation of revenue recognized. We have also evaluated the adequacy of the Company’s IT Solutions revenue disclosures included in Note 2 in relation to these revenue recognition matters.</w:t>
      </w:r>
    </w:p>
    <w:p>
      <w:pPr>
        <w:spacing w:after="0" w:line="200" w:lineRule="exact"/>
        <w:rPr>
          <w:sz w:val="20"/>
          <w:szCs w:val="20"/>
          <w:color w:val="auto"/>
        </w:rPr>
      </w:pPr>
    </w:p>
    <w:p>
      <w:pPr>
        <w:spacing w:after="0" w:line="223"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Uncertain Tax Positions</w:t>
      </w:r>
    </w:p>
    <w:p>
      <w:pPr>
        <w:spacing w:after="0" w:line="59" w:lineRule="exact"/>
        <w:rPr>
          <w:sz w:val="20"/>
          <w:szCs w:val="20"/>
          <w:color w:val="auto"/>
        </w:rPr>
      </w:pPr>
    </w:p>
    <w:p>
      <w:pPr>
        <w:jc w:val="both"/>
        <w:ind w:left="2560" w:hanging="2537"/>
        <w:spacing w:after="0" w:line="250" w:lineRule="auto"/>
        <w:tabs>
          <w:tab w:leader="none" w:pos="254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As discussed in Note 8 of the financial statements, the Company operates in the United States and multiple international jurisdictions, and its income tax returns are subject to examination by tax authorities in those jurisdictions who may challenge income tax positions on these returns. Uncertainty in a tax position may arise because tax laws are subject to interpretation. The Company uses significant judgment in (1) determining whether, based on the technical merits, a tax position is more likely than not to be sustained and (2) measuring the amount of tax benefit that qualifies for recognition. As of December 31, 2023, the Company accrued liabilities of $61 million for uncertain tax positions, including penalties and interest.</w:t>
      </w:r>
    </w:p>
    <w:p>
      <w:pPr>
        <w:spacing w:after="0" w:line="211" w:lineRule="exact"/>
        <w:rPr>
          <w:sz w:val="20"/>
          <w:szCs w:val="20"/>
          <w:color w:val="auto"/>
        </w:rPr>
      </w:pPr>
    </w:p>
    <w:p>
      <w:pPr>
        <w:jc w:val="both"/>
        <w:ind w:left="2560"/>
        <w:spacing w:after="0" w:line="255" w:lineRule="auto"/>
        <w:rPr>
          <w:sz w:val="20"/>
          <w:szCs w:val="20"/>
          <w:color w:val="auto"/>
        </w:rPr>
      </w:pPr>
      <w:r>
        <w:rPr>
          <w:rFonts w:ascii="Arial" w:cs="Arial" w:eastAsia="Arial" w:hAnsi="Arial"/>
          <w:sz w:val="16"/>
          <w:szCs w:val="16"/>
          <w:color w:val="auto"/>
        </w:rPr>
        <w:t>Auditing management’s estimate of the amount of tax benefit that qualifies for recognition involved auditor judgment and use of tax professionals with specialized skills and knowledge to evaluate the Company’s interpretation of, and compliance with, tax laws and legal rulings across its multiple subsidiaries located in multiple taxing jurisdictions.</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6"/>
          <w:szCs w:val="16"/>
          <w:i w:val="1"/>
          <w:iCs w:val="1"/>
          <w:color w:val="auto"/>
        </w:rPr>
        <w:t>How We Addressed the Matter in</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21" w:lineRule="exact"/>
        <w:rPr>
          <w:sz w:val="20"/>
          <w:szCs w:val="20"/>
          <w:color w:val="auto"/>
        </w:rPr>
      </w:pPr>
    </w:p>
    <w:p>
      <w:pPr>
        <w:jc w:val="both"/>
        <w:ind w:left="2560" w:hanging="2537"/>
        <w:spacing w:after="0" w:line="247" w:lineRule="auto"/>
        <w:tabs>
          <w:tab w:leader="none" w:pos="2540" w:val="left"/>
        </w:tabs>
        <w:rPr>
          <w:sz w:val="20"/>
          <w:szCs w:val="20"/>
          <w:color w:val="auto"/>
        </w:rPr>
      </w:pPr>
      <w:r>
        <w:rPr>
          <w:rFonts w:ascii="Arial" w:cs="Arial" w:eastAsia="Arial" w:hAnsi="Arial"/>
          <w:sz w:val="16"/>
          <w:szCs w:val="16"/>
          <w:i w:val="1"/>
          <w:iCs w:val="1"/>
          <w:color w:val="auto"/>
        </w:rPr>
        <w:t>Our Audit</w:t>
      </w:r>
      <w:r>
        <w:rPr>
          <w:sz w:val="20"/>
          <w:szCs w:val="20"/>
          <w:color w:val="auto"/>
        </w:rPr>
        <w:tab/>
      </w:r>
      <w:r>
        <w:rPr>
          <w:rFonts w:ascii="Arial" w:cs="Arial" w:eastAsia="Arial" w:hAnsi="Arial"/>
          <w:sz w:val="16"/>
          <w:szCs w:val="16"/>
          <w:color w:val="auto"/>
        </w:rPr>
        <w:t>Company’s accounting process for uncertain tax positions. For example, we tested controls over the Company’s assessment of the technical merits of tax positions and management’s process to measure the benefit of those tax positions.</w:t>
      </w:r>
    </w:p>
    <w:p>
      <w:pPr>
        <w:spacing w:after="0" w:line="212" w:lineRule="exact"/>
        <w:rPr>
          <w:sz w:val="20"/>
          <w:szCs w:val="20"/>
          <w:color w:val="auto"/>
        </w:rPr>
      </w:pPr>
    </w:p>
    <w:p>
      <w:pPr>
        <w:jc w:val="both"/>
        <w:ind w:left="2560"/>
        <w:spacing w:after="0" w:line="250" w:lineRule="auto"/>
        <w:rPr>
          <w:sz w:val="20"/>
          <w:szCs w:val="20"/>
          <w:color w:val="auto"/>
        </w:rPr>
      </w:pPr>
      <w:r>
        <w:rPr>
          <w:rFonts w:ascii="Arial" w:cs="Arial" w:eastAsia="Arial" w:hAnsi="Arial"/>
          <w:sz w:val="16"/>
          <w:szCs w:val="16"/>
          <w:color w:val="auto"/>
        </w:rPr>
        <w:t>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information, local income tax laws, and legal rulings. We analyzed the Company’s assumptions and data used to determine the amount of tax benefit to recognize and tested the accuracy of the calculations. We have also evaluated the adequacy of the Company’s income tax disclosures included in Note 8 in relation to these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w:t>
      </w:r>
      <w:r>
        <w:rPr>
          <w:rFonts w:ascii="Arial" w:cs="Arial" w:eastAsia="Arial" w:hAnsi="Arial"/>
          <w:sz w:val="17"/>
          <w:szCs w:val="17"/>
          <w:color w:val="auto"/>
        </w:rPr>
        <w:t>’</w:t>
      </w:r>
      <w:r>
        <w:rPr>
          <w:rFonts w:ascii="Arial" w:cs="Arial" w:eastAsia="Arial" w:hAnsi="Arial"/>
          <w:sz w:val="16"/>
          <w:szCs w:val="16"/>
          <w:color w:val="auto"/>
        </w:rPr>
        <w:t>s auditor since 1993.</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35" w:right="759" w:bottom="1440" w:gutter="0" w:footer="0" w:header="0"/>
        </w:sectPr>
      </w:pPr>
    </w:p>
    <w:bookmarkStart w:id="56" w:name="page57"/>
    <w:bookmarkEnd w:id="56"/>
    <w:p>
      <w:pPr>
        <w:ind w:right="3380" w:firstLine="3379"/>
        <w:spacing w:after="0" w:line="41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Stockholders and the Board of Directors of Sabre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have audited Sabre Corporation</w:t>
      </w:r>
      <w:r>
        <w:rPr>
          <w:rFonts w:ascii="Arial" w:cs="Arial" w:eastAsia="Arial" w:hAnsi="Arial"/>
          <w:sz w:val="17"/>
          <w:szCs w:val="17"/>
          <w:color w:val="auto"/>
        </w:rPr>
        <w:t>’</w:t>
      </w:r>
      <w:r>
        <w:rPr>
          <w:rFonts w:ascii="Arial" w:cs="Arial" w:eastAsia="Arial" w:hAnsi="Arial"/>
          <w:sz w:val="16"/>
          <w:szCs w:val="16"/>
          <w:color w:val="auto"/>
        </w:rPr>
        <w:t>s internal control over financial reporting as of December 31, 2023, based on criteria established in Internal Control— Integrated Framework issued by the Committee of Sponsoring Organizations of the Treadway Commission (2013 framework) (the COSO criteria). In our opinion, Sabre Corporation (the Company) maintained, in all material respects, effective internal control over financial reporting as of December 31, 2023, based on the COSO criteria.</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loss, stockholders' deficit and cash flows for each of the three years in the period ended December 31, 2023, and the related notes and financial statement schedule listed in the Index at Item 15, and our report dated February 15, 2024 expressed an unqualified opinion thereon.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2,907,738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2,537,015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1,688,875</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Cost of revenue, excluding technology costs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1,189,606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1,040,819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691,451</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Technology costs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1,036,596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1,096,097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1,052,833</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634,393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661,159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610,078</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(665,487)</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Other expense: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(257,818)</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(108,577)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(13,070)</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method income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(540,662)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(272,900)</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Loss from continuing operations before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(493,519)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(423,433)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(938,387)</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(14,612)</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Loss from continuing operations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(528,248)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(432,099)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(923,775)</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discontinued operations, net of tax</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(527,940)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(432,778)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(926,307)</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Net loss attributable to Sabre Corporation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(527,608)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(435,448)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(928,469)</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dividends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21,602</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(541,865)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(456,833)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(950,071)</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Basic net loss per share attributable to common stockholders: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from continuing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Loss from discontinued operations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4"/>
        </w:trPr>
        <w:tc>
          <w:tcPr>
            <w:tcW w:w="69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 per common share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Diluted net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from continuing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Loss from discontinued operations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5"/>
        </w:trPr>
        <w:tc>
          <w:tcPr>
            <w:tcW w:w="69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 per common share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Weighted-average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320,922</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346,567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326,742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320,922</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3"/>
                <w:szCs w:val="13"/>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78"/>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40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0"/>
              <w:spacing w:after="0"/>
              <w:rPr>
                <w:sz w:val="20"/>
                <w:szCs w:val="20"/>
                <w:color w:val="auto"/>
              </w:rPr>
            </w:pPr>
            <w:r>
              <w:rPr>
                <w:rFonts w:ascii="Arial" w:cs="Arial" w:eastAsia="Arial" w:hAnsi="Arial"/>
                <w:sz w:val="13"/>
                <w:szCs w:val="13"/>
                <w:b w:val="1"/>
                <w:bCs w:val="1"/>
                <w:color w:val="auto"/>
              </w:rPr>
              <w:t>2021</w:t>
            </w:r>
          </w:p>
        </w:tc>
      </w:tr>
      <w:tr>
        <w:trPr>
          <w:trHeight w:val="22"/>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(527,940)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(926,307)</w:t>
            </w:r>
          </w:p>
        </w:tc>
      </w:tr>
      <w:tr>
        <w:trPr>
          <w:trHeight w:val="195"/>
        </w:trPr>
        <w:tc>
          <w:tcPr>
            <w:tcW w:w="7360" w:type="dxa"/>
            <w:vAlign w:val="bottom"/>
          </w:tcPr>
          <w:p>
            <w:pPr>
              <w:spacing w:after="0"/>
              <w:rPr>
                <w:sz w:val="20"/>
                <w:szCs w:val="20"/>
                <w:color w:val="auto"/>
              </w:rPr>
            </w:pPr>
            <w:r>
              <w:rPr>
                <w:rFonts w:ascii="Arial" w:cs="Arial" w:eastAsia="Arial" w:hAnsi="Arial"/>
                <w:sz w:val="16"/>
                <w:szCs w:val="16"/>
                <w:color w:val="auto"/>
              </w:rPr>
              <w:t>Other comprehensive (loss) income, net of tax:</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 ("CTA")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r>
      <w:tr>
        <w:trPr>
          <w:trHeight w:val="215"/>
        </w:trPr>
        <w:tc>
          <w:tcPr>
            <w:tcW w:w="7360" w:type="dxa"/>
            <w:vAlign w:val="bottom"/>
          </w:tcPr>
          <w:p>
            <w:pPr>
              <w:ind w:left="200"/>
              <w:spacing w:after="0"/>
              <w:rPr>
                <w:sz w:val="20"/>
                <w:szCs w:val="20"/>
                <w:color w:val="auto"/>
              </w:rPr>
            </w:pPr>
            <w:r>
              <w:rPr>
                <w:rFonts w:ascii="Arial" w:cs="Arial" w:eastAsia="Arial" w:hAnsi="Arial"/>
                <w:sz w:val="16"/>
                <w:szCs w:val="16"/>
                <w:color w:val="auto"/>
              </w:rPr>
              <w:t>Retirement-related benefit plans: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actuarial (loss) gain, net of taxes of $8, $(490) and $(517)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36,742</w:t>
            </w:r>
          </w:p>
        </w:tc>
      </w:tr>
      <w:tr>
        <w:trPr>
          <w:trHeight w:val="215"/>
        </w:trPr>
        <w:tc>
          <w:tcPr>
            <w:tcW w:w="7360" w:type="dxa"/>
            <w:vAlign w:val="bottom"/>
          </w:tcPr>
          <w:p>
            <w:pPr>
              <w:ind w:left="460"/>
              <w:spacing w:after="0"/>
              <w:rPr>
                <w:sz w:val="20"/>
                <w:szCs w:val="20"/>
                <w:color w:val="auto"/>
              </w:rPr>
            </w:pPr>
            <w:r>
              <w:rPr>
                <w:rFonts w:ascii="Arial" w:cs="Arial" w:eastAsia="Arial" w:hAnsi="Arial"/>
                <w:sz w:val="16"/>
                <w:szCs w:val="16"/>
                <w:color w:val="auto"/>
              </w:rPr>
              <w:t>Pension settlement, net of taxes of $—, $(691), $—</w:t>
            </w: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7,529</w:t>
            </w:r>
          </w:p>
        </w:tc>
      </w:tr>
      <w:tr>
        <w:trPr>
          <w:trHeight w:val="217"/>
        </w:trPr>
        <w:tc>
          <w:tcPr>
            <w:tcW w:w="7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prior service credits, net of taxes of $—, $96 and $—</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r>
      <w:tr>
        <w:trPr>
          <w:trHeight w:val="215"/>
        </w:trPr>
        <w:tc>
          <w:tcPr>
            <w:tcW w:w="73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Amortization of actuarial losses, net of taxes of $—, $— and $—</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7,985</w:t>
            </w:r>
          </w:p>
        </w:tc>
      </w:tr>
      <w:tr>
        <w:trPr>
          <w:trHeight w:val="210"/>
        </w:trPr>
        <w:tc>
          <w:tcPr>
            <w:tcW w:w="7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retirement-related benefit plans,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50,824</w:t>
            </w:r>
          </w:p>
        </w:tc>
      </w:tr>
      <w:tr>
        <w:trPr>
          <w:trHeight w:val="195"/>
        </w:trPr>
        <w:tc>
          <w:tcPr>
            <w:tcW w:w="7360" w:type="dxa"/>
            <w:vAlign w:val="bottom"/>
          </w:tcPr>
          <w:p>
            <w:pPr>
              <w:ind w:left="200"/>
              <w:spacing w:after="0"/>
              <w:rPr>
                <w:sz w:val="20"/>
                <w:szCs w:val="20"/>
                <w:color w:val="auto"/>
              </w:rPr>
            </w:pPr>
            <w:r>
              <w:rPr>
                <w:rFonts w:ascii="Arial" w:cs="Arial" w:eastAsia="Arial" w:hAnsi="Arial"/>
                <w:sz w:val="16"/>
                <w:szCs w:val="16"/>
                <w:color w:val="auto"/>
              </w:rPr>
              <w:t>Derivatives: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(losses) gains, net of taxes of $—, $(406) and $26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5"/>
        </w:trPr>
        <w:tc>
          <w:tcPr>
            <w:tcW w:w="7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Reclassification adjustment for realized (gains) losses, net of taxes of $—, $78 and $(3,670)</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12,805</w:t>
            </w:r>
          </w:p>
        </w:tc>
      </w:tr>
      <w:tr>
        <w:trPr>
          <w:trHeight w:val="210"/>
        </w:trPr>
        <w:tc>
          <w:tcPr>
            <w:tcW w:w="7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derivatives,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12,671</w:t>
            </w:r>
          </w:p>
        </w:tc>
      </w:tr>
      <w:tr>
        <w:trPr>
          <w:trHeight w:val="209"/>
        </w:trPr>
        <w:tc>
          <w:tcPr>
            <w:tcW w:w="7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Share of other comprehensive loss of equity method investments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income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55,670</w:t>
            </w:r>
          </w:p>
        </w:tc>
      </w:tr>
      <w:tr>
        <w:trPr>
          <w:trHeight w:val="209"/>
        </w:trPr>
        <w:tc>
          <w:tcPr>
            <w:tcW w:w="7360" w:type="dxa"/>
            <w:vAlign w:val="bottom"/>
          </w:tcPr>
          <w:p>
            <w:pPr>
              <w:spacing w:after="0"/>
              <w:rPr>
                <w:sz w:val="20"/>
                <w:szCs w:val="20"/>
                <w:color w:val="auto"/>
              </w:rPr>
            </w:pPr>
            <w:r>
              <w:rPr>
                <w:rFonts w:ascii="Arial" w:cs="Arial" w:eastAsia="Arial" w:hAnsi="Arial"/>
                <w:sz w:val="16"/>
                <w:szCs w:val="16"/>
                <w:color w:val="auto"/>
              </w:rPr>
              <w:t>Comprehensive loss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(536,131)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(418,222)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(870,637)</w:t>
            </w: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Less: Comprehensive loss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w:t>
            </w:r>
          </w:p>
        </w:tc>
      </w:tr>
      <w:tr>
        <w:trPr>
          <w:trHeight w:val="209"/>
        </w:trPr>
        <w:tc>
          <w:tcPr>
            <w:tcW w:w="7360" w:type="dxa"/>
            <w:vAlign w:val="bottom"/>
          </w:tcPr>
          <w:p>
            <w:pPr>
              <w:spacing w:after="0"/>
              <w:rPr>
                <w:sz w:val="20"/>
                <w:szCs w:val="20"/>
                <w:color w:val="auto"/>
              </w:rPr>
            </w:pPr>
            <w:r>
              <w:rPr>
                <w:rFonts w:ascii="Arial" w:cs="Arial" w:eastAsia="Arial" w:hAnsi="Arial"/>
                <w:sz w:val="16"/>
                <w:szCs w:val="16"/>
                <w:color w:val="auto"/>
              </w:rPr>
              <w:t>Comprehensive loss attributable to Sabre Corporation</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(535,799)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(420,892)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(872,799)</w:t>
            </w:r>
          </w:p>
        </w:tc>
      </w:tr>
      <w:tr>
        <w:trPr>
          <w:trHeight w:val="21"/>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794,888</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21,035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353,587</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191,979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1,158,591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1,361,489</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233,677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229,419</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22,401</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2,554,039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2,542,087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Acquired customer relationships, net of accumulated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238,756</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Other intangible assets, net of accumulated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161,913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171,498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38,892</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317,240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358,333</w:t>
            </w:r>
          </w:p>
        </w:tc>
        <w:tc>
          <w:tcPr>
            <w:tcW w:w="0" w:type="dxa"/>
            <w:vAlign w:val="bottom"/>
          </w:tcPr>
          <w:p>
            <w:pPr>
              <w:spacing w:after="0"/>
              <w:rPr>
                <w:sz w:val="1"/>
                <w:szCs w:val="1"/>
                <w:color w:val="auto"/>
              </w:rPr>
            </w:pPr>
          </w:p>
        </w:tc>
      </w:tr>
      <w:tr>
        <w:trPr>
          <w:trHeight w:val="234"/>
        </w:trPr>
        <w:tc>
          <w:tcPr>
            <w:tcW w:w="8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4,672,194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4,962,875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171,068</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135,620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122,022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subscriber incentives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218,761</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108,256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66,503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accrued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213,737</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Current portion of debt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914,713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815,571</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38,629</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264,411</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4,829,461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4,717,091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200"/>
              <w:spacing w:after="0" w:line="162" w:lineRule="exact"/>
              <w:rPr>
                <w:sz w:val="20"/>
                <w:szCs w:val="20"/>
                <w:color w:val="auto"/>
              </w:rPr>
            </w:pPr>
            <w:r>
              <w:rPr>
                <w:rFonts w:ascii="Arial" w:cs="Arial" w:eastAsia="Arial" w:hAnsi="Arial"/>
                <w:sz w:val="16"/>
                <w:szCs w:val="16"/>
                <w:color w:val="auto"/>
              </w:rPr>
              <w:t>Preferred stock; $0.01 par value, 225,000 authorized, — and 3,290 shares issued and outstanding as of</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200"/>
              <w:spacing w:after="0" w:line="162" w:lineRule="exact"/>
              <w:rPr>
                <w:sz w:val="20"/>
                <w:szCs w:val="20"/>
                <w:color w:val="auto"/>
              </w:rPr>
            </w:pPr>
            <w:r>
              <w:rPr>
                <w:rFonts w:ascii="Arial" w:cs="Arial" w:eastAsia="Arial" w:hAnsi="Arial"/>
                <w:sz w:val="16"/>
                <w:szCs w:val="16"/>
                <w:color w:val="auto"/>
              </w:rPr>
              <w:t>December 31, 2023 and 2022, respectively; aggregate liquidation value of $— and $329,000 as of December 31,</w:t>
            </w:r>
          </w:p>
        </w:tc>
        <w:tc>
          <w:tcPr>
            <w:tcW w:w="3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2023 and 2022, respectively</w:t>
            </w: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400" w:type="dxa"/>
            <w:vAlign w:val="bottom"/>
            <w:shd w:val="clear" w:color="auto" w:fill="CCEEFF"/>
          </w:tcPr>
          <w:p>
            <w:pPr>
              <w:ind w:left="200"/>
              <w:spacing w:after="0" w:line="163" w:lineRule="exact"/>
              <w:rPr>
                <w:sz w:val="20"/>
                <w:szCs w:val="20"/>
                <w:color w:val="auto"/>
              </w:rPr>
            </w:pPr>
            <w:r>
              <w:rPr>
                <w:rFonts w:ascii="Arial" w:cs="Arial" w:eastAsia="Arial" w:hAnsi="Arial"/>
                <w:sz w:val="16"/>
                <w:szCs w:val="16"/>
                <w:color w:val="auto"/>
              </w:rPr>
              <w:t>Common stock: $0.01 par value; 1,000,000 authorized shares; 405,915 and 353,436 shares issued, 379,569 and</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3,534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328,542 shares outstanding at December 31, 2023 and 2022, respectively</w:t>
            </w: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3,249,901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3,198,580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 at cost, 26,346 and 24,895 shares at December 31, 2023 and 2022, respectively</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(514,215)</w:t>
            </w:r>
          </w:p>
        </w:tc>
        <w:tc>
          <w:tcPr>
            <w:tcW w:w="0" w:type="dxa"/>
            <w:vAlign w:val="bottom"/>
          </w:tcPr>
          <w:p>
            <w:pPr>
              <w:spacing w:after="0"/>
              <w:rPr>
                <w:sz w:val="1"/>
                <w:szCs w:val="1"/>
                <w:color w:val="auto"/>
              </w:rPr>
            </w:pPr>
          </w:p>
        </w:tc>
      </w:tr>
      <w:tr>
        <w:trPr>
          <w:trHeight w:val="215"/>
        </w:trPr>
        <w:tc>
          <w:tcPr>
            <w:tcW w:w="840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(4,048,393)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(3,506,528)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(65,731)</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11,500</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deficit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(1,375,819)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(872,827)</w:t>
            </w:r>
          </w:p>
        </w:tc>
        <w:tc>
          <w:tcPr>
            <w:tcW w:w="0" w:type="dxa"/>
            <w:vAlign w:val="bottom"/>
          </w:tcPr>
          <w:p>
            <w:pPr>
              <w:spacing w:after="0"/>
              <w:rPr>
                <w:sz w:val="1"/>
                <w:szCs w:val="1"/>
                <w:color w:val="auto"/>
              </w:rPr>
            </w:pPr>
          </w:p>
        </w:tc>
      </w:tr>
      <w:tr>
        <w:trPr>
          <w:trHeight w:val="210"/>
        </w:trPr>
        <w:tc>
          <w:tcPr>
            <w:tcW w:w="8400" w:type="dxa"/>
            <w:vAlign w:val="bottom"/>
          </w:tcPr>
          <w:p>
            <w:pPr>
              <w:ind w:left="460"/>
              <w:spacing w:after="0"/>
              <w:rPr>
                <w:sz w:val="20"/>
                <w:szCs w:val="20"/>
                <w:color w:val="auto"/>
              </w:rPr>
            </w:pPr>
            <w:r>
              <w:rPr>
                <w:rFonts w:ascii="Arial" w:cs="Arial" w:eastAsia="Arial" w:hAnsi="Arial"/>
                <w:sz w:val="16"/>
                <w:szCs w:val="16"/>
                <w:color w:val="auto"/>
              </w:rPr>
              <w:t>Total liabilities and stockholders’ deficit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4,672,194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4,962,875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36"/>
        </w:trPr>
        <w:tc>
          <w:tcPr>
            <w:tcW w:w="70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spacing w:after="0"/>
              <w:rPr>
                <w:sz w:val="11"/>
                <w:szCs w:val="11"/>
                <w:color w:val="auto"/>
              </w:rPr>
            </w:pPr>
          </w:p>
        </w:tc>
      </w:tr>
      <w:tr>
        <w:trPr>
          <w:trHeight w:val="140"/>
        </w:trPr>
        <w:tc>
          <w:tcPr>
            <w:tcW w:w="70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b w:val="1"/>
                <w:bCs w:val="1"/>
                <w:color w:val="auto"/>
              </w:rPr>
              <w:t>2021</w:t>
            </w:r>
          </w:p>
        </w:tc>
      </w:tr>
      <w:tr>
        <w:trPr>
          <w:trHeight w:val="144"/>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Net loss</w:t>
            </w:r>
          </w:p>
        </w:tc>
        <w:tc>
          <w:tcPr>
            <w:tcW w:w="780" w:type="dxa"/>
            <w:vAlign w:val="bottom"/>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(527,940)</w:t>
            </w:r>
          </w:p>
        </w:tc>
        <w:tc>
          <w:tcPr>
            <w:tcW w:w="12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(432,778)</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(926,307)</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Adjustments to reconcile net loss to cash used in operating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Depreciation and amortization</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148,676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184,633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262,185</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Loss on extinguishment of debt</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108,577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4,473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13,070</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Paid-in-kind interest</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53,859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Stock-based compensation expense</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52,015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82,872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120,892</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Amortization of upfront incentive consideration</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34,833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44,086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57,570</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Amortization of debt discount and issuance costs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22,743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16,026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11,984</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Deferred income taxes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22,287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(17,306)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(27,515)</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Provision for expected credit losses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5,872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(7,788)</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Other</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(3,261)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5,732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4,701</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Loss on fair value of investment</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2,400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26,000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(Income) loss from discontinued operations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(308)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679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2,532</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Gain on sale of assets and investments</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(180,081)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(14,532)</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Pension settlement charge</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6,707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7,529</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Impairment and related charges</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5,146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4"/>
        </w:trPr>
        <w:tc>
          <w:tcPr>
            <w:tcW w:w="7000" w:type="dxa"/>
            <w:vAlign w:val="bottom"/>
          </w:tcPr>
          <w:p>
            <w:pPr>
              <w:ind w:left="420"/>
              <w:spacing w:after="0"/>
              <w:rPr>
                <w:sz w:val="20"/>
                <w:szCs w:val="20"/>
                <w:color w:val="auto"/>
              </w:rPr>
            </w:pPr>
            <w:r>
              <w:rPr>
                <w:rFonts w:ascii="Arial" w:cs="Arial" w:eastAsia="Arial" w:hAnsi="Arial"/>
                <w:sz w:val="10"/>
                <w:szCs w:val="10"/>
                <w:color w:val="auto"/>
              </w:rPr>
              <w:t>Debt modification costs</w:t>
            </w:r>
          </w:p>
        </w:tc>
        <w:tc>
          <w:tcPr>
            <w:tcW w:w="7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4,905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2,435</w:t>
            </w:r>
          </w:p>
        </w:tc>
      </w:tr>
      <w:tr>
        <w:trPr>
          <w:trHeight w:val="153"/>
        </w:trPr>
        <w:tc>
          <w:tcPr>
            <w:tcW w:w="7000" w:type="dxa"/>
            <w:vAlign w:val="bottom"/>
            <w:shd w:val="clear" w:color="auto" w:fill="CCEEFF"/>
          </w:tcPr>
          <w:p>
            <w:pPr>
              <w:ind w:left="420"/>
              <w:spacing w:after="0"/>
              <w:rPr>
                <w:sz w:val="20"/>
                <w:szCs w:val="20"/>
                <w:color w:val="auto"/>
              </w:rPr>
            </w:pPr>
            <w:r>
              <w:rPr>
                <w:rFonts w:ascii="Arial" w:cs="Arial" w:eastAsia="Arial" w:hAnsi="Arial"/>
                <w:sz w:val="10"/>
                <w:szCs w:val="10"/>
                <w:color w:val="auto"/>
              </w:rPr>
              <w:t>Gain on loan converted to equity</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Changes in operating assets and liabilities: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Accounts and other receivables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(122,288)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(17,881)</w:t>
            </w:r>
          </w:p>
        </w:tc>
      </w:tr>
      <w:tr>
        <w:trPr>
          <w:trHeight w:val="144"/>
        </w:trPr>
        <w:tc>
          <w:tcPr>
            <w:tcW w:w="7000" w:type="dxa"/>
            <w:vAlign w:val="bottom"/>
          </w:tcPr>
          <w:p>
            <w:pPr>
              <w:ind w:left="460"/>
              <w:spacing w:after="0"/>
              <w:rPr>
                <w:sz w:val="20"/>
                <w:szCs w:val="20"/>
                <w:color w:val="auto"/>
              </w:rPr>
            </w:pPr>
            <w:r>
              <w:rPr>
                <w:rFonts w:ascii="Arial" w:cs="Arial" w:eastAsia="Arial" w:hAnsi="Arial"/>
                <w:sz w:val="10"/>
                <w:szCs w:val="10"/>
                <w:color w:val="auto"/>
              </w:rPr>
              <w:t>Prepaid expenses and other current assets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51,506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(22,431)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5,837</w:t>
            </w:r>
          </w:p>
        </w:tc>
      </w:tr>
      <w:tr>
        <w:trPr>
          <w:trHeight w:val="153"/>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Capitalized implementation costs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(8,862)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(12,577)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(19,027)</w:t>
            </w:r>
          </w:p>
        </w:tc>
      </w:tr>
      <w:tr>
        <w:trPr>
          <w:trHeight w:val="144"/>
        </w:trPr>
        <w:tc>
          <w:tcPr>
            <w:tcW w:w="7000" w:type="dxa"/>
            <w:vAlign w:val="bottom"/>
          </w:tcPr>
          <w:p>
            <w:pPr>
              <w:ind w:left="460"/>
              <w:spacing w:after="0"/>
              <w:rPr>
                <w:sz w:val="20"/>
                <w:szCs w:val="20"/>
                <w:color w:val="auto"/>
              </w:rPr>
            </w:pPr>
            <w:r>
              <w:rPr>
                <w:rFonts w:ascii="Arial" w:cs="Arial" w:eastAsia="Arial" w:hAnsi="Arial"/>
                <w:sz w:val="10"/>
                <w:szCs w:val="10"/>
                <w:color w:val="auto"/>
              </w:rPr>
              <w:t>Upfront incentive consideration</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(13,942)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(12,113)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(5,980)</w:t>
            </w:r>
          </w:p>
        </w:tc>
      </w:tr>
      <w:tr>
        <w:trPr>
          <w:trHeight w:val="153"/>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Other assets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(3,960)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42,039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(1,838)</w:t>
            </w:r>
          </w:p>
        </w:tc>
      </w:tr>
      <w:tr>
        <w:trPr>
          <w:trHeight w:val="144"/>
        </w:trPr>
        <w:tc>
          <w:tcPr>
            <w:tcW w:w="7000" w:type="dxa"/>
            <w:vAlign w:val="bottom"/>
          </w:tcPr>
          <w:p>
            <w:pPr>
              <w:ind w:left="460"/>
              <w:spacing w:after="0"/>
              <w:rPr>
                <w:sz w:val="20"/>
                <w:szCs w:val="20"/>
                <w:color w:val="auto"/>
              </w:rPr>
            </w:pPr>
            <w:r>
              <w:rPr>
                <w:rFonts w:ascii="Arial" w:cs="Arial" w:eastAsia="Arial" w:hAnsi="Arial"/>
                <w:sz w:val="10"/>
                <w:szCs w:val="10"/>
                <w:color w:val="auto"/>
              </w:rPr>
              <w:t>Accrued compensation and related benefits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487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(11,857)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51,652</w:t>
            </w:r>
          </w:p>
        </w:tc>
      </w:tr>
      <w:tr>
        <w:trPr>
          <w:trHeight w:val="153"/>
        </w:trPr>
        <w:tc>
          <w:tcPr>
            <w:tcW w:w="7000" w:type="dxa"/>
            <w:vAlign w:val="bottom"/>
            <w:shd w:val="clear" w:color="auto" w:fill="CCEEFF"/>
          </w:tcPr>
          <w:p>
            <w:pPr>
              <w:ind w:left="460"/>
              <w:spacing w:after="0"/>
              <w:rPr>
                <w:sz w:val="20"/>
                <w:szCs w:val="20"/>
                <w:color w:val="auto"/>
              </w:rPr>
            </w:pPr>
            <w:r>
              <w:rPr>
                <w:rFonts w:ascii="Arial" w:cs="Arial" w:eastAsia="Arial" w:hAnsi="Arial"/>
                <w:sz w:val="10"/>
                <w:szCs w:val="10"/>
                <w:color w:val="auto"/>
              </w:rPr>
              <w:t>Accounts payable and other accrued liabilities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60,527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131,034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70,346</w:t>
            </w:r>
          </w:p>
        </w:tc>
      </w:tr>
      <w:tr>
        <w:trPr>
          <w:trHeight w:val="144"/>
        </w:trPr>
        <w:tc>
          <w:tcPr>
            <w:tcW w:w="7000" w:type="dxa"/>
            <w:vAlign w:val="bottom"/>
            <w:tcBorders>
              <w:bottom w:val="single" w:sz="8" w:color="CCEEFF"/>
            </w:tcBorders>
          </w:tcPr>
          <w:p>
            <w:pPr>
              <w:ind w:left="460"/>
              <w:spacing w:after="0"/>
              <w:rPr>
                <w:sz w:val="20"/>
                <w:szCs w:val="20"/>
                <w:color w:val="auto"/>
              </w:rPr>
            </w:pPr>
            <w:r>
              <w:rPr>
                <w:rFonts w:ascii="Arial" w:cs="Arial" w:eastAsia="Arial" w:hAnsi="Arial"/>
                <w:sz w:val="10"/>
                <w:szCs w:val="10"/>
                <w:color w:val="auto"/>
              </w:rPr>
              <w:t>Deferred revenue including upfront solution fees</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52,184</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(15,506)</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(4,519)</w:t>
            </w:r>
          </w:p>
        </w:tc>
      </w:tr>
      <w:tr>
        <w:trPr>
          <w:trHeight w:val="146"/>
        </w:trPr>
        <w:tc>
          <w:tcPr>
            <w:tcW w:w="7000" w:type="dxa"/>
            <w:vAlign w:val="bottom"/>
            <w:shd w:val="clear" w:color="auto" w:fill="CCEEFF"/>
          </w:tcPr>
          <w:p>
            <w:pPr>
              <w:ind w:left="660"/>
              <w:spacing w:after="0"/>
              <w:rPr>
                <w:sz w:val="20"/>
                <w:szCs w:val="20"/>
                <w:color w:val="auto"/>
              </w:rPr>
            </w:pPr>
            <w:r>
              <w:rPr>
                <w:rFonts w:ascii="Arial" w:cs="Arial" w:eastAsia="Arial" w:hAnsi="Arial"/>
                <w:sz w:val="10"/>
                <w:szCs w:val="10"/>
                <w:color w:val="auto"/>
              </w:rPr>
              <w:t>Cash provided by (used in) operating activities</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56,239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(276,458)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(414,654)</w:t>
            </w:r>
          </w:p>
        </w:tc>
      </w:tr>
      <w:tr>
        <w:trPr>
          <w:trHeight w:val="146"/>
        </w:trPr>
        <w:tc>
          <w:tcPr>
            <w:tcW w:w="7000" w:type="dxa"/>
            <w:vAlign w:val="bottom"/>
          </w:tcPr>
          <w:p>
            <w:pPr>
              <w:spacing w:after="0"/>
              <w:rPr>
                <w:sz w:val="20"/>
                <w:szCs w:val="20"/>
                <w:color w:val="auto"/>
              </w:rPr>
            </w:pPr>
            <w:r>
              <w:rPr>
                <w:rFonts w:ascii="Arial" w:cs="Arial" w:eastAsia="Arial" w:hAnsi="Arial"/>
                <w:sz w:val="10"/>
                <w:szCs w:val="10"/>
                <w:b w:val="1"/>
                <w:bCs w:val="1"/>
                <w:color w:val="auto"/>
              </w:rPr>
              <w:t>Investing Activities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1"/>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Additions to property and equipment</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(87,423)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(69,494)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(54,302)</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Acquisitions, net of cash acquired</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(12,021)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(68,797)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53"/>
        </w:trPr>
        <w:tc>
          <w:tcPr>
            <w:tcW w:w="70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Purchase of investments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(11,200)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Other investing activities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664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53"/>
        </w:trPr>
        <w:tc>
          <w:tcPr>
            <w:tcW w:w="70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Proceeds from disposition of investments and assets</w:t>
            </w:r>
          </w:p>
        </w:tc>
        <w:tc>
          <w:tcPr>
            <w:tcW w:w="7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392,268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24,874</w:t>
            </w:r>
          </w:p>
        </w:tc>
      </w:tr>
      <w:tr>
        <w:trPr>
          <w:trHeight w:val="138"/>
        </w:trPr>
        <w:tc>
          <w:tcPr>
            <w:tcW w:w="7000" w:type="dxa"/>
            <w:vAlign w:val="bottom"/>
          </w:tcPr>
          <w:p>
            <w:pPr>
              <w:ind w:left="660"/>
              <w:spacing w:after="0"/>
              <w:rPr>
                <w:sz w:val="20"/>
                <w:szCs w:val="20"/>
                <w:color w:val="auto"/>
              </w:rPr>
            </w:pPr>
            <w:r>
              <w:rPr>
                <w:rFonts w:ascii="Arial" w:cs="Arial" w:eastAsia="Arial" w:hAnsi="Arial"/>
                <w:sz w:val="10"/>
                <w:szCs w:val="10"/>
                <w:color w:val="auto"/>
              </w:rPr>
              <w:t>Cash (used in) provided by investing activities</w:t>
            </w:r>
          </w:p>
        </w:tc>
        <w:tc>
          <w:tcPr>
            <w:tcW w:w="7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(109,980)</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173,977</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(29,428)</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Financing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Payments on borrowings from lenders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7"/>
              </w:rPr>
              <w:t>(1,573,729)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(1,822,661)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(1,061,050)</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Proceeds of borrowings from lenders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1,530,473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1,818,581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1,070,380</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Proceeds from borrowings under AR Facility</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218,600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Debt prepayment fees and issuance costs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(159,589)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(33,489)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(12,194)</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Payments on borrowings under AR Facility</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(108,600)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Dividends paid on preferred stock</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(16,039)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(21,385)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(21,629)</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Proceeds from sale of redeemable shares in subsidiary</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16,000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Net payment on the settlement of equity-based awards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(5,535)</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(16,084)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(22,682)</w:t>
            </w:r>
          </w:p>
        </w:tc>
      </w:tr>
      <w:tr>
        <w:trPr>
          <w:trHeight w:val="144"/>
        </w:trPr>
        <w:tc>
          <w:tcPr>
            <w:tcW w:w="7000" w:type="dxa"/>
            <w:vAlign w:val="bottom"/>
          </w:tcPr>
          <w:p>
            <w:pPr>
              <w:ind w:left="220"/>
              <w:spacing w:after="0"/>
              <w:rPr>
                <w:sz w:val="20"/>
                <w:szCs w:val="20"/>
                <w:color w:val="auto"/>
              </w:rPr>
            </w:pPr>
            <w:r>
              <w:rPr>
                <w:rFonts w:ascii="Arial" w:cs="Arial" w:eastAsia="Arial" w:hAnsi="Arial"/>
                <w:sz w:val="10"/>
                <w:szCs w:val="10"/>
                <w:color w:val="auto"/>
              </w:rPr>
              <w:t>Other financing activities</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4,200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(332)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(843)</w:t>
            </w: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Payment for settlement of exchangeable notes</w:t>
            </w:r>
          </w:p>
        </w:tc>
        <w:tc>
          <w:tcPr>
            <w:tcW w:w="7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(2,540)</w:t>
            </w:r>
          </w:p>
        </w:tc>
      </w:tr>
      <w:tr>
        <w:trPr>
          <w:trHeight w:val="138"/>
        </w:trPr>
        <w:tc>
          <w:tcPr>
            <w:tcW w:w="7000" w:type="dxa"/>
            <w:vAlign w:val="bottom"/>
          </w:tcPr>
          <w:p>
            <w:pPr>
              <w:ind w:left="660"/>
              <w:spacing w:after="0"/>
              <w:rPr>
                <w:sz w:val="20"/>
                <w:szCs w:val="20"/>
                <w:color w:val="auto"/>
              </w:rPr>
            </w:pPr>
            <w:r>
              <w:rPr>
                <w:rFonts w:ascii="Arial" w:cs="Arial" w:eastAsia="Arial" w:hAnsi="Arial"/>
                <w:sz w:val="10"/>
                <w:szCs w:val="10"/>
                <w:color w:val="auto"/>
              </w:rPr>
              <w:t>Cash used in financing activities</w:t>
            </w: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(94,219)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(75,370)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(50,558)</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Discontinued Operations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4"/>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Cash used in operating activities</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(425)</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(3,259)</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(3,498)</w:t>
            </w:r>
          </w:p>
        </w:tc>
      </w:tr>
      <w:tr>
        <w:trPr>
          <w:trHeight w:val="146"/>
        </w:trPr>
        <w:tc>
          <w:tcPr>
            <w:tcW w:w="7000" w:type="dxa"/>
            <w:vAlign w:val="bottom"/>
            <w:shd w:val="clear" w:color="auto" w:fill="CCEEFF"/>
          </w:tcPr>
          <w:p>
            <w:pPr>
              <w:ind w:left="660"/>
              <w:spacing w:after="0"/>
              <w:rPr>
                <w:sz w:val="20"/>
                <w:szCs w:val="20"/>
                <w:color w:val="auto"/>
              </w:rPr>
            </w:pPr>
            <w:r>
              <w:rPr>
                <w:rFonts w:ascii="Arial" w:cs="Arial" w:eastAsia="Arial" w:hAnsi="Arial"/>
                <w:sz w:val="10"/>
                <w:szCs w:val="10"/>
                <w:color w:val="auto"/>
              </w:rPr>
              <w:t>Cash used in discontinued operations</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(3,498)</w:t>
            </w:r>
          </w:p>
        </w:tc>
      </w:tr>
      <w:tr>
        <w:trPr>
          <w:trHeight w:val="144"/>
        </w:trPr>
        <w:tc>
          <w:tcPr>
            <w:tcW w:w="7000" w:type="dxa"/>
            <w:vAlign w:val="bottom"/>
          </w:tcPr>
          <w:p>
            <w:pPr>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780" w:type="dxa"/>
            <w:vAlign w:val="bottom"/>
          </w:tcPr>
          <w:p>
            <w:pPr>
              <w:spacing w:after="0"/>
              <w:rPr>
                <w:sz w:val="12"/>
                <w:szCs w:val="12"/>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1,706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(2,358)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(2,136)</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Decrease in cash, cash equivalents and restricted cash</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(146,679)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(183,468)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(500,274)</w:t>
            </w:r>
          </w:p>
        </w:tc>
      </w:tr>
      <w:tr>
        <w:trPr>
          <w:trHeight w:val="144"/>
        </w:trPr>
        <w:tc>
          <w:tcPr>
            <w:tcW w:w="70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Cash, cash equivalents and restricted cash at beginning of period</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815,923</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999,391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1,499,665</w:t>
            </w:r>
          </w:p>
        </w:tc>
      </w:tr>
      <w:tr>
        <w:trPr>
          <w:trHeight w:val="171"/>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Cash, cash equivalents and restricted cash at end of period</w:t>
            </w:r>
          </w:p>
        </w:tc>
        <w:tc>
          <w:tcPr>
            <w:tcW w:w="7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669,244</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815,923</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999,391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18"/>
        </w:trPr>
        <w:tc>
          <w:tcPr>
            <w:tcW w:w="7000" w:type="dxa"/>
            <w:vAlign w:val="bottom"/>
          </w:tcPr>
          <w:p>
            <w:pPr>
              <w:spacing w:after="0"/>
              <w:rPr>
                <w:sz w:val="20"/>
                <w:szCs w:val="20"/>
                <w:color w:val="auto"/>
              </w:rPr>
            </w:pPr>
            <w:r>
              <w:rPr>
                <w:rFonts w:ascii="Arial" w:cs="Arial" w:eastAsia="Arial" w:hAnsi="Arial"/>
                <w:sz w:val="10"/>
                <w:szCs w:val="10"/>
                <w:color w:val="auto"/>
              </w:rPr>
              <w:t>Cash payments for income taxes</w:t>
            </w:r>
          </w:p>
        </w:tc>
        <w:tc>
          <w:tcPr>
            <w:tcW w:w="780" w:type="dxa"/>
            <w:vAlign w:val="bottom"/>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24,332</w:t>
            </w:r>
          </w:p>
        </w:tc>
        <w:tc>
          <w:tcPr>
            <w:tcW w:w="120" w:type="dxa"/>
            <w:vAlign w:val="bottom"/>
          </w:tcPr>
          <w:p>
            <w:pPr>
              <w:spacing w:after="0"/>
              <w:rPr>
                <w:sz w:val="10"/>
                <w:szCs w:val="10"/>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15,620</w:t>
            </w:r>
          </w:p>
        </w:tc>
        <w:tc>
          <w:tcPr>
            <w:tcW w:w="100" w:type="dxa"/>
            <w:vAlign w:val="bottom"/>
          </w:tcPr>
          <w:p>
            <w:pPr>
              <w:spacing w:after="0"/>
              <w:rPr>
                <w:sz w:val="10"/>
                <w:szCs w:val="10"/>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14,659</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Cash payments for interest</w:t>
            </w:r>
          </w:p>
        </w:tc>
        <w:tc>
          <w:tcPr>
            <w:tcW w:w="780" w:type="dxa"/>
            <w:vAlign w:val="bottom"/>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394,539</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286,139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246,933</w:t>
            </w:r>
          </w:p>
        </w:tc>
      </w:tr>
      <w:tr>
        <w:trPr>
          <w:trHeight w:val="144"/>
        </w:trPr>
        <w:tc>
          <w:tcPr>
            <w:tcW w:w="7000" w:type="dxa"/>
            <w:vAlign w:val="bottom"/>
          </w:tcPr>
          <w:p>
            <w:pPr>
              <w:spacing w:after="0"/>
              <w:rPr>
                <w:sz w:val="20"/>
                <w:szCs w:val="20"/>
                <w:color w:val="auto"/>
              </w:rPr>
            </w:pPr>
            <w:r>
              <w:rPr>
                <w:rFonts w:ascii="Arial" w:cs="Arial" w:eastAsia="Arial" w:hAnsi="Arial"/>
                <w:sz w:val="10"/>
                <w:szCs w:val="10"/>
                <w:color w:val="auto"/>
              </w:rPr>
              <w:t>Capitalized interest</w:t>
            </w:r>
          </w:p>
        </w:tc>
        <w:tc>
          <w:tcPr>
            <w:tcW w:w="780" w:type="dxa"/>
            <w:vAlign w:val="bottom"/>
          </w:tcPr>
          <w:p>
            <w:pPr>
              <w:jc w:val="right"/>
              <w:ind w:right="67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5,740</w:t>
            </w:r>
          </w:p>
        </w:tc>
        <w:tc>
          <w:tcPr>
            <w:tcW w:w="12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2,232</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1,599</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Non-cash additions to property and equipment</w:t>
            </w:r>
          </w:p>
        </w:tc>
        <w:tc>
          <w:tcPr>
            <w:tcW w:w="780" w:type="dxa"/>
            <w:vAlign w:val="bottom"/>
            <w:shd w:val="clear" w:color="auto" w:fill="CCEEFF"/>
          </w:tcPr>
          <w:p>
            <w:pPr>
              <w:jc w:val="right"/>
              <w:ind w:right="67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3,025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2,678</w:t>
            </w: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20"/>
                <w:szCs w:val="20"/>
                <w:color w:val="auto"/>
              </w:rPr>
            </w:pPr>
            <w:r>
              <w:rPr>
                <w:rFonts w:ascii="Arial" w:cs="Arial" w:eastAsia="Arial" w:hAnsi="Arial"/>
                <w:sz w:val="13"/>
                <w:szCs w:val="13"/>
                <w:color w:val="auto"/>
              </w:rPr>
              <w:t>See Notes to Consolidated Financial Statements.</w:t>
            </w:r>
          </w:p>
        </w:tc>
        <w:tc>
          <w:tcPr>
            <w:tcW w:w="7100" w:type="dxa"/>
            <w:vAlign w:val="bottom"/>
          </w:tcPr>
          <w:p>
            <w:pPr>
              <w:jc w:val="right"/>
              <w:ind w:right="5439"/>
              <w:spacing w:after="0"/>
              <w:rPr>
                <w:sz w:val="20"/>
                <w:szCs w:val="20"/>
                <w:color w:val="auto"/>
              </w:rPr>
            </w:pPr>
            <w:r>
              <w:rPr>
                <w:rFonts w:ascii="Arial" w:cs="Arial" w:eastAsia="Arial" w:hAnsi="Arial"/>
                <w:sz w:val="16"/>
                <w:szCs w:val="16"/>
                <w:color w:val="auto"/>
              </w:rPr>
              <w:t>59</w:t>
            </w:r>
          </w:p>
        </w:tc>
      </w:tr>
      <w:tr>
        <w:trPr>
          <w:trHeight w:val="104"/>
        </w:trPr>
        <w:tc>
          <w:tcPr>
            <w:tcW w:w="4140" w:type="dxa"/>
            <w:vAlign w:val="bottom"/>
            <w:tcBorders>
              <w:bottom w:val="single" w:sz="8" w:color="9A9A9A"/>
            </w:tcBorders>
          </w:tcPr>
          <w:p>
            <w:pPr>
              <w:spacing w:after="0"/>
              <w:rPr>
                <w:sz w:val="9"/>
                <w:szCs w:val="9"/>
                <w:color w:val="auto"/>
              </w:rPr>
            </w:pPr>
          </w:p>
        </w:tc>
        <w:tc>
          <w:tcPr>
            <w:tcW w:w="7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tcPr>
          <w:p>
            <w:pPr>
              <w:ind w:left="60"/>
              <w:spacing w:after="0"/>
              <w:rPr>
                <w:sz w:val="20"/>
                <w:szCs w:val="20"/>
                <w:color w:val="auto"/>
              </w:rPr>
            </w:pPr>
            <w:r>
              <w:rPr>
                <w:rFonts w:ascii="Arial" w:cs="Arial" w:eastAsia="Arial" w:hAnsi="Arial"/>
                <w:sz w:val="9"/>
                <w:szCs w:val="9"/>
                <w:b w:val="1"/>
                <w:bCs w:val="1"/>
                <w:color w:val="auto"/>
              </w:rPr>
              <w:t>Stockholders’ Equity (Deficit)</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1460" w:type="dxa"/>
            <w:vAlign w:val="bottom"/>
            <w:gridSpan w:val="5"/>
            <w:vMerge w:val="restart"/>
          </w:tcPr>
          <w:p>
            <w:pPr>
              <w:ind w:left="340"/>
              <w:spacing w:after="0"/>
              <w:rPr>
                <w:sz w:val="20"/>
                <w:szCs w:val="20"/>
                <w:color w:val="auto"/>
              </w:rPr>
            </w:pPr>
            <w:r>
              <w:rPr>
                <w:rFonts w:ascii="Arial" w:cs="Arial" w:eastAsia="Arial" w:hAnsi="Arial"/>
                <w:sz w:val="9"/>
                <w:szCs w:val="9"/>
                <w:b w:val="1"/>
                <w:bCs w:val="1"/>
                <w:color w:val="auto"/>
              </w:rPr>
              <w:t>Preferred Stock</w:t>
            </w:r>
          </w:p>
        </w:tc>
        <w:tc>
          <w:tcPr>
            <w:tcW w:w="1600" w:type="dxa"/>
            <w:vAlign w:val="bottom"/>
            <w:gridSpan w:val="5"/>
            <w:vMerge w:val="restart"/>
          </w:tcPr>
          <w:p>
            <w:pPr>
              <w:ind w:left="420"/>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4"/>
                <w:szCs w:val="14"/>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Additional</w:t>
            </w:r>
          </w:p>
        </w:tc>
        <w:tc>
          <w:tcPr>
            <w:tcW w:w="1660" w:type="dxa"/>
            <w:vAlign w:val="bottom"/>
            <w:gridSpan w:val="5"/>
            <w:vMerge w:val="restart"/>
          </w:tcPr>
          <w:p>
            <w:pPr>
              <w:ind w:left="440"/>
              <w:spacing w:after="0"/>
              <w:rPr>
                <w:sz w:val="20"/>
                <w:szCs w:val="20"/>
                <w:color w:val="auto"/>
              </w:rPr>
            </w:pPr>
            <w:r>
              <w:rPr>
                <w:rFonts w:ascii="Arial" w:cs="Arial" w:eastAsia="Arial" w:hAnsi="Arial"/>
                <w:sz w:val="9"/>
                <w:szCs w:val="9"/>
                <w:b w:val="1"/>
                <w:bCs w:val="1"/>
                <w:color w:val="auto"/>
              </w:rPr>
              <w:t>Treasury Stock</w:t>
            </w:r>
          </w:p>
        </w:tc>
        <w:tc>
          <w:tcPr>
            <w:tcW w:w="140" w:type="dxa"/>
            <w:vAlign w:val="bottom"/>
          </w:tcPr>
          <w:p>
            <w:pPr>
              <w:spacing w:after="0"/>
              <w:rPr>
                <w:sz w:val="14"/>
                <w:szCs w:val="14"/>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Retained</w:t>
            </w: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Accumulated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right="27"/>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220"/>
              <w:spacing w:after="0" w:line="95" w:lineRule="exact"/>
              <w:rPr>
                <w:sz w:val="20"/>
                <w:szCs w:val="20"/>
                <w:color w:val="auto"/>
              </w:rPr>
            </w:pPr>
            <w:r>
              <w:rPr>
                <w:rFonts w:ascii="Arial" w:cs="Arial" w:eastAsia="Arial" w:hAnsi="Arial"/>
                <w:sz w:val="9"/>
                <w:szCs w:val="9"/>
                <w:b w:val="1"/>
                <w:bCs w:val="1"/>
                <w:color w:val="auto"/>
              </w:rPr>
              <w:t>Paid in</w:t>
            </w: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center"/>
              <w:ind w:right="260"/>
              <w:spacing w:after="0" w:line="95" w:lineRule="exact"/>
              <w:rPr>
                <w:sz w:val="20"/>
                <w:szCs w:val="20"/>
                <w:color w:val="auto"/>
              </w:rPr>
            </w:pPr>
            <w:r>
              <w:rPr>
                <w:rFonts w:ascii="Arial" w:cs="Arial" w:eastAsia="Arial" w:hAnsi="Arial"/>
                <w:sz w:val="9"/>
                <w:szCs w:val="9"/>
                <w:b w:val="1"/>
                <w:bCs w:val="1"/>
                <w:color w:val="auto"/>
                <w:w w:val="98"/>
              </w:rPr>
              <w:t>Earnings</w:t>
            </w:r>
          </w:p>
        </w:tc>
        <w:tc>
          <w:tcPr>
            <w:tcW w:w="80" w:type="dxa"/>
            <w:vAlign w:val="bottom"/>
          </w:tcPr>
          <w:p>
            <w:pPr>
              <w:spacing w:after="0"/>
              <w:rPr>
                <w:sz w:val="2"/>
                <w:szCs w:val="2"/>
                <w:color w:val="auto"/>
              </w:rPr>
            </w:pPr>
          </w:p>
        </w:tc>
        <w:tc>
          <w:tcPr>
            <w:tcW w:w="880" w:type="dxa"/>
            <w:vAlign w:val="bottom"/>
            <w:gridSpan w:val="2"/>
            <w:vMerge w:val="restart"/>
          </w:tcPr>
          <w:p>
            <w:pPr>
              <w:jc w:val="center"/>
              <w:ind w:right="200"/>
              <w:spacing w:after="0" w:line="95"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2"/>
                <w:szCs w:val="2"/>
                <w:color w:val="auto"/>
              </w:rPr>
            </w:pPr>
          </w:p>
        </w:tc>
        <w:tc>
          <w:tcPr>
            <w:tcW w:w="860" w:type="dxa"/>
            <w:vAlign w:val="bottom"/>
            <w:gridSpan w:val="2"/>
            <w:vMerge w:val="restart"/>
          </w:tcPr>
          <w:p>
            <w:pPr>
              <w:jc w:val="center"/>
              <w:ind w:right="180"/>
              <w:spacing w:after="0" w:line="95" w:lineRule="exact"/>
              <w:rPr>
                <w:sz w:val="20"/>
                <w:szCs w:val="20"/>
                <w:color w:val="auto"/>
              </w:rPr>
            </w:pPr>
            <w:r>
              <w:rPr>
                <w:rFonts w:ascii="Arial" w:cs="Arial" w:eastAsia="Arial" w:hAnsi="Arial"/>
                <w:sz w:val="9"/>
                <w:szCs w:val="9"/>
                <w:b w:val="1"/>
                <w:bCs w:val="1"/>
                <w:color w:val="auto"/>
                <w:w w:val="99"/>
              </w:rPr>
              <w:t>Noncontrolling</w:t>
            </w:r>
          </w:p>
        </w:tc>
        <w:tc>
          <w:tcPr>
            <w:tcW w:w="80" w:type="dxa"/>
            <w:vAlign w:val="bottom"/>
          </w:tcPr>
          <w:p>
            <w:pPr>
              <w:spacing w:after="0"/>
              <w:rPr>
                <w:sz w:val="2"/>
                <w:szCs w:val="2"/>
                <w:color w:val="auto"/>
              </w:rPr>
            </w:pPr>
          </w:p>
        </w:tc>
        <w:tc>
          <w:tcPr>
            <w:tcW w:w="720" w:type="dxa"/>
            <w:vAlign w:val="bottom"/>
            <w:vMerge w:val="restart"/>
          </w:tcPr>
          <w:p>
            <w:pPr>
              <w:jc w:val="center"/>
              <w:ind w:right="27"/>
              <w:spacing w:after="0" w:line="95"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48"/>
        </w:trPr>
        <w:tc>
          <w:tcPr>
            <w:tcW w:w="2080" w:type="dxa"/>
            <w:vAlign w:val="bottom"/>
          </w:tcPr>
          <w:p>
            <w:pPr>
              <w:spacing w:after="0"/>
              <w:rPr>
                <w:sz w:val="4"/>
                <w:szCs w:val="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4"/>
                <w:szCs w:val="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860" w:type="dxa"/>
            <w:vAlign w:val="bottom"/>
            <w:gridSpan w:val="2"/>
            <w:vMerge w:val="restart"/>
          </w:tcPr>
          <w:p>
            <w:pPr>
              <w:ind w:left="24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4"/>
                <w:szCs w:val="4"/>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4"/>
                <w:szCs w:val="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Capital</w:t>
            </w: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(Deficit)</w:t>
            </w:r>
          </w:p>
        </w:tc>
        <w:tc>
          <w:tcPr>
            <w:tcW w:w="8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8"/>
              </w:rPr>
              <w:t>Income (Loss)</w:t>
            </w:r>
          </w:p>
        </w:tc>
        <w:tc>
          <w:tcPr>
            <w:tcW w:w="8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8"/>
              </w:rPr>
              <w:t>Interest</w:t>
            </w:r>
          </w:p>
        </w:tc>
        <w:tc>
          <w:tcPr>
            <w:tcW w:w="80" w:type="dxa"/>
            <w:vAlign w:val="bottom"/>
          </w:tcPr>
          <w:p>
            <w:pPr>
              <w:spacing w:after="0"/>
              <w:rPr>
                <w:sz w:val="11"/>
                <w:szCs w:val="11"/>
                <w:color w:val="auto"/>
              </w:rPr>
            </w:pPr>
          </w:p>
        </w:tc>
        <w:tc>
          <w:tcPr>
            <w:tcW w:w="720" w:type="dxa"/>
            <w:vAlign w:val="bottom"/>
          </w:tcPr>
          <w:p>
            <w:pPr>
              <w:jc w:val="center"/>
              <w:ind w:right="27"/>
              <w:spacing w:after="0"/>
              <w:rPr>
                <w:sz w:val="20"/>
                <w:szCs w:val="20"/>
                <w:color w:val="auto"/>
              </w:rPr>
            </w:pPr>
            <w:r>
              <w:rPr>
                <w:rFonts w:ascii="Arial" w:cs="Arial" w:eastAsia="Arial" w:hAnsi="Arial"/>
                <w:sz w:val="9"/>
                <w:szCs w:val="9"/>
                <w:b w:val="1"/>
                <w:bCs w:val="1"/>
                <w:color w:val="auto"/>
              </w:rPr>
              <w:t>Deficit</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3,340,000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338,661,960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3,387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2,985,077</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21,365,227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(474,790)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(2,099,624)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(135,957)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7,028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285,154</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(928,469)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55,670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(870,637)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stock dividends</w:t>
            </w:r>
            <w:r>
              <w:rPr>
                <w:rFonts w:ascii="Arial" w:cs="Arial" w:eastAsia="Arial" w:hAnsi="Arial"/>
                <w:sz w:val="14"/>
                <w:szCs w:val="14"/>
                <w:color w:val="auto"/>
                <w:vertAlign w:val="superscript"/>
              </w:rPr>
              <w:t>(1)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(21,602)</w:t>
            </w:r>
          </w:p>
        </w:tc>
        <w:tc>
          <w:tcPr>
            <w:tcW w:w="0" w:type="dxa"/>
            <w:vAlign w:val="bottom"/>
          </w:tcPr>
          <w:p>
            <w:pPr>
              <w:spacing w:after="0"/>
              <w:rPr>
                <w:sz w:val="1"/>
                <w:szCs w:val="1"/>
                <w:color w:val="auto"/>
              </w:rPr>
            </w:pPr>
          </w:p>
        </w:tc>
      </w:tr>
      <w:tr>
        <w:trPr>
          <w:trHeight w:val="108"/>
        </w:trPr>
        <w:tc>
          <w:tcPr>
            <w:tcW w:w="2080" w:type="dxa"/>
            <w:vAlign w:val="bottom"/>
          </w:tcPr>
          <w:p>
            <w:pPr>
              <w:ind w:left="20"/>
              <w:spacing w:after="0" w:line="109" w:lineRule="exact"/>
              <w:rPr>
                <w:sz w:val="20"/>
                <w:szCs w:val="20"/>
                <w:color w:val="auto"/>
              </w:rPr>
            </w:pPr>
            <w:r>
              <w:rPr>
                <w:rFonts w:ascii="Arial" w:cs="Arial" w:eastAsia="Arial" w:hAnsi="Arial"/>
                <w:sz w:val="11"/>
                <w:szCs w:val="11"/>
                <w:color w:val="auto"/>
              </w:rPr>
              <w:t>Conversion from preferred stock to</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(50,000)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595,240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2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2"/>
        </w:trPr>
        <w:tc>
          <w:tcPr>
            <w:tcW w:w="2080" w:type="dxa"/>
            <w:vAlign w:val="bottom"/>
          </w:tcPr>
          <w:p>
            <w:pPr>
              <w:ind w:left="20"/>
              <w:spacing w:after="0"/>
              <w:rPr>
                <w:sz w:val="20"/>
                <w:szCs w:val="20"/>
                <w:color w:val="auto"/>
              </w:rPr>
            </w:pPr>
            <w:r>
              <w:rPr>
                <w:rFonts w:ascii="Arial" w:cs="Arial" w:eastAsia="Arial" w:hAnsi="Arial"/>
                <w:sz w:val="11"/>
                <w:szCs w:val="11"/>
                <w:color w:val="auto"/>
              </w:rPr>
              <w:t>common stock</w:t>
            </w: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5,903,724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717</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1,564,441</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(23,351)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(22,575)</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120,892</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120,892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exchangeable notes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(780)</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108"/>
        </w:trPr>
        <w:tc>
          <w:tcPr>
            <w:tcW w:w="2080" w:type="dxa"/>
            <w:vAlign w:val="bottom"/>
          </w:tcPr>
          <w:p>
            <w:pPr>
              <w:ind w:left="20"/>
              <w:spacing w:after="0" w:line="109" w:lineRule="exact"/>
              <w:rPr>
                <w:sz w:val="20"/>
                <w:szCs w:val="20"/>
                <w:color w:val="auto"/>
              </w:rPr>
            </w:pPr>
            <w:r>
              <w:rPr>
                <w:rFonts w:ascii="Arial" w:cs="Arial" w:eastAsia="Arial" w:hAnsi="Arial"/>
                <w:sz w:val="11"/>
                <w:szCs w:val="11"/>
                <w:color w:val="auto"/>
              </w:rPr>
              <w:t>Issuance of common stock upon</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1,269,497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26"/>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9,813</w:t>
            </w:r>
          </w:p>
        </w:tc>
        <w:tc>
          <w:tcPr>
            <w:tcW w:w="10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9,825</w:t>
            </w:r>
          </w:p>
        </w:tc>
        <w:tc>
          <w:tcPr>
            <w:tcW w:w="0" w:type="dxa"/>
            <w:vAlign w:val="bottom"/>
          </w:tcPr>
          <w:p>
            <w:pPr>
              <w:spacing w:after="0"/>
              <w:rPr>
                <w:sz w:val="1"/>
                <w:szCs w:val="1"/>
                <w:color w:val="auto"/>
              </w:rPr>
            </w:pPr>
          </w:p>
        </w:tc>
      </w:tr>
      <w:tr>
        <w:trPr>
          <w:trHeight w:val="155"/>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conversion of exchangeable notes</w:t>
            </w:r>
          </w:p>
        </w:tc>
        <w:tc>
          <w:tcPr>
            <w:tcW w:w="80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7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3,290,000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346,430,421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3,464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3,115,719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22,929,668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(498,141)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(3,049,695)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(80,287)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9,190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(499,717)</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(435,448)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14,556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2,670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(418,222)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stock dividend</w:t>
            </w:r>
            <w:r>
              <w:rPr>
                <w:rFonts w:ascii="Arial" w:cs="Arial" w:eastAsia="Arial" w:hAnsi="Arial"/>
                <w:sz w:val="14"/>
                <w:szCs w:val="14"/>
                <w:color w:val="auto"/>
                <w:vertAlign w:val="superscript"/>
              </w:rPr>
              <w:t>(1)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(21,385)</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Settlement of stock-based awards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7,006,082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2"/>
                <w:szCs w:val="12"/>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1,965,330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(16,074)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(16,015)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82,872</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82,872</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rPr>
                <w:sz w:val="20"/>
                <w:szCs w:val="20"/>
                <w:color w:val="auto"/>
              </w:rPr>
            </w:pPr>
            <w:r>
              <w:rPr>
                <w:rFonts w:ascii="Arial" w:cs="Arial" w:eastAsia="Arial" w:hAnsi="Arial"/>
                <w:sz w:val="11"/>
                <w:szCs w:val="11"/>
                <w:color w:val="auto"/>
              </w:rPr>
              <w:t>Other</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(360)</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3,290,000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353,436,503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3,534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3,198,580</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24,894,998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(514,215)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(3,506,528)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(65,731)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11,500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(872,827)</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(527,608)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(8,191)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1,160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(534,639)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stock dividend</w:t>
            </w:r>
            <w:r>
              <w:rPr>
                <w:rFonts w:ascii="Arial" w:cs="Arial" w:eastAsia="Arial" w:hAnsi="Arial"/>
                <w:sz w:val="14"/>
                <w:szCs w:val="14"/>
                <w:color w:val="auto"/>
                <w:vertAlign w:val="superscript"/>
              </w:rPr>
              <w:t>(1)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(14,257)</w:t>
            </w:r>
          </w:p>
        </w:tc>
        <w:tc>
          <w:tcPr>
            <w:tcW w:w="0" w:type="dxa"/>
            <w:vAlign w:val="bottom"/>
          </w:tcPr>
          <w:p>
            <w:pPr>
              <w:spacing w:after="0"/>
              <w:rPr>
                <w:sz w:val="1"/>
                <w:szCs w:val="1"/>
                <w:color w:val="auto"/>
              </w:rPr>
            </w:pPr>
          </w:p>
        </w:tc>
      </w:tr>
      <w:tr>
        <w:trPr>
          <w:trHeight w:val="108"/>
        </w:trPr>
        <w:tc>
          <w:tcPr>
            <w:tcW w:w="2080" w:type="dxa"/>
            <w:vAlign w:val="bottom"/>
          </w:tcPr>
          <w:p>
            <w:pPr>
              <w:ind w:left="20"/>
              <w:spacing w:after="0" w:line="109" w:lineRule="exact"/>
              <w:rPr>
                <w:sz w:val="20"/>
                <w:szCs w:val="20"/>
                <w:color w:val="auto"/>
              </w:rPr>
            </w:pPr>
            <w:r>
              <w:rPr>
                <w:rFonts w:ascii="Arial" w:cs="Arial" w:eastAsia="Arial" w:hAnsi="Arial"/>
                <w:sz w:val="11"/>
                <w:szCs w:val="11"/>
                <w:color w:val="auto"/>
              </w:rPr>
              <w:t>Conversion of preferred stock to</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(3,290,000)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9"/>
                <w:szCs w:val="9"/>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1"/>
                <w:szCs w:val="11"/>
                <w:color w:val="auto"/>
              </w:rPr>
              <w:t>46,999,367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26"/>
              <w:spacing w:after="0"/>
              <w:rPr>
                <w:sz w:val="20"/>
                <w:szCs w:val="20"/>
                <w:color w:val="auto"/>
              </w:rPr>
            </w:pPr>
            <w:r>
              <w:rPr>
                <w:rFonts w:ascii="Arial" w:cs="Arial" w:eastAsia="Arial" w:hAnsi="Arial"/>
                <w:sz w:val="11"/>
                <w:szCs w:val="11"/>
                <w:color w:val="auto"/>
              </w:rPr>
              <w:t>470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(437)</w:t>
            </w:r>
          </w:p>
        </w:tc>
        <w:tc>
          <w:tcPr>
            <w:tcW w:w="10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80" w:type="dxa"/>
            <w:vAlign w:val="bottom"/>
          </w:tcPr>
          <w:p>
            <w:pPr>
              <w:ind w:left="20"/>
              <w:spacing w:after="0"/>
              <w:rPr>
                <w:sz w:val="20"/>
                <w:szCs w:val="20"/>
                <w:color w:val="auto"/>
              </w:rPr>
            </w:pPr>
            <w:r>
              <w:rPr>
                <w:rFonts w:ascii="Arial" w:cs="Arial" w:eastAsia="Arial" w:hAnsi="Arial"/>
                <w:sz w:val="11"/>
                <w:szCs w:val="11"/>
                <w:color w:val="auto"/>
              </w:rPr>
              <w:t>common stock</w:t>
            </w: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5,478,793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55</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375</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1,450,686</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(5,909)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(5,479)</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52,015</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52,015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(632)</w:t>
            </w: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(632)</w:t>
            </w:r>
          </w:p>
        </w:tc>
        <w:tc>
          <w:tcPr>
            <w:tcW w:w="0" w:type="dxa"/>
            <w:vAlign w:val="bottom"/>
          </w:tcPr>
          <w:p>
            <w:pPr>
              <w:spacing w:after="0"/>
              <w:rPr>
                <w:sz w:val="1"/>
                <w:szCs w:val="1"/>
                <w:color w:val="auto"/>
              </w:rPr>
            </w:pPr>
          </w:p>
        </w:tc>
      </w:tr>
      <w:tr>
        <w:trPr>
          <w:trHeight w:val="162"/>
        </w:trPr>
        <w:tc>
          <w:tcPr>
            <w:tcW w:w="208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2023</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405,914,663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4,059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3,249,901</w:t>
            </w:r>
          </w:p>
        </w:tc>
        <w:tc>
          <w:tcPr>
            <w:tcW w:w="10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26,345,684</w:t>
            </w:r>
          </w:p>
        </w:tc>
        <w:tc>
          <w:tcPr>
            <w:tcW w:w="8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(520,124)</w:t>
            </w:r>
          </w:p>
        </w:tc>
        <w:tc>
          <w:tcPr>
            <w:tcW w:w="1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(4,048,393)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(73,922)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12,660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(1,375,819)</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Our mandatory convertible preferred stock accumulated cumulative dividends at an annual rate of 6.50%.</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Summary of Business and Significant Accounting Policies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8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At Sabre, we make travel happen. We are a technology company that operates through two business segments: (i) Travel Solutions, our global travel marketplace for travel suppliers and travel buyers, a broad portfolio of software technology products and solutions for airlines and other travel suppliers, and (ii) Hospitality Solutions, an extensive suite of leading software solutions for hoteliers.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We consolidate all majority-owned subsidiaries and companies over which we exercise control through majority voting rights. No entities are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preparation of these annual financial statements in conformity with GAAP requires that certain amounts be recorded based on estimates and assumptions made by management. Actual results could differ from these estimates and assumptions. Our accounting policies that utilize significant estimates and assumptions include: (i) estimation for revenue recognition and multiple performance obligation arrangements, (ii) the evaluation of the recoverability of the carrying value of intangible assets and goodwill, (iii) the evaluation of uncertainties surrounding the calculation of our tax assets and liabilities, and (iv) estimation of loss contingencies.</w:t>
      </w:r>
    </w:p>
    <w:p>
      <w:pPr>
        <w:spacing w:after="0" w:line="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Within our segments and results of operations, cost of revenue, excluding technology costs, primarily consists of costs associated with the delivery and distribution of our products and services, including employee-related costs for our delivery, customer operations and call center teams, transactional-related costs, including travel agency incentive consideration for reservations made on our global distribution system ("GDS") for Travel Solutions and GDS transaction fees for Hospitality Solutions, amortization of upfront incentive consideration and depreciation and amortization associated with capitalized implementation costs, and certain intangible assets. Corporate cost of revenue, excluding technology costs, includes certain expenses such as stock-based compensation, restructuring charges and other items not identifiable with either of our segments. Technology costs consist of expenses related to third-party providers and employee-related costs to operate technology operations including data processing and hosting, third-party software, other costs associated with the maintenance and minor enhancement of our technology, and depreciation and amortization associated with software developed for internal use that supports our products, assets supporting our technology platform, businesses and systems and intangible assets related to technology. Technology costs also include costs associated with our technology transformation efforts. Corporate technology costs includes certain expenses such as stock-based compensation, restructuring charges and other items not identifiable with either of our segments. Selling, general and administrative expenses consist of professional service fees, certain settlement charges or reimbursements, costs to defend legal disputes, provision for expected credit losses, other overhead costs, personnel-related expenses, including stock-based compensation, for employees engaged in sales, sales support, account management and who administratively support the business in finance, legal, human resources, information technology and communications, and depreciation and amortization associated with property and equipment, acquired customer relationships, trademarks and brand names.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Travel Solutions and Hospitality Solutions’ revenue recognition is primarily driven by GDS and reservation system transactions. Timing of revenue recognition is primarily based on the consistent provision of services in a stand-ready series SaaS environment, and the amount of revenue recognized varies with the volume of transactions processed. Revenue is recognized if it is not considered probable of reversal.</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Performance Obligations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under Accounting Standards Codification ("ASC") 606. The transaction price is allocated to each performance obligation and recognized as revenue when, or as, the performance obligation is satisfied. Most of our contracts for GDS services and central reservation system (CRS) services for Hospitality Solutions have a single stand-ready series performance obligation. For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jc w:val="both"/>
        <w:spacing w:after="0" w:line="275" w:lineRule="auto"/>
        <w:rPr>
          <w:sz w:val="20"/>
          <w:szCs w:val="20"/>
          <w:color w:val="auto"/>
        </w:rPr>
      </w:pPr>
      <w:r>
        <w:rPr>
          <w:rFonts w:ascii="Arial" w:cs="Arial" w:eastAsia="Arial" w:hAnsi="Arial"/>
          <w:sz w:val="16"/>
          <w:szCs w:val="16"/>
          <w:color w:val="auto"/>
        </w:rPr>
        <w:t>Travel Solutions' IT Solutions revenue, many of our contracts may have multiple performance obligations, which generally include software and product solutions through SaaS and hosted delivery, and other service fees. We also evaluate performance obligations across multiple agreements when entered into with the same customer at or near the same time.</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significant product and services and methods of recognition are as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Stand-ready series revenue recognition</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recognize revenue from usage-based fees for the use of the software which represents a stand-ready performance obligation. Variability in the usage-based fee that does not align with the value provided to the customer can result in a difference between billings to the customer and the timing of contract performance and revenue recognition, which may result in the recognition of a contract asset. This can result in a requirement to forecast expected usage-based fees and volumes over the contract term in order to determine the rate for revenue recognition. This variable consideration is constrained if there is an inability to reliably forecast this revenue or if future reversal is considered probable. Additionally, we may occasionally recognize revenue in the current period for performance obligations partially or fully satisfied in the previous periods resulting from changes in estimates of the transaction price, including any changes to our assessment of whether an estimate of variable consideration is constrained.</w:t>
      </w:r>
    </w:p>
    <w:p>
      <w:pPr>
        <w:spacing w:after="0" w:line="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Travel Solutions</w:t>
      </w:r>
      <w:r>
        <w:rPr>
          <w:rFonts w:ascii="Arial" w:cs="Arial" w:eastAsia="Arial" w:hAnsi="Arial"/>
          <w:sz w:val="16"/>
          <w:szCs w:val="16"/>
          <w:color w:val="auto"/>
        </w:rPr>
        <w:t>—Travel Solutions generates distribution revenue for bookings made through our GDS (e.g., Air, and Lodging, Ground and Sea</w:t>
      </w:r>
      <w:r>
        <w:rPr>
          <w:rFonts w:ascii="Arial" w:cs="Arial" w:eastAsia="Arial" w:hAnsi="Arial"/>
          <w:sz w:val="16"/>
          <w:szCs w:val="16"/>
          <w:i w:val="1"/>
          <w:iCs w:val="1"/>
          <w:color w:val="auto"/>
        </w:rPr>
        <w:t xml:space="preserve"> </w:t>
      </w:r>
      <w:r>
        <w:rPr>
          <w:rFonts w:ascii="Arial" w:cs="Arial" w:eastAsia="Arial" w:hAnsi="Arial"/>
          <w:sz w:val="16"/>
          <w:szCs w:val="16"/>
          <w:color w:val="auto"/>
        </w:rPr>
        <w:t>("LGS")). GDS services link and engage transactions between travel agents and travel suppliers. Revenue is generated from contracts with the travel suppliers as each booking is made or transaction occurs and represents a stand-ready series performance obligation where our systems perform the same service each day for the customer, based on the customer’s level of usage. Distribution revenue associated with car rental, hotel transactions and other travel providers is recognized at the time the reservation is used by the customer. Distribution revenue associated with airline travel reservations is recognized at the time of booking of the reservation, net of estimated future cancellations. Cancellations prior to the day of departure are estimated based on historical and expected levels of cancellation rates, adjusted to take into account any recent factors which could cause a change in those rates.</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Travel Solutions also generates IT Solutions revenue from its product offerings including reservation systems for full-service and low-cost carriers, commercial and operations products, agency solutions and booking data. Reservation system revenue is primarily generated based on the number of passengers boarded. Generally, customers are charged a fixed, upfront solutions fee and a recurring usage-based fee for the use of the software in a stand-ready series performance obligation. In the context of both our reservation systems and our commercial and operations products, upfront solutions fees are recognized primarily on a straight-line basis over the relevant contract term, upon cut-over of the primary SaaS solution.</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Hospitality Solutions</w:t>
      </w:r>
      <w:r>
        <w:rPr>
          <w:rFonts w:ascii="Arial" w:cs="Arial" w:eastAsia="Arial" w:hAnsi="Arial"/>
          <w:sz w:val="16"/>
          <w:szCs w:val="16"/>
          <w:color w:val="auto"/>
        </w:rPr>
        <w:t>—Hospitality Solutions provides technology solutions and other professional services, through SaaS and hosted delivery models,</w:t>
      </w:r>
      <w:r>
        <w:rPr>
          <w:rFonts w:ascii="Arial" w:cs="Arial" w:eastAsia="Arial" w:hAnsi="Arial"/>
          <w:sz w:val="16"/>
          <w:szCs w:val="16"/>
          <w:i w:val="1"/>
          <w:iCs w:val="1"/>
          <w:color w:val="auto"/>
        </w:rPr>
        <w:t xml:space="preserve"> </w:t>
      </w:r>
      <w:r>
        <w:rPr>
          <w:rFonts w:ascii="Arial" w:cs="Arial" w:eastAsia="Arial" w:hAnsi="Arial"/>
          <w:sz w:val="16"/>
          <w:szCs w:val="16"/>
          <w:color w:val="auto"/>
        </w:rPr>
        <w:t>to hoteliers around the world. Generally, customers are charged an upfront solutions fee and a recurring usage-based fee for the use of the software, which represents a stand-ready series performance obligation where our systems perform the same service each day for the customer, based on the customer’s level of usage. Upfront solutions fees are recognized primarily on a straight-line basis over the relevant contract term, upon cut-over of the primary SaaS solution.</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Contract Assets and Deferred Customer Advances and Discounts</w:t>
      </w:r>
    </w:p>
    <w:p>
      <w:pPr>
        <w:spacing w:after="0" w:line="1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Deferred customer advances and discounts are amortized against revenue in future periods as the related revenue is earned. Our contract assets include revenue recognized for services already transferred to a customer, for which the fulfillment of another contractual performance obligation is required, before we have the unconditional right to bill and collect based on contract terms. Contract assets and deferred customer advances and discounts are reviewed for recoverability on a periodic basis based on a review of impairment indicators, future contracted revenues and estimated direct costs of the contract when a significant event occurs that could impact the recoverability of the assets, such as a significant contract modification or early renewal of contract terms. For the years ended December 31, 2023, 2022 and 2021, we did not impair any of these assets as a result of the related contract becoming uncollectible, modified or canceled. Contracts are priced to generate total revenues over the life of the contract that exceed any discounts or advances provided and any upfront costs incurred to implement the customer contract.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revenue recognition patterns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Travel Solutions also provides other services including development labor or professional consulting. These services can be sold separately or with other products and services, and Travel Solutions may bundle multiple technology solutions in one arrangement with these other services. Revenue from other services consisting of development services that represent minor configuration or professional consulting is generally recognized over the period the services are performed or upon completed delivery.</w:t>
      </w:r>
    </w:p>
    <w:p>
      <w:pPr>
        <w:spacing w:after="0" w:line="7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Travel Solutions also directly licenses certain software to its customers where the customer obtains on-site control of the license. Revenue from software license fees is recognized when the customer gains control of the software enabling them to directly use the software and obtain substantially all of the remaining benefits. Fees for ongoing software maintenance are recognized ratably over the life of the contract. Under these arrangements, often we are entitled to minimum fees which are collected over the term of the agreement, while the revenue from the license is recognized at the point when the customer gains control, which results in current and long-term unbilled receivables for these arrangements.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jc w:val="both"/>
        <w:ind w:firstLine="486"/>
        <w:spacing w:after="0" w:line="265" w:lineRule="auto"/>
        <w:rPr>
          <w:sz w:val="20"/>
          <w:szCs w:val="20"/>
          <w:color w:val="auto"/>
        </w:rPr>
      </w:pPr>
      <w:r>
        <w:rPr>
          <w:rFonts w:ascii="Arial" w:cs="Arial" w:eastAsia="Arial" w:hAnsi="Arial"/>
          <w:sz w:val="16"/>
          <w:szCs w:val="16"/>
          <w:color w:val="auto"/>
        </w:rPr>
        <w:t>Variability in the amounts billed to the customer and revenue recognized coincides with the customer’s level of usage with the exception of upfront solution fees, non-usage based variable consideration, license and maintenance agreements and other services including development labor and professional consulting. Contracts with the same customer which are entered into at or around the same period are analyzed for revenue recognition purposes on a combined basis across our businesses which can impact timing of revenue recognition.</w:t>
      </w:r>
    </w:p>
    <w:p>
      <w:pPr>
        <w:spacing w:after="0" w:line="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For contracts with multiple performance obligations, we account for separate performance obligations on an individual basis with value assigned to each performance obligation based on our best estimate of relative standalone selling price ("SSP"). Judgment is required to determine the SSP for each distinct performance obligation. SSP is assessed annually using a historical analysis of contracts with customers executed in the most recently completed calendar year to determine the range of selling prices applicable to a distinct good or service. In making these judgments, we analyze various factors, including discounting practices, price lists, contract prices, value differentiators, customer segmentation and overall market and economic conditions. Based on these results, the estimated SSP is set for each distinct product or service delivered to customers. As our market strategies evolve, we may modify pricing practices in the future which could result in changes to SSP.</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Revenue recognition from our Travel Solutions business requires significant judgments such as identifying distinct performance obligations including estimating the total contract consideration and allocating amounts to each distinct performance obligation, determining whether variable pricing within a contract meets the allocation objective, assessing revenue for constraint and forecasting future volumes. For a small number of our contracts, we are required to forecast volumes as a result of pricing variability within the contract in order to calculate the rate for revenue recognition. Any changes in these judgments and estimates could have an impact on the revenue recognized in future periods.</w:t>
      </w:r>
    </w:p>
    <w:p>
      <w:pPr>
        <w:spacing w:after="0" w:line="6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evaluate whether it is appropriate to record the gross amount of our revenues and related costs by considering whether the entity is a principal (gross presentation) or an agent (net presentation) by evaluating the nature of our promise to the customer. We report revenue net of any revenue-based taxes assessed by governmental authorities that are imposed on and concurrent with specific revenue producing transactions.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Incentive Consideration</w:t>
      </w:r>
    </w:p>
    <w:p>
      <w:pPr>
        <w:spacing w:after="0" w:line="12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Certain service contracts with significant travel agency customers contain booking productivity clauses and other provisions 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 and amortized to cost of revenue, excluding technology costs over the expected life of the service contract, which is generally three to ten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 consideration provided. Incentive consideration paid to the travel agency represents a commission paid to the travel agency for booking travel on our GDS. Similar to the revenue cancellation reserve, we record a reduction to incentive expense within cost of revenue, excluding technology costs for amounts considered probable of recovery from travel agencies for incentives previously paid on cancelled bookings.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Advertising costs are expensed as incurred. Advertising costs incurred by our continuing operations totaled $11 million, $10 million and $4 million for the years ended December 31, 2023, 2022 and 2021, respectively.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classify all highly liquid instruments, including money market funds and money market securities with original maturities of three months or less, as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Restricted Cash</w:t>
      </w:r>
    </w:p>
    <w:p>
      <w:pPr>
        <w:spacing w:after="0" w:line="11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Restricted cash primarily includes $21 million of cash collateral for standby letters of credit associated with guarantees related to our bilateral letter of credit facility issued in conjunction with our Senior Secured Credit Facility. See Note 10. Debt for additional information.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Allowance for Credit Losses and Concentration of Credit Risk</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exposed to credit losses primarily through our sales of services provided to participants in the travel and transportation industry, which we consider to be our singular portfolio segment. We develop and document our methodology used in determining the allowance for credit losses at the portfolio segment level. Within the travel portfolio segment, we identify airlines, hoteliers and travel agencies as each presenting unique risk characteristics associated with historical credit loss patterns unique to each and we determine the adequacy of our allowance for credit loss by assessing the risks and losses inherent in our receivables related to each.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5" w:name="page66"/>
    <w:bookmarkEnd w:id="65"/>
    <w:p>
      <w:pPr>
        <w:jc w:val="both"/>
        <w:ind w:firstLine="486"/>
        <w:spacing w:after="0" w:line="258" w:lineRule="auto"/>
        <w:rPr>
          <w:sz w:val="20"/>
          <w:szCs w:val="20"/>
          <w:color w:val="auto"/>
        </w:rPr>
      </w:pPr>
      <w:r>
        <w:rPr>
          <w:rFonts w:ascii="Arial" w:cs="Arial" w:eastAsia="Arial" w:hAnsi="Arial"/>
          <w:sz w:val="16"/>
          <w:szCs w:val="16"/>
          <w:color w:val="auto"/>
        </w:rPr>
        <w:t>The majority of our receivables are trade receivables due in less than one year. In addition to our short-term trade and unbilled receivables, our receivables also include contract assets and long-term trade unbilled receivables. See Note 2. Revenue from Contracts with Customers for more information about these financial assets. Contract assets and long-term receivables are reviewed for recoverability on a periodic basis based on a review of subjective factors and trends in collection data including the aging of our trade receivable balances with these customers and expectations of future global economic growth. Our credit risk is mitigated with carriers who use the Airline Clearing House or other similar clearing houses (“ACH”) and other similar clearing houses, as ACH requires participants to deposit certain balances into their demand deposit accounts by certain deadlines, which facilitates a timely settlement process. For those carriers from which we do not collect payments through the ACH, our credit risk is higher. We monitor our ongoing credit exposure for these carriers through active review of customer balances against contract terms and due dates with account management. Our activities include established collection processes, account reconciliations, dispute resolution and payment confirmations. We may employ collection agencies and legal counsel to pursue recovery of defaulted receivables. We generally do not require security or collateral from our customers as a condition of sale.</w:t>
      </w:r>
    </w:p>
    <w:p>
      <w:pPr>
        <w:spacing w:after="0" w:line="7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provide for credit losses against amounts due to reduce the recorded receivable to the amount we reasonably determine will be collected. For all other customers, we record reserves for receivables, including unbilled receivables and contract assets, based on historical experience and the length of time the receivables are past due. The estimate of credit losses is developed by analyzing historical twelve-month collection rates and adjusting for current customer-specific factors indicating financial instability and other macroeconomic factors that correlate with the expected collectability of our receivables.</w:t>
      </w:r>
    </w:p>
    <w:p>
      <w:pPr>
        <w:spacing w:after="0" w:line="6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Receivables are considered to be delinquent when contractual payment terms are exceeded. All receivables aged over twelve months are fully reserved. Receivables are written off against the allowance when it is probable that all remaining contractual payments will not be collected as evidenced by factors such as the extended age of the balance, the exhaustion of collection efforts, and the lack of ongoing contact or billing with the customer.</w:t>
      </w:r>
    </w:p>
    <w:p>
      <w:pPr>
        <w:spacing w:after="0" w:line="5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maintained an allowance for credit losses of approximately $34 million, $39 million and $60 million at December 31, 2023, 2022 and 2021, respectively. See Note 9. Credit Losses for further considerations involved in the development of this estimate.</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2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recognize all derivatives on the consolidated balance sheets at fair value and do not offset fair value amounts recognized for derivative instruments executed with the same counterparty under a master netting arrangement. If the derivative is designated as a hedge, depending on the nature of the hedge, changes in the fair value of derivatives are offset against the change in fair value of the hedged item through earnings (a “fair value hedge”) or recognized in other comprehensive income (loss) until the hedged item is recognized in earnings (a “cash flow hedge”).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11"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Property and equipment are stated at cost less accumulated depreciation and amortization, which is calculated on the straight-line basis. Our depreciation and amortization policies are as follows:</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51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Lesser of lease term or 35 years</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5120" w:type="dxa"/>
            <w:vAlign w:val="bottom"/>
          </w:tcPr>
          <w:p>
            <w:pPr>
              <w:jc w:val="center"/>
              <w:ind w:left="99"/>
              <w:spacing w:after="0"/>
              <w:rPr>
                <w:sz w:val="20"/>
                <w:szCs w:val="20"/>
                <w:color w:val="auto"/>
              </w:rPr>
            </w:pPr>
            <w:r>
              <w:rPr>
                <w:rFonts w:ascii="Arial" w:cs="Arial" w:eastAsia="Arial" w:hAnsi="Arial"/>
                <w:sz w:val="16"/>
                <w:szCs w:val="16"/>
                <w:color w:val="auto"/>
              </w:rPr>
              <w:t>Lesser of lease term or useful life</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51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5 to 15 years</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Equipment, general office and computer</w:t>
            </w:r>
          </w:p>
        </w:tc>
        <w:tc>
          <w:tcPr>
            <w:tcW w:w="5120" w:type="dxa"/>
            <w:vAlign w:val="bottom"/>
          </w:tcPr>
          <w:p>
            <w:pPr>
              <w:jc w:val="center"/>
              <w:ind w:left="99"/>
              <w:spacing w:after="0"/>
              <w:rPr>
                <w:sz w:val="20"/>
                <w:szCs w:val="20"/>
                <w:color w:val="auto"/>
              </w:rPr>
            </w:pPr>
            <w:r>
              <w:rPr>
                <w:rFonts w:ascii="Arial" w:cs="Arial" w:eastAsia="Arial" w:hAnsi="Arial"/>
                <w:sz w:val="16"/>
                <w:szCs w:val="16"/>
                <w:color w:val="auto"/>
              </w:rPr>
              <w:t>3 to 5 years</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developed for internal use</w:t>
            </w:r>
          </w:p>
        </w:tc>
        <w:tc>
          <w:tcPr>
            <w:tcW w:w="51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3 to 5 years</w:t>
            </w:r>
          </w:p>
        </w:tc>
      </w:tr>
    </w:tbl>
    <w:p>
      <w:pPr>
        <w:spacing w:after="0" w:line="2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capitalize certain costs related to our infrastructure, software applications and reservation systems in accordance with GAAP on software developed for internal use. Capitalizable costs consist of (a) certain external direct costs of materials and services incurred in developing or obtaining internal use computer software and (b) payroll and payroll related costs for employees who are directly associated with and who devote time to our GDS and SaaS-related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 use software are also expensed as incurred. See Note 7. Balance Sheet Components, for amounts capitalized as property and equipment in our consolidated balance sheets. Depreciation and amortization of property and equipment totaled $79 million, $90 million and $154 million for the years ended December 31, 2023, 2022 and 2021, respectively. Amortization of software developed for internal use totaled $66 million, $74 million and $132 million for the years ended December 31, 2023, 2022 and 2021, respectively. During the years ended December 31, 2023, 2022 and 2021, we capitalized $77 million, $64 million, and $39 million, respectively, related to software developed for internal use.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jc w:val="both"/>
        <w:ind w:firstLine="486"/>
        <w:spacing w:after="0" w:line="275" w:lineRule="auto"/>
        <w:rPr>
          <w:sz w:val="20"/>
          <w:szCs w:val="20"/>
          <w:color w:val="auto"/>
        </w:rPr>
      </w:pPr>
      <w:r>
        <w:rPr>
          <w:rFonts w:ascii="Arial" w:cs="Arial" w:eastAsia="Arial" w:hAnsi="Arial"/>
          <w:sz w:val="16"/>
          <w:szCs w:val="16"/>
          <w:color w:val="auto"/>
        </w:rPr>
        <w:t>We also evaluate the useful lives of these assets on an annual basis and test for impairment whenever events or changes in circumstances indicate that the carrying amount of the assets used in combination to generate cash flows largely independent of other assets may not be recoverable. We did not record any property and equipment impairment charges for the years ended December 31, 2023 and 2022.</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Leases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lease certain facilities under long term operating leases. We determine if an arrangement is a lease at inception. We evaluate lessee agreements with a minimum term greater than one year for recording on the balance sheet. Operating lease assets are included in operating lease right-of-use (“ROU”) assets within other assets, net and operating lease liabilities are included in other current liabilities and other noncurrent liabilities in our consolidated balance sheets. Finance lease assets are included in property and equipment with associated liabilities included in current portion of debt and long-term debt in our consolidated balance sheets.</w:t>
      </w:r>
    </w:p>
    <w:p>
      <w:pPr>
        <w:spacing w:after="0" w:line="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use our internal borrowing rate for leases with a lease term of less than or equal to five years. For leases with a lease term greater than five years, we use our incremental borrowing rate based on the estimated rate of interest for corporate bond borrowings over a similar term of the lease payments.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straight-line basis over the term of the lease.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Business combinations are accounted for under the acquisition method of accounting. Under this method, the assets acquired and liabilities assumed are recognized at their respective fair values as of the date of acquisition. The excess, if any, of the acquisition price over the fair values of the assets acquired and liabilities assumed is recorded as goodwill. For significant acquisitions, we utilize third-party appraisal firms to assist us in determining the fair values for certain assets acquired and liabilities assumed. The measurement of these fair values requires us to make significant estimates and assumptions which are inherently uncertain.</w:t>
      </w:r>
    </w:p>
    <w:p>
      <w:pPr>
        <w:spacing w:after="0" w:line="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Adjustments to the fair values of assets acquired and liabilities assumed are made until we obtain all relevant information regarding the facts and circumstances that existed as of the acquisition date (the “measurement period”), not to exceed one year from the date of the acquisition. We recognize measurement-period adjustments in the period in which we determine the amounts, including the effect on earnings of any amounts we would have recorded in previous periods if the accounting had been completed at the acquisition date.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Divestitures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periodically divest assets that we do not consider core to our business strategy. The carrying value of the net assets held for sale are compared to their fair value, less cost to sell, and any initial adjustments of the carrying value to fair value, less cost to sell are recorded when the held for sale criteria are met. Gains or losses associated with the disposal of assets held for sale are recorded within other operating costs. When the net assets constitute a business, we allocate a portion of the goodwill from the related reporting unit to the carrying value of the net assets held for sale. The amount of goodwill allocated is based on the relative fair values of the business to be disposed of and the portion of the reporting unit that will be retained.</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Goodwill is the excess of the purchase price over the fair value of identifiable tangible and intangible assets acquired in business combinations. Goodwill is not amortized but is reviewed for impairment on an annual basis or more frequently if events and circumstances indicate the carrying amount may not be recoverable. Definite-lived intangible assets are amortized on a straight-line basis and assigned useful economic lives of two to thirty years, depending on classification. The useful economic lives are evaluated on an annual basis.</w:t>
      </w:r>
    </w:p>
    <w:p>
      <w:pPr>
        <w:spacing w:after="0" w:line="6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perform our annual goodwill impairment assessment as of October 1 of each year and interim assessments as required upon the identification of a triggering event. We begin with the qualitative assessment of whether it is more likely than not that a reporting unit’s fair value is less than its carrying value before applying the quantitative assessment described below. If it is determined through the evaluation of events or circumstances that the carrying value may not be recoverable, or if we decide to bypass the qualitative assessment, we perform a quantitative assessment comparing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fair value through an adjustment to the goodwill balance, resulting in an impairment charge. We utilize third-party appraisal firms to assist us in determining the fair value of a reporting unit as part of performing the quantitative assessment. We have two reporting units associated with our continuing operations: Travel Solutions and Hospitality Solutions. We did not record any goodwill impairment charges for the years ended December 31, 2023, 2022 and 2021. See Note 6. Goodwill and Intangible Assets for additional information.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7" w:name="page68"/>
    <w:bookmarkEnd w:id="67"/>
    <w:p>
      <w:pPr>
        <w:jc w:val="both"/>
        <w:ind w:firstLine="486"/>
        <w:spacing w:after="0" w:line="259" w:lineRule="auto"/>
        <w:rPr>
          <w:sz w:val="20"/>
          <w:szCs w:val="20"/>
          <w:color w:val="auto"/>
        </w:rPr>
      </w:pPr>
      <w:r>
        <w:rPr>
          <w:rFonts w:ascii="Arial" w:cs="Arial" w:eastAsia="Arial" w:hAnsi="Arial"/>
          <w:sz w:val="16"/>
          <w:szCs w:val="16"/>
          <w:color w:val="auto"/>
        </w:rPr>
        <w:t>Definite-lived intangible assets are evaluated for impairment whenever events or changes in circumstances indicate that the carrying amount of definite 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measured at fair value and an impairment charge is recorded based on the excess of the carrying value of the assets to its fair value. We did not record material intangible asset impairment charges for the years ended December 31, 2023, 2022 and 2021. See Note 6. Goodwill and Intangible Assets for additional information.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utilize the equity method to account for our interests in entities that we do not control but over which we exert significant influence. We periodically evaluate investments accounted for under the equity method for impairment by reviewing updated financial information provided by the investee, including valuation information from new financing transactions by the investee and information relating to competitors of investees when available. We own voting interests in various national marketing companies ranging from 20% to 49%, a voting interest of 40% in ESS Elektroniczne Systemy Spzedazy Sp. zo.o, and a voting interest of 20% in Asiana Sabre, Inc. The carrying value of these equity method investments in joint ventures amounts to $19 million as of December 31, 2023 and 2022.</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incur contract acquisition costs related to new contracts with our customers in the form of sales commissions based on estimated contract value for our Travel Solutions and Hospitality Solutions businesses. These costs are capitalized and reviewed for impairment on an annual basis. We generally amortize these costs, and those for renewals, over the average contract term for those businesses, excluding commissions on contracts with a term of one year or less, which are generally expensed in the period earned and recorded within selling, general and administrative expenses.</w:t>
      </w:r>
    </w:p>
    <w:p>
      <w:pPr>
        <w:spacing w:after="0" w:line="6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incur upfront costs to implement new customer contracts under our SaaS revenue model. We capitalize these costs, including (a) certain external direct costs of materials and services incurred to implement a customer contract and (b) payroll and payroll related costs for employees who are directly associated with and devote time to implementation activities.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 See Note 7. Balance Sheet Components and Note 2. Revenue from Contracts with Customers, for additional information. Amortization of capitalized implementation costs, included in depreciation and amortization, totaled $23 million, $37 million and $35 million for the years ended December 31, 2023, 2022 and 2021, respectively.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Taxes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Deferred income tax assets and liabilities are determined based on differences between financial reporting and income tax basis of assets and liabilities and are measured using the tax rates and laws enacted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recognize liabilities when we determine a tax position is not more likely than not to be sustained upon examination by the tax authorities. We use significant judgment in determining whether a tax position's technical merits are more likely than not to be sustained and in measuring the amount of tax benefit that qualifies for recognition. For matters that are determined will more likely than not be sustained, we measure the tax benefit as the largest amount which is more than 50% likely of being realized upon ultimate settlement. We recognize penalties and interest accrued related to income taxes as a component of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8" w:name="page69"/>
    <w:bookmarkEnd w:id="68"/>
    <w:p>
      <w:pPr>
        <w:jc w:val="both"/>
        <w:spacing w:after="0" w:line="286" w:lineRule="auto"/>
        <w:rPr>
          <w:sz w:val="20"/>
          <w:szCs w:val="20"/>
          <w:color w:val="auto"/>
        </w:rPr>
      </w:pPr>
      <w:r>
        <w:rPr>
          <w:rFonts w:ascii="Arial" w:cs="Arial" w:eastAsia="Arial" w:hAnsi="Arial"/>
          <w:sz w:val="16"/>
          <w:szCs w:val="16"/>
          <w:color w:val="auto"/>
        </w:rPr>
        <w:t>provision for income taxes. As the matters challenged by the taxing authorities are typically complex and open to subjective interpretation, their ultimate outcome may differ from the amounts recognized.</w:t>
      </w:r>
    </w:p>
    <w:p>
      <w:pPr>
        <w:spacing w:after="0" w:line="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recognize liabilities, if any, related to global low-taxed intangible income (“GILTI”) in the year in which the liability arises and not as a deferred tax liability.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Pension and Other Postretirement Benefits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recognize the funded status of our defined benefit pension plans and other postretirement benefit plans in our consolidated balance sheets. The funded status is the difference between the fair value of plan assets and the benefit obligation as of the balance sheet date. The fair value of plan assets represents the cumulative contributions made to fund the pension and other postretirement benefit plans which are invested primarily in domestic and foreign equities and fixed income securities. The benefit obligation of our pension and other postretirement benefit plans are actuarially determined using certain assumptions approved by us. The benefit obligation is adjusted annually in the fourth quarter to reflect actuarial changes and may also be adjusted upon the adoption of plan amendments. These adjustments are initially recorded in accumulated other comprehensive income (loss) and are subsequently amortized over the life expectancy of the plan participants as a component of net periodic benefit costs.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account for our stock awards and options by recognizing compensation expense, measured at the grant date based on the fair value of the award, on a straight-line basis over the award vesting period, giving consideration as to whether the amount of compensation cost recognized at any date is equal to the portion of grant date value that is vested at that date. Compensation expense on stock awards subject to performance conditions, which is based on the quantity of awards we have determined are probable of vesting, is recognized over the longer of the estimated performance goal attainment period or time vesting period. We recognize equity-based compensation expense net of any actual forfeitures.</w:t>
      </w:r>
    </w:p>
    <w:p>
      <w:pPr>
        <w:spacing w:after="0" w:line="64"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measure the grant date fair value of stock option awards as calculated by the Black-Scholes option-pricing model which requires certain subjective assumptions, including the expected term of the option, the expected volatility of our common stock, risk-free interest rates and expected dividend yield. The expected term is estimated by using the “simplified method” which is based on the midpoint between the vesting date and the expiration of the contractual term. We utilized the simplified method due to the lack of sufficient historical experience under our current grant terms. The expected volatility is based on the historical volatility of our stock price. The expected risk-free interest rates are based on the yields of U.S. Treasury securities with maturities appropriate for the expected term of the stock options. The expected dividend yield was based on the calculated yield on our common stock at the time of grant. For the year ended December 31, 2021, a zero expected dividend was used. No stock options were granted during the year ended December 31, 2023 and 2022.</w:t>
      </w:r>
    </w:p>
    <w:p>
      <w:pPr>
        <w:spacing w:after="0" w:line="3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remeasure foreign currency transactions into the relevant functional currency and record the foreign currency transaction gains or losses as a component of other, net in our consolidated statements of operations. We translate the financial statements of our non-U.S. dollar functional currency foreign subsidiaries into U.S. dollars in consolidation and record the translation gains or losses as a component of other comprehensive income (loss). Translation gains or losses of foreign subsidiaries related to divested businesses are reclassified into earnings as a component of other, net in our consolidated statements of operations once the liquidation of the respective foreign subsidiaries is substantially complete.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Adoption of New Accounting Standards</w:t>
      </w:r>
    </w:p>
    <w:p>
      <w:pPr>
        <w:spacing w:after="0" w:line="11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March 2020, the Financial Accounting Standards Board ("FASB") issued updated guidance which provides optional expedients and exceptions for applying U.S. GAAP to existing contracts, hedging relationships, and other transactions affected by the discontinuation of the London Interbank Offered Rate (“LIBOR”) or by another reference rate expected to be discontinued, if certain criteria are met. This standard is effective for all entities upon issuance and is optional through December 31, 2024. We elected the optional expedient in the second quarter of 2023 in connection with the SOFR Amendment (defined in Note 10. Debt below), which did not have a material impact on our consolidated financial statements.</w:t>
      </w:r>
    </w:p>
    <w:p>
      <w:pPr>
        <w:spacing w:after="0" w:line="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March 2022, the FASB issued updated guidance on derivatives and hedging which allows entities to apply fair value hedging to closed portfolios of prepayable financial assets without having to consider prepayment risk or credit risk when measuring the assets. The amendments allow multiple hedged layers to be designated for a single closed portfolio for financial assets or one or more beneficial interests secured by a portfolio of financial instruments. As a result, an entity can achieve hedge accounting for hedges of a greater proportion of the interest rate risk inherent in the assets included in the closed portfolio, further aligning hedge accounting with risk management strategies. The standard is effective for public entities for fiscal years beginning after December 15, 2022, with early adoption permitted. We adopted this standard in the first quarter of 2022, which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2. Revenue from Contracts with Customers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Revenue recognition for a significant portion of our revenue coincides with normal billing terms, including our transactional revenues, SaaS revenues, and hosted revenues. Timing differences among revenue recognition, unconditional rights to bill, and receipt of contract consideration may result in contract assets or contract liabilities.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assets and liabilities with customers as of December 31, 2023 and December 31, 2022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Account</w:t>
            </w:r>
          </w:p>
        </w:tc>
        <w:tc>
          <w:tcPr>
            <w:tcW w:w="3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Balance Sheet Location</w:t>
            </w: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tcPr>
          <w:p>
            <w:pPr>
              <w:spacing w:after="0"/>
              <w:rPr>
                <w:sz w:val="17"/>
                <w:szCs w:val="17"/>
                <w:color w:val="auto"/>
              </w:rPr>
            </w:pPr>
          </w:p>
        </w:tc>
        <w:tc>
          <w:tcPr>
            <w:tcW w:w="1560" w:type="dxa"/>
            <w:vAlign w:val="bottom"/>
          </w:tcPr>
          <w:p>
            <w:pPr>
              <w:jc w:val="right"/>
              <w:ind w:right="243"/>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157"/>
        </w:trPr>
        <w:tc>
          <w:tcPr>
            <w:tcW w:w="364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6"/>
                <w:szCs w:val="16"/>
                <w:color w:val="auto"/>
              </w:rPr>
              <w:t>Contract assets and customer advances and</w:t>
            </w:r>
          </w:p>
        </w:tc>
        <w:tc>
          <w:tcPr>
            <w:tcW w:w="100" w:type="dxa"/>
            <w:vAlign w:val="bottom"/>
            <w:tcBorders>
              <w:top w:val="single" w:sz="8" w:color="CCEEFF"/>
            </w:tcBorders>
            <w:shd w:val="clear" w:color="auto" w:fill="CCEEFF"/>
          </w:tcPr>
          <w:p>
            <w:pPr>
              <w:spacing w:after="0"/>
              <w:rPr>
                <w:sz w:val="13"/>
                <w:szCs w:val="13"/>
                <w:color w:val="auto"/>
              </w:rPr>
            </w:pPr>
          </w:p>
        </w:tc>
        <w:tc>
          <w:tcPr>
            <w:tcW w:w="382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6"/>
                <w:szCs w:val="16"/>
                <w:color w:val="auto"/>
              </w:rPr>
              <w:t>Prepaid expenses and other current assets / other</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42,029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55,473</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discounts</w:t>
            </w:r>
            <w:r>
              <w:rPr>
                <w:rFonts w:ascii="Arial" w:cs="Arial" w:eastAsia="Arial" w:hAnsi="Arial"/>
                <w:sz w:val="21"/>
                <w:szCs w:val="21"/>
                <w:color w:val="auto"/>
                <w:vertAlign w:val="superscript"/>
              </w:rPr>
              <w:t>(1)</w:t>
            </w: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net</w:t>
            </w:r>
          </w:p>
        </w:tc>
        <w:tc>
          <w:tcPr>
            <w:tcW w:w="20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Trade and unbilled receivables, net</w:t>
            </w:r>
          </w:p>
        </w:tc>
        <w:tc>
          <w:tcPr>
            <w:tcW w:w="3920" w:type="dxa"/>
            <w:vAlign w:val="bottom"/>
            <w:gridSpan w:val="2"/>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341,362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352,214</w:t>
            </w:r>
          </w:p>
        </w:tc>
        <w:tc>
          <w:tcPr>
            <w:tcW w:w="0" w:type="dxa"/>
            <w:vAlign w:val="bottom"/>
          </w:tcPr>
          <w:p>
            <w:pPr>
              <w:spacing w:after="0"/>
              <w:rPr>
                <w:sz w:val="1"/>
                <w:szCs w:val="1"/>
                <w:color w:val="auto"/>
              </w:rPr>
            </w:pPr>
          </w:p>
        </w:tc>
      </w:tr>
      <w:tr>
        <w:trPr>
          <w:trHeight w:val="21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trade unbilled receivables, net</w:t>
            </w: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20,265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16,129</w:t>
            </w:r>
          </w:p>
        </w:tc>
        <w:tc>
          <w:tcPr>
            <w:tcW w:w="0" w:type="dxa"/>
            <w:vAlign w:val="bottom"/>
          </w:tcPr>
          <w:p>
            <w:pPr>
              <w:spacing w:after="0"/>
              <w:rPr>
                <w:sz w:val="1"/>
                <w:szCs w:val="1"/>
                <w:color w:val="auto"/>
              </w:rPr>
            </w:pPr>
          </w:p>
        </w:tc>
      </w:tr>
      <w:tr>
        <w:trPr>
          <w:trHeight w:val="215"/>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Contract liabilities</w:t>
            </w:r>
          </w:p>
        </w:tc>
        <w:tc>
          <w:tcPr>
            <w:tcW w:w="3920" w:type="dxa"/>
            <w:vAlign w:val="bottom"/>
            <w:gridSpan w:val="2"/>
          </w:tcPr>
          <w:p>
            <w:pPr>
              <w:ind w:left="20"/>
              <w:spacing w:after="0"/>
              <w:rPr>
                <w:sz w:val="20"/>
                <w:szCs w:val="20"/>
                <w:color w:val="auto"/>
              </w:rPr>
            </w:pPr>
            <w:r>
              <w:rPr>
                <w:rFonts w:ascii="Arial" w:cs="Arial" w:eastAsia="Arial" w:hAnsi="Arial"/>
                <w:sz w:val="16"/>
                <w:szCs w:val="16"/>
                <w:color w:val="auto"/>
              </w:rPr>
              <w:t>Deferred revenues / other noncurrent liabilities</w:t>
            </w:r>
          </w:p>
        </w:tc>
        <w:tc>
          <w:tcPr>
            <w:tcW w:w="20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166,911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115,151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14"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Includes contract assets of $11 million and $12 million for December 31, 2023 and 2022.</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year ended December 31, 2023, we recognized revenue of approximately $28 million from contract liabilities that existed as of January 1,</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2023. Our long-term trade unbilled receivables, net relate to fixed license fees billed over the contractual period and recognized when the customer gains control of the software. During the year ended December 31, 2022, we recorded an impairment of $5 million on our unbilled receivables due to the expected impact of Russian legislation and related regulations enacted during the year on the future recoverability of these assets. We evaluate collectability of our accounts receivable based on a combination of factors and record reserves as described further in Note 9. Credit Losses.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revenues disaggregated by business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0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01"/>
              <w:spacing w:after="0"/>
              <w:rPr>
                <w:sz w:val="20"/>
                <w:szCs w:val="20"/>
                <w:color w:val="auto"/>
              </w:rPr>
            </w:pPr>
            <w:r>
              <w:rPr>
                <w:rFonts w:ascii="Arial" w:cs="Arial" w:eastAsia="Arial" w:hAnsi="Arial"/>
                <w:sz w:val="13"/>
                <w:szCs w:val="13"/>
                <w:b w:val="1"/>
                <w:bCs w:val="1"/>
                <w:color w:val="auto"/>
              </w:rPr>
              <w:t>2021</w:t>
            </w:r>
          </w:p>
        </w:tc>
      </w:tr>
      <w:tr>
        <w:trPr>
          <w:trHeight w:val="211"/>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2,057,044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1,622,545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901,478</w:t>
            </w:r>
          </w:p>
        </w:tc>
      </w:tr>
      <w:tr>
        <w:trPr>
          <w:trHeight w:val="216"/>
        </w:trPr>
        <w:tc>
          <w:tcPr>
            <w:tcW w:w="55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IT Solutions</w:t>
            </w:r>
            <w:r>
              <w:rPr>
                <w:rFonts w:ascii="Arial" w:cs="Arial" w:eastAsia="Arial" w:hAnsi="Arial"/>
                <w:sz w:val="21"/>
                <w:szCs w:val="21"/>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585,033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688,730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602,061</w:t>
            </w:r>
          </w:p>
        </w:tc>
      </w:tr>
      <w:tr>
        <w:trPr>
          <w:trHeight w:val="209"/>
        </w:trPr>
        <w:tc>
          <w:tcPr>
            <w:tcW w:w="55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Travel Solutions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2,642,077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2,311,275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1,503,539</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SynXis Software and Service</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275,017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227,301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178,940</w:t>
            </w: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29,152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27,319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23,688</w:t>
            </w:r>
          </w:p>
        </w:tc>
      </w:tr>
      <w:tr>
        <w:trPr>
          <w:trHeight w:val="210"/>
        </w:trPr>
        <w:tc>
          <w:tcPr>
            <w:tcW w:w="5540" w:type="dxa"/>
            <w:vAlign w:val="bottom"/>
          </w:tcPr>
          <w:p>
            <w:pPr>
              <w:ind w:left="220"/>
              <w:spacing w:after="0"/>
              <w:rPr>
                <w:sz w:val="20"/>
                <w:szCs w:val="20"/>
                <w:color w:val="auto"/>
              </w:rPr>
            </w:pPr>
            <w:r>
              <w:rPr>
                <w:rFonts w:ascii="Arial" w:cs="Arial" w:eastAsia="Arial" w:hAnsi="Arial"/>
                <w:sz w:val="16"/>
                <w:szCs w:val="16"/>
                <w:b w:val="1"/>
                <w:bCs w:val="1"/>
                <w:color w:val="auto"/>
              </w:rPr>
              <w:t>Total Hospitality Solutions</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304,169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254,620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202,628</w:t>
            </w: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Eliminations</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(17,292)</w:t>
            </w:r>
          </w:p>
        </w:tc>
      </w:tr>
      <w:tr>
        <w:trPr>
          <w:trHeight w:val="210"/>
        </w:trPr>
        <w:tc>
          <w:tcPr>
            <w:tcW w:w="5540" w:type="dxa"/>
            <w:vAlign w:val="bottom"/>
          </w:tcPr>
          <w:p>
            <w:pPr>
              <w:ind w:left="220"/>
              <w:spacing w:after="0"/>
              <w:rPr>
                <w:sz w:val="20"/>
                <w:szCs w:val="20"/>
                <w:color w:val="auto"/>
              </w:rPr>
            </w:pPr>
            <w:r>
              <w:rPr>
                <w:rFonts w:ascii="Arial" w:cs="Arial" w:eastAsia="Arial" w:hAnsi="Arial"/>
                <w:sz w:val="16"/>
                <w:szCs w:val="16"/>
                <w:b w:val="1"/>
                <w:bCs w:val="1"/>
                <w:color w:val="auto"/>
              </w:rPr>
              <w:t>Total Sabre Revenue</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2,907,738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2,537,015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1,688,875</w:t>
            </w:r>
          </w:p>
        </w:tc>
      </w:tr>
      <w:tr>
        <w:trPr>
          <w:trHeight w:val="20"/>
        </w:trPr>
        <w:tc>
          <w:tcPr>
            <w:tcW w:w="5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500"/>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27" w:lineRule="exact"/>
        <w:rPr>
          <w:sz w:val="20"/>
          <w:szCs w:val="20"/>
          <w:color w:val="auto"/>
        </w:rPr>
      </w:pPr>
    </w:p>
    <w:p>
      <w:pPr>
        <w:ind w:left="340" w:right="20" w:hanging="332"/>
        <w:spacing w:after="0" w:line="222" w:lineRule="auto"/>
        <w:tabs>
          <w:tab w:leader="none" w:pos="185"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license fee revenue recognized upon delivery to the customer of $7 million, $6 million and $22 million for the years ended December 31, 2023, 2022 and 2021, respectively.</w:t>
      </w:r>
    </w:p>
    <w:p>
      <w:pPr>
        <w:spacing w:after="0" w:line="9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 For the year ended December 31, 2023, the impact on revenue recognized in the current period, from performance obligations partially or fully satisfied in the previous period, is $7 million, which is primarily due to the recognition of revenue that was previously deferred but became recognizable due to a change in facts and circumstances associated with an IT Solutions customer. It is no longer considered probable that this revenue will be reversed and this amount was fully paid by the customer.</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Unearned performance obligations primarily consist of deferred revenue for fixed implementation fees and future product implementations, which are included in deferred revenue and other noncurrent liabilities in our consolidated balance sheet. We have not disclosed the performance obligation related to contracts containing minimum transaction volume, as it represents a subset of our business, and therefore would not be meaningful in understanding the total future revenues expected to be earned from our long-term contracts. See Note 1. Summary of Business and Significant Accounting Policies regarding revenue recognition of our various revenue streams for more information.</w:t>
      </w:r>
    </w:p>
    <w:p>
      <w:pPr>
        <w:spacing w:after="0" w:line="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estimate future cancellations using the expected value approach at the end of each reporting period based on the number of undeparted bookings, expected cancellations and an estimated rate. Our cancellation reserve is sensitive to our estimate of bookings that we expect will eventually travel, as well as to the mix of those bookings between domestic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0" w:name="page71"/>
    <w:bookmarkEnd w:id="70"/>
    <w:p>
      <w:pPr>
        <w:jc w:val="both"/>
        <w:spacing w:after="0" w:line="286" w:lineRule="auto"/>
        <w:rPr>
          <w:sz w:val="20"/>
          <w:szCs w:val="20"/>
          <w:color w:val="auto"/>
        </w:rPr>
      </w:pPr>
      <w:r>
        <w:rPr>
          <w:rFonts w:ascii="Arial" w:cs="Arial" w:eastAsia="Arial" w:hAnsi="Arial"/>
          <w:sz w:val="16"/>
          <w:szCs w:val="16"/>
          <w:color w:val="auto"/>
        </w:rPr>
        <w:t>international, given the varying rates paid by airline suppliers. Our air booking cancellation reserve totaled $10 million and $11 million as of December 31, 2023 and 2022, respectively.</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Acquisition Costs and Capitalized Implementation Costs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incur contract costs in the form of acquisition costs and implementation costs. Contract acquisition costs are related to new contracts with our customers in the form of sales commissions based on the estimated contract value. We incur contract implementation costs to implement new customer contracts under our SaaS revenue model</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We periodically assess contract costs for recoverability, and our assessment did not result in any material impairments for the years ended December 31, 2023 and 2022. See Note 1. Summary of Business and Significant Accounting Policies for an overview of our policy for capitalization of acquisition and implementation costs.</w:t>
      </w:r>
    </w:p>
    <w:p>
      <w:pPr>
        <w:spacing w:after="0" w:line="78"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 following table presents the activity of our acquisition costs and capitalized implementation costs for the years ended December 31, 2023 and 2022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r>
      <w:tr>
        <w:trPr>
          <w:trHeight w:val="171"/>
        </w:trPr>
        <w:tc>
          <w:tcPr>
            <w:tcW w:w="77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spacing w:after="0"/>
              <w:rPr>
                <w:sz w:val="14"/>
                <w:szCs w:val="14"/>
                <w:color w:val="auto"/>
              </w:rPr>
            </w:pPr>
          </w:p>
        </w:tc>
      </w:tr>
      <w:tr>
        <w:trPr>
          <w:trHeight w:val="198"/>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acquisition costs: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1040" w:type="dxa"/>
            <w:vAlign w:val="bottom"/>
          </w:tcPr>
          <w:p>
            <w:pPr>
              <w:jc w:val="right"/>
              <w:ind w:right="865"/>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19,417</w:t>
            </w:r>
          </w:p>
        </w:tc>
        <w:tc>
          <w:tcPr>
            <w:tcW w:w="80" w:type="dxa"/>
            <w:vAlign w:val="bottom"/>
          </w:tcPr>
          <w:p>
            <w:pPr>
              <w:spacing w:after="0"/>
              <w:rPr>
                <w:sz w:val="18"/>
                <w:szCs w:val="18"/>
                <w:color w:val="auto"/>
              </w:rPr>
            </w:pPr>
          </w:p>
        </w:tc>
        <w:tc>
          <w:tcPr>
            <w:tcW w:w="1040" w:type="dxa"/>
            <w:vAlign w:val="bottom"/>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22,309</w:t>
            </w: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6,918</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(6,397)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(5,635)</w:t>
            </w: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Dispositions</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w:t>
            </w: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1040" w:type="dxa"/>
            <w:vAlign w:val="bottom"/>
            <w:tcBorders>
              <w:top w:val="single" w:sz="8" w:color="auto"/>
              <w:bottom w:val="single" w:sz="8" w:color="auto"/>
            </w:tcBorders>
          </w:tcPr>
          <w:p>
            <w:pPr>
              <w:jc w:val="right"/>
              <w:ind w:right="865"/>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19,520</w:t>
            </w:r>
          </w:p>
        </w:tc>
        <w:tc>
          <w:tcPr>
            <w:tcW w:w="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19,417</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Capitalized implementation costs: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82,711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109,762</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8,862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12,577</w:t>
            </w: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(36,982)</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1040" w:type="dxa"/>
            <w:vAlign w:val="bottom"/>
            <w:tcBorders>
              <w:bottom w:val="single" w:sz="8" w:color="auto"/>
            </w:tcBorders>
          </w:tcPr>
          <w:p>
            <w:pPr>
              <w:jc w:val="right"/>
              <w:ind w:right="865"/>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67,536</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82,711</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Acquisitions and Dispositions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Conferma</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August 2022, we completed the acquisition of Conferma Limited ("Conferma"), a virtual payments technology company, to expand our investment in technology for the payments ecosystem in the travel industry. We acquired all of the outstanding stock and ownership interest of Conferma through the exercise of a call option, for net cash of $62 million and the conversion of a pre-existing loan receivable into share capital of $11 million. We recognized a gain of approximately $4 million upon conversion of the loan for the difference between the carrying value and fair value of the loan, which is recorded to Other, net within our results of operations. Conferma is part of our Travel Solutions segment. The purchase price allocation was finalized in August 2023, and no additional adjustments were recorded since December 31, 2022. In February 2023, we sold 19% of the share capital of the direct parent company of Conferma to a third party for proceeds of $16 million resulting in a non-controlling interest from that date. See Note 4. Redeemable Noncontrolling Interest for further details.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AirCentre Disposition</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On October 28, 2021, we announced that we entered into an agreement with a third party to sell our suite of flight and crew management and optimization solutions, which represents our AirCentre airline operations portfolio. On February 28, 2022, we completed the sale of AirCentre to a third party for net cash proceeds of $392 million. The operating results of AirCentre are included within Travel Solutions for all periods presented through the date of sale. The net assets of AirCentre disposed of primarily included goodwill of $146 million, working capital of $34 million, and other assets, net of $25 million. We recorded a pre-tax gain on sale of approximately $180 million (after-tax $112 million) in Other, net in our consolidated statements of operations for the year ended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Redeemable Noncontrolling Interest</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On February 1, 2023, we sold common shares of a subsidiary, representing a 19% interest in Conferma’s direct parent, to a third party for cash consideration of $16 million. In connection with the sale, we entered into a governing agreement which requires us under limited conditions to redeem the 19% interest, if requested, for the original purchase price of $16 million. We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6"/>
          <w:szCs w:val="16"/>
          <w:color w:val="auto"/>
        </w:rPr>
        <w:t>currently do not believe it is probable that the noncontrolling interest will become redeemable, given the remote likelihood of the applicable conditions being satisfied.</w:t>
      </w:r>
    </w:p>
    <w:p>
      <w:pPr>
        <w:spacing w:after="0" w:line="6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As the common shares are redeemable upon the occurrence of conditions not solely within our control, we recorded the noncontrolling interest as redeemable and classified it as temporary equity within our consolidated balance sheet initially at fair value. The noncontrolling interest is adjusted each reporting period for loss or income attributable to the noncontrolling interest. As of December 31, 2023, the redeemable noncontrolling interest is $14 million.</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changes in redeemable noncontrolling interest of a consolidated subsidiary in temporary equity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Year Ended December 31, 2023</w:t>
            </w:r>
          </w:p>
        </w:tc>
      </w:tr>
      <w:tr>
        <w:trPr>
          <w:trHeight w:val="213"/>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redeemable noncontrolling interest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4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16,000</w:t>
            </w:r>
          </w:p>
        </w:tc>
      </w:tr>
      <w:tr>
        <w:trPr>
          <w:trHeight w:val="215"/>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redeemable noncontrolling interest</w:t>
            </w: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r>
      <w:tr>
        <w:trPr>
          <w:trHeight w:val="23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14,375</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Restructuring Activities</w:t>
      </w:r>
    </w:p>
    <w:p>
      <w:pPr>
        <w:spacing w:after="0" w:line="12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During the second quarter of 2023, we announced and began to implement a cost reduction plan designed to reposition our business and to structurally reduce our cost base. As a result of this cost reduction plan, we incurred restructuring costs beginning in the second quarter of 2023 associated with our workforce. We do not expect additional restructuring charges associated with these activities to be significant.</w:t>
      </w:r>
    </w:p>
    <w:p>
      <w:pPr>
        <w:spacing w:after="0" w:line="5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During the year ended December 31, 2023, we incurred $72 million in connection with this business plan, of which $13 million is recorded within cost of revenue, excluding technology costs, $27 million is recorded within technology costs and $32 million is recorded within selling, general and administrative costs within our consolidated statement of operations. These restructuring costs are comprised of $66 million that has been or will be paid in cash for severance and related benefits costs and $6 million paid related to other restructuring costs.</w:t>
      </w:r>
    </w:p>
    <w:p>
      <w:pPr>
        <w:spacing w:after="0" w:line="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following table summarizes the accrued liability for severance and related benefits costs as recorded within accrued compensation and related benefits within our consolidated balance sheets, related to this cost reduction plan (in thousands):</w:t>
      </w:r>
    </w:p>
    <w:p>
      <w:pPr>
        <w:spacing w:after="0" w:line="84"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8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w w:val="96"/>
              </w:rPr>
              <w:t>Year Ended December 31, 2023</w:t>
            </w: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8960" w:type="dxa"/>
            <w:vAlign w:val="bottom"/>
          </w:tcPr>
          <w:p>
            <w:pPr>
              <w:spacing w:after="0"/>
              <w:rPr>
                <w:sz w:val="20"/>
                <w:szCs w:val="20"/>
                <w:color w:val="auto"/>
              </w:rPr>
            </w:pPr>
            <w:r>
              <w:rPr>
                <w:rFonts w:ascii="Arial" w:cs="Arial" w:eastAsia="Arial" w:hAnsi="Arial"/>
                <w:sz w:val="16"/>
                <w:szCs w:val="16"/>
                <w:color w:val="auto"/>
              </w:rPr>
              <w:t>Charges</w:t>
            </w:r>
          </w:p>
        </w:tc>
        <w:tc>
          <w:tcPr>
            <w:tcW w:w="120" w:type="dxa"/>
            <w:vAlign w:val="bottom"/>
          </w:tcPr>
          <w:p>
            <w:pPr>
              <w:spacing w:after="0"/>
              <w:rPr>
                <w:sz w:val="18"/>
                <w:szCs w:val="18"/>
                <w:color w:val="auto"/>
              </w:rPr>
            </w:pPr>
          </w:p>
        </w:tc>
        <w:tc>
          <w:tcPr>
            <w:tcW w:w="2020" w:type="dxa"/>
            <w:vAlign w:val="bottom"/>
          </w:tcPr>
          <w:p>
            <w:pPr>
              <w:jc w:val="right"/>
              <w:ind w:right="2"/>
              <w:spacing w:after="0"/>
              <w:rPr>
                <w:sz w:val="20"/>
                <w:szCs w:val="20"/>
                <w:color w:val="auto"/>
              </w:rPr>
            </w:pPr>
            <w:r>
              <w:rPr>
                <w:rFonts w:ascii="Arial" w:cs="Arial" w:eastAsia="Arial" w:hAnsi="Arial"/>
                <w:sz w:val="16"/>
                <w:szCs w:val="16"/>
                <w:color w:val="auto"/>
              </w:rPr>
              <w:t>64,247</w:t>
            </w:r>
          </w:p>
        </w:tc>
      </w:tr>
      <w:tr>
        <w:trPr>
          <w:trHeight w:val="217"/>
        </w:trPr>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Cash payments</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(48,189)</w:t>
            </w:r>
          </w:p>
        </w:tc>
      </w:tr>
      <w:tr>
        <w:trPr>
          <w:trHeight w:val="215"/>
        </w:trPr>
        <w:tc>
          <w:tcPr>
            <w:tcW w:w="8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Non-cash adjustments</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1,230</w:t>
            </w:r>
          </w:p>
        </w:tc>
      </w:tr>
      <w:tr>
        <w:trPr>
          <w:trHeight w:val="235"/>
        </w:trPr>
        <w:tc>
          <w:tcPr>
            <w:tcW w:w="8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17,288</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Goodwill and Intangible Assets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carrying amount of goodwill during the years ended December 31, 2023 and 2022 are as follows (in thousands):</w:t>
      </w:r>
    </w:p>
    <w:p>
      <w:pPr>
        <w:spacing w:after="0" w:line="14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Travel</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Hospitality</w:t>
            </w:r>
          </w:p>
        </w:tc>
        <w:tc>
          <w:tcPr>
            <w:tcW w:w="260" w:type="dxa"/>
            <w:vAlign w:val="bottom"/>
          </w:tcPr>
          <w:p>
            <w:pPr>
              <w:spacing w:after="0"/>
              <w:rPr>
                <w:sz w:val="12"/>
                <w:szCs w:val="12"/>
                <w:color w:val="auto"/>
              </w:rPr>
            </w:pPr>
          </w:p>
        </w:tc>
        <w:tc>
          <w:tcPr>
            <w:tcW w:w="1080" w:type="dxa"/>
            <w:vAlign w:val="bottom"/>
          </w:tcPr>
          <w:p>
            <w:pPr>
              <w:jc w:val="right"/>
              <w:ind w:right="443"/>
              <w:spacing w:after="0"/>
              <w:rPr>
                <w:sz w:val="20"/>
                <w:szCs w:val="20"/>
                <w:color w:val="auto"/>
              </w:rPr>
            </w:pPr>
            <w:r>
              <w:rPr>
                <w:rFonts w:ascii="Arial" w:cs="Arial" w:eastAsia="Arial" w:hAnsi="Arial"/>
                <w:sz w:val="13"/>
                <w:szCs w:val="13"/>
                <w:b w:val="1"/>
                <w:bCs w:val="1"/>
                <w:color w:val="auto"/>
              </w:rPr>
              <w:t>Total</w:t>
            </w:r>
          </w:p>
        </w:tc>
      </w:tr>
      <w:tr>
        <w:trPr>
          <w:trHeight w:val="183"/>
        </w:trPr>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Solutions</w:t>
            </w: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Solutions</w:t>
            </w:r>
          </w:p>
        </w:tc>
        <w:tc>
          <w:tcPr>
            <w:tcW w:w="260" w:type="dxa"/>
            <w:vAlign w:val="bottom"/>
          </w:tcPr>
          <w:p>
            <w:pPr>
              <w:spacing w:after="0"/>
              <w:rPr>
                <w:sz w:val="15"/>
                <w:szCs w:val="15"/>
                <w:color w:val="auto"/>
              </w:rPr>
            </w:pPr>
          </w:p>
        </w:tc>
        <w:tc>
          <w:tcPr>
            <w:tcW w:w="1080" w:type="dxa"/>
            <w:vAlign w:val="bottom"/>
          </w:tcPr>
          <w:p>
            <w:pPr>
              <w:jc w:val="right"/>
              <w:ind w:right="323"/>
              <w:spacing w:after="0"/>
              <w:rPr>
                <w:sz w:val="20"/>
                <w:szCs w:val="20"/>
                <w:color w:val="auto"/>
              </w:rPr>
            </w:pPr>
            <w:r>
              <w:rPr>
                <w:rFonts w:ascii="Arial" w:cs="Arial" w:eastAsia="Arial" w:hAnsi="Arial"/>
                <w:sz w:val="13"/>
                <w:szCs w:val="13"/>
                <w:b w:val="1"/>
                <w:bCs w:val="1"/>
                <w:color w:val="auto"/>
              </w:rPr>
              <w:t>Goodwill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2,314,517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155,689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2,470,206</w:t>
            </w: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Acquired</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65,455</w:t>
            </w:r>
          </w:p>
        </w:tc>
      </w:tr>
      <w:tr>
        <w:trPr>
          <w:trHeight w:val="217"/>
        </w:trPr>
        <w:tc>
          <w:tcPr>
            <w:tcW w:w="4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6,426</w:t>
            </w:r>
          </w:p>
        </w:tc>
      </w:tr>
      <w:tr>
        <w:trPr>
          <w:trHeight w:val="209"/>
        </w:trPr>
        <w:tc>
          <w:tcPr>
            <w:tcW w:w="470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2,381,964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160,123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2,542,087</w:t>
            </w: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9,436</w:t>
            </w: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2,516</w:t>
            </w:r>
          </w:p>
        </w:tc>
      </w:tr>
      <w:tr>
        <w:trPr>
          <w:trHeight w:val="234"/>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2,384,480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169,559</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2,554,039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8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1"/>
          <w:szCs w:val="21"/>
          <w:color w:val="auto"/>
          <w:vertAlign w:val="superscript"/>
        </w:rPr>
      </w:pPr>
      <w:r>
        <w:rPr>
          <w:rFonts w:ascii="Arial" w:cs="Arial" w:eastAsia="Arial" w:hAnsi="Arial"/>
          <w:sz w:val="14"/>
          <w:szCs w:val="14"/>
          <w:color w:val="auto"/>
        </w:rPr>
        <w:t>Includes net foreign currency effects during the years ended December 31, 2023 and 2022.</w:t>
      </w:r>
    </w:p>
    <w:p>
      <w:pPr>
        <w:spacing w:after="0" w:line="200" w:lineRule="exact"/>
        <w:rPr>
          <w:rFonts w:ascii="Arial" w:cs="Arial" w:eastAsia="Arial" w:hAnsi="Arial"/>
          <w:sz w:val="21"/>
          <w:szCs w:val="21"/>
          <w:color w:val="auto"/>
          <w:vertAlign w:val="superscript"/>
        </w:rPr>
      </w:pPr>
    </w:p>
    <w:p>
      <w:pPr>
        <w:spacing w:after="0" w:line="34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2" w:name="page73"/>
    <w:bookmarkEnd w:id="72"/>
    <w:p>
      <w:pPr>
        <w:ind w:left="500"/>
        <w:spacing w:after="0"/>
        <w:rPr>
          <w:sz w:val="20"/>
          <w:szCs w:val="20"/>
          <w:color w:val="auto"/>
        </w:rPr>
      </w:pPr>
      <w:r>
        <w:rPr>
          <w:rFonts w:ascii="Arial" w:cs="Arial" w:eastAsia="Arial" w:hAnsi="Arial"/>
          <w:sz w:val="16"/>
          <w:szCs w:val="16"/>
          <w:color w:val="auto"/>
        </w:rPr>
        <w:t>The following table presents our intangible assets as of December 31, 2023 and 2022 (in thousands):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December 31, 2023</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5"/>
              </w:rPr>
              <w:t>December 31, 2022</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1"/>
                <w:szCs w:val="11"/>
                <w:color w:val="auto"/>
              </w:rPr>
            </w:pPr>
          </w:p>
        </w:tc>
        <w:tc>
          <w:tcPr>
            <w:tcW w:w="1000" w:type="dxa"/>
            <w:vAlign w:val="bottom"/>
          </w:tcPr>
          <w:p>
            <w:pPr>
              <w:jc w:val="center"/>
              <w:ind w:right="164"/>
              <w:spacing w:after="0" w:line="128"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1"/>
                <w:szCs w:val="11"/>
                <w:color w:val="auto"/>
              </w:rPr>
            </w:pPr>
          </w:p>
        </w:tc>
        <w:tc>
          <w:tcPr>
            <w:tcW w:w="1000" w:type="dxa"/>
            <w:vAlign w:val="bottom"/>
          </w:tcPr>
          <w:p>
            <w:pPr>
              <w:jc w:val="center"/>
              <w:ind w:right="164"/>
              <w:spacing w:after="0" w:line="128"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0"/>
                <w:szCs w:val="10"/>
                <w:color w:val="auto"/>
              </w:rPr>
            </w:pPr>
          </w:p>
        </w:tc>
        <w:tc>
          <w:tcPr>
            <w:tcW w:w="112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164"/>
              <w:spacing w:after="0" w:line="126"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40" w:type="dxa"/>
            <w:vAlign w:val="bottom"/>
          </w:tcPr>
          <w:p>
            <w:pPr>
              <w:spacing w:after="0"/>
              <w:rPr>
                <w:sz w:val="15"/>
                <w:szCs w:val="15"/>
                <w:color w:val="auto"/>
              </w:rPr>
            </w:pPr>
          </w:p>
        </w:tc>
        <w:tc>
          <w:tcPr>
            <w:tcW w:w="1000" w:type="dxa"/>
            <w:vAlign w:val="bottom"/>
          </w:tcPr>
          <w:p>
            <w:pPr>
              <w:jc w:val="center"/>
              <w:ind w:right="164"/>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211"/>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customer relationships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1,041,719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(827,529)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214,190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1,041,782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(803,026)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238,756</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334,434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(190,948)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143,486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334,390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(180,065)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154,325</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Reacquired rights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Purchased technology</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449,936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(431,509)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443,667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(426,493)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17,174</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Acquired contracts, supplier and</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37,600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37,600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distributor agreements</w:t>
            </w: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13,953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13,953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1,991,142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(1,615,039)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376,103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1,984,892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(1,574,637)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410,255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Amortization expense relating to intangible assets subject to amortization totaled $40 million, $51 million and $64 million for the years ended December 31, 2023, 2022 and 2021, respectively. Estimated amortization expense related to intangible assets subject to amortization for each of the five succeeding years and beyond is as follows (in thousands):</w:t>
      </w:r>
    </w:p>
    <w:p>
      <w:pPr>
        <w:spacing w:after="0" w:line="259"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37,922</w:t>
            </w: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2025</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35,208</w:t>
            </w: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34,936</w:t>
            </w: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2027</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34,476</w:t>
            </w: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33,117</w:t>
            </w:r>
          </w:p>
        </w:tc>
      </w:tr>
      <w:tr>
        <w:trPr>
          <w:trHeight w:val="215"/>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2029 and thereafter</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200,444</w:t>
            </w:r>
          </w:p>
        </w:tc>
      </w:tr>
      <w:tr>
        <w:trPr>
          <w:trHeight w:val="235"/>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376,103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Balance Sheet Components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Prepaid Expenses and Other Current Assets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Prepaid expenses and other current assets consist of the following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r>
      <w:tr>
        <w:trPr>
          <w:trHeight w:val="196"/>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2022</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42,863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94,339</w:t>
            </w:r>
          </w:p>
        </w:tc>
      </w:tr>
      <w:tr>
        <w:trPr>
          <w:trHeight w:val="324"/>
        </w:trPr>
        <w:tc>
          <w:tcPr>
            <w:tcW w:w="8000" w:type="dxa"/>
            <w:vAlign w:val="bottom"/>
          </w:tcPr>
          <w:p>
            <w:pPr>
              <w:spacing w:after="0"/>
              <w:rPr>
                <w:sz w:val="20"/>
                <w:szCs w:val="20"/>
                <w:color w:val="auto"/>
              </w:rPr>
            </w:pPr>
            <w:r>
              <w:rPr>
                <w:rFonts w:ascii="Arial" w:cs="Arial" w:eastAsia="Arial" w:hAnsi="Arial"/>
                <w:sz w:val="16"/>
                <w:szCs w:val="16"/>
                <w:color w:val="auto"/>
              </w:rPr>
              <w:t>Investment in securities</w:t>
            </w:r>
            <w:r>
              <w:rPr>
                <w:rFonts w:ascii="Arial" w:cs="Arial" w:eastAsia="Arial" w:hAnsi="Arial"/>
                <w:sz w:val="21"/>
                <w:szCs w:val="21"/>
                <w:color w:val="auto"/>
                <w:vertAlign w:val="superscript"/>
              </w:rPr>
              <w:t>(1)</w:t>
            </w:r>
          </w:p>
        </w:tc>
        <w:tc>
          <w:tcPr>
            <w:tcW w:w="360" w:type="dxa"/>
            <w:vAlign w:val="bottom"/>
          </w:tcPr>
          <w:p>
            <w:pPr>
              <w:spacing w:after="0"/>
              <w:rPr>
                <w:sz w:val="24"/>
                <w:szCs w:val="24"/>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51,970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54,303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Value added tax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30,005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26,953</w:t>
            </w:r>
          </w:p>
        </w:tc>
      </w:tr>
      <w:tr>
        <w:trPr>
          <w:trHeight w:val="215"/>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21,073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16,384</w:t>
            </w:r>
          </w:p>
        </w:tc>
      </w:tr>
      <w:tr>
        <w:trPr>
          <w:trHeight w:val="235"/>
        </w:trPr>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145,911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191,979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17" w:lineRule="exact"/>
        <w:rPr>
          <w:sz w:val="20"/>
          <w:szCs w:val="20"/>
          <w:color w:val="auto"/>
        </w:rPr>
      </w:pPr>
    </w:p>
    <w:p>
      <w:pPr>
        <w:ind w:left="480" w:hanging="148"/>
        <w:spacing w:after="0"/>
        <w:tabs>
          <w:tab w:leader="none" w:pos="4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See Note 12. Fair Value Measurements for further detail.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3" w:name="page74"/>
    <w:bookmarkEnd w:id="73"/>
    <w:p>
      <w:pPr>
        <w:ind w:left="500"/>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Property and equipment, net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0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Buildings and leasehold improvements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27,363</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31,933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33,216</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121,359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281,055</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Software developed for internal use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1,903,576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1,827,000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2,084,868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2,168,634</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 and amortization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(1,851,191)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(1,939,215)</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233,677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229,419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b w:val="1"/>
                <w:bCs w:val="1"/>
                <w:i w:val="1"/>
                <w:iCs w:val="1"/>
                <w:color w:val="auto"/>
              </w:rPr>
              <w:t>Other Assets,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8000" w:type="dxa"/>
            <w:vAlign w:val="bottom"/>
          </w:tcPr>
          <w:p>
            <w:pPr>
              <w:ind w:left="460"/>
              <w:spacing w:after="0"/>
              <w:rPr>
                <w:sz w:val="20"/>
                <w:szCs w:val="20"/>
                <w:color w:val="auto"/>
              </w:rPr>
            </w:pPr>
            <w:r>
              <w:rPr>
                <w:rFonts w:ascii="Arial" w:cs="Arial" w:eastAsia="Arial" w:hAnsi="Arial"/>
                <w:sz w:val="16"/>
                <w:szCs w:val="16"/>
                <w:color w:val="auto"/>
              </w:rPr>
              <w:t>Other assets, net consist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Capitalized implementation costs, net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67,536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82,711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Deferred upfront incentive consideration</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63,509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67,476</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00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Long-term contract assets and customer advances and discounts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42,538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56,448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tcPr>
          <w:p>
            <w:pPr>
              <w:spacing w:after="0" w:line="216" w:lineRule="exact"/>
              <w:rPr>
                <w:sz w:val="20"/>
                <w:szCs w:val="20"/>
                <w:color w:val="auto"/>
              </w:rPr>
            </w:pPr>
            <w:r>
              <w:rPr>
                <w:rFonts w:ascii="Arial" w:cs="Arial" w:eastAsia="Arial" w:hAnsi="Arial"/>
                <w:sz w:val="16"/>
                <w:szCs w:val="16"/>
                <w:color w:val="auto"/>
              </w:rPr>
              <w:t>Right-of-Use asset</w:t>
            </w:r>
            <w:r>
              <w:rPr>
                <w:rFonts w:ascii="Arial" w:cs="Arial" w:eastAsia="Arial" w:hAnsi="Arial"/>
                <w:sz w:val="21"/>
                <w:szCs w:val="21"/>
                <w:color w:val="auto"/>
                <w:vertAlign w:val="superscript"/>
              </w:rPr>
              <w:t>(2)</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69,895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85,238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Long-term trade unbilled receivables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20,265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16,129</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53,497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50,331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assets,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317,240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358,333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8040" w:type="dxa"/>
            <w:vAlign w:val="bottom"/>
            <w:gridSpan w:val="2"/>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Refer to Note 2. Revenue from Contracts with Customers for additional information.</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8040" w:type="dxa"/>
            <w:vAlign w:val="bottom"/>
            <w:gridSpan w:val="2"/>
          </w:tcPr>
          <w:p>
            <w:pPr>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Refer to Note 13. Leases for additional information.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8000" w:type="dxa"/>
            <w:vAlign w:val="bottom"/>
          </w:tcPr>
          <w:p>
            <w:pPr>
              <w:ind w:left="460"/>
              <w:spacing w:after="0"/>
              <w:rPr>
                <w:sz w:val="20"/>
                <w:szCs w:val="20"/>
                <w:color w:val="auto"/>
              </w:rPr>
            </w:pPr>
            <w:r>
              <w:rPr>
                <w:rFonts w:ascii="Arial" w:cs="Arial" w:eastAsia="Arial" w:hAnsi="Arial"/>
                <w:sz w:val="16"/>
                <w:szCs w:val="16"/>
                <w:b w:val="1"/>
                <w:bCs w:val="1"/>
                <w:i w:val="1"/>
                <w:iCs w:val="1"/>
                <w:color w:val="auto"/>
              </w:rPr>
              <w:t>Other Noncurrent Liabilities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8000" w:type="dxa"/>
            <w:vAlign w:val="bottom"/>
          </w:tcPr>
          <w:p>
            <w:pPr>
              <w:ind w:left="460"/>
              <w:spacing w:after="0"/>
              <w:rPr>
                <w:sz w:val="20"/>
                <w:szCs w:val="20"/>
                <w:color w:val="auto"/>
              </w:rPr>
            </w:pPr>
            <w:r>
              <w:rPr>
                <w:rFonts w:ascii="Arial" w:cs="Arial" w:eastAsia="Arial" w:hAnsi="Arial"/>
                <w:sz w:val="16"/>
                <w:szCs w:val="16"/>
                <w:color w:val="auto"/>
              </w:rPr>
              <w:t>Other noncurrent liabilities consist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Pension and other postretirement benefits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74,288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83,078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50,534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40,390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800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Lease liabilities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56,277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68,068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77,620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72,875</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258,719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264,411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07"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Refer to Note 13. Leases, for additional information.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1" w:right="359" w:bottom="1440" w:gutter="0" w:footer="0" w:header="0"/>
        </w:sectPr>
      </w:pPr>
    </w:p>
    <w:bookmarkStart w:id="74" w:name="page75"/>
    <w:bookmarkEnd w:id="74"/>
    <w:p>
      <w:pPr>
        <w:ind w:left="50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Accumulated other comprehensive loss consists of the following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r>
      <w:tr>
        <w:trPr>
          <w:trHeight w:val="196"/>
        </w:trPr>
        <w:tc>
          <w:tcPr>
            <w:tcW w:w="80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2022</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Defined benefit pension and other postretirement benefit plans</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(78,056)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(73,746)</w:t>
            </w:r>
          </w:p>
        </w:tc>
      </w:t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Unrealized foreign currency translation gain</w:t>
            </w:r>
          </w:p>
        </w:tc>
        <w:tc>
          <w:tcPr>
            <w:tcW w:w="90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9,147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5,257</w:t>
            </w: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gain on interest rate swaps</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4,577</w:t>
            </w:r>
          </w:p>
        </w:tc>
      </w:tr>
      <w:tr>
        <w:trPr>
          <w:trHeight w:val="215"/>
        </w:trPr>
        <w:tc>
          <w:tcPr>
            <w:tcW w:w="8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 of other comprehensive loss of equity method investment</w:t>
            </w:r>
          </w:p>
        </w:tc>
        <w:tc>
          <w:tcPr>
            <w:tcW w:w="9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w:t>
            </w:r>
          </w:p>
        </w:tc>
      </w:tr>
      <w:tr>
        <w:trPr>
          <w:trHeight w:val="235"/>
        </w:trPr>
        <w:tc>
          <w:tcPr>
            <w:tcW w:w="8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accumulated other comprehensive loss, net of tax</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(73,922)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(65,731)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amortization of actuarial losses and periodic service credits associated with our retirement-related benefit plans is included in Other, net. See Note 11. Derivatives, for information on the income statement line items affected as the result of reclassification adjustments associated with derivatives.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Income Taxes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pretax income from continuing operations, generally based on the jurisdiction of the legal entity, were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Components of pre-tax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Domestic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(551,182)</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(380,367)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(738,394)</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57,663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(199,993)</w:t>
            </w:r>
          </w:p>
        </w:tc>
        <w:tc>
          <w:tcPr>
            <w:tcW w:w="0" w:type="dxa"/>
            <w:vAlign w:val="bottom"/>
          </w:tcPr>
          <w:p>
            <w:pPr>
              <w:spacing w:after="0"/>
              <w:rPr>
                <w:sz w:val="1"/>
                <w:szCs w:val="1"/>
                <w:color w:val="auto"/>
              </w:rPr>
            </w:pPr>
          </w:p>
        </w:tc>
      </w:tr>
      <w:tr>
        <w:trPr>
          <w:trHeight w:val="208"/>
        </w:trPr>
        <w:tc>
          <w:tcPr>
            <w:tcW w:w="69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(493,519)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(938,387)</w:t>
            </w:r>
          </w:p>
        </w:tc>
        <w:tc>
          <w:tcPr>
            <w:tcW w:w="0" w:type="dxa"/>
            <w:vAlign w:val="bottom"/>
          </w:tcPr>
          <w:p>
            <w:pPr>
              <w:spacing w:after="0"/>
              <w:rPr>
                <w:sz w:val="1"/>
                <w:szCs w:val="1"/>
                <w:color w:val="auto"/>
              </w:rPr>
            </w:pPr>
          </w:p>
        </w:tc>
      </w:tr>
      <w:tr>
        <w:trPr>
          <w:trHeight w:val="22"/>
        </w:trPr>
        <w:tc>
          <w:tcPr>
            <w:tcW w:w="6960" w:type="dxa"/>
            <w:vAlign w:val="bottom"/>
            <w:vMerge w:val="restart"/>
          </w:tcPr>
          <w:p>
            <w:pPr>
              <w:ind w:left="460"/>
              <w:spacing w:after="0"/>
              <w:rPr>
                <w:sz w:val="20"/>
                <w:szCs w:val="20"/>
                <w:color w:val="auto"/>
              </w:rPr>
            </w:pPr>
            <w:r>
              <w:rPr>
                <w:rFonts w:ascii="Arial" w:cs="Arial" w:eastAsia="Arial" w:hAnsi="Arial"/>
                <w:sz w:val="16"/>
                <w:szCs w:val="16"/>
                <w:color w:val="auto"/>
              </w:rPr>
              <w:t>The provision for income taxes relating to continuing operations consists of the following:</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6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Federal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440</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12,224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 and Local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15,187</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25,972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12,903</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Deferred portion: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State and Local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 U.S.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(25,855)</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deferred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(27,515)</w:t>
            </w:r>
          </w:p>
        </w:tc>
        <w:tc>
          <w:tcPr>
            <w:tcW w:w="0" w:type="dxa"/>
            <w:vAlign w:val="bottom"/>
          </w:tcPr>
          <w:p>
            <w:pPr>
              <w:spacing w:after="0"/>
              <w:rPr>
                <w:sz w:val="1"/>
                <w:szCs w:val="1"/>
                <w:color w:val="auto"/>
              </w:rPr>
            </w:pPr>
          </w:p>
        </w:tc>
      </w:tr>
      <w:tr>
        <w:trPr>
          <w:trHeight w:val="235"/>
        </w:trPr>
        <w:tc>
          <w:tcPr>
            <w:tcW w:w="6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provision (benefit) for income taxes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8,666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5" w:name="page76"/>
    <w:bookmarkEnd w:id="75"/>
    <w:p>
      <w:pPr>
        <w:ind w:left="500"/>
        <w:spacing w:after="0"/>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at statutory federal income tax rate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(197,061)</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State income taxes, net of federal benefit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(9,414)</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Impact of non U.S. taxing jurisdictions,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26,029</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Base erosion and anti-abuse tax</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Employee stock based compensation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9,836</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Research tax credit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(16,901)</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Valuation Allowance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163,097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176,921</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0" w:type="dxa"/>
            <w:vAlign w:val="bottom"/>
          </w:tcPr>
          <w:p>
            <w:pPr>
              <w:spacing w:after="0"/>
              <w:rPr>
                <w:sz w:val="1"/>
                <w:szCs w:val="1"/>
                <w:color w:val="auto"/>
              </w:rPr>
            </w:pPr>
          </w:p>
        </w:tc>
      </w:tr>
      <w:tr>
        <w:trPr>
          <w:trHeight w:val="208"/>
        </w:trPr>
        <w:tc>
          <w:tcPr>
            <w:tcW w:w="6960" w:type="dxa"/>
            <w:vAlign w:val="bottom"/>
          </w:tcPr>
          <w:p>
            <w:pPr>
              <w:ind w:left="200"/>
              <w:spacing w:after="0"/>
              <w:rPr>
                <w:sz w:val="20"/>
                <w:szCs w:val="20"/>
                <w:color w:val="auto"/>
              </w:rPr>
            </w:pPr>
            <w:r>
              <w:rPr>
                <w:rFonts w:ascii="Arial" w:cs="Arial" w:eastAsia="Arial" w:hAnsi="Arial"/>
                <w:sz w:val="16"/>
                <w:szCs w:val="16"/>
                <w:color w:val="auto"/>
              </w:rPr>
              <w:t>Total provision (benefit) for income taxes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(14,612)</w:t>
            </w:r>
          </w:p>
        </w:tc>
        <w:tc>
          <w:tcPr>
            <w:tcW w:w="0" w:type="dxa"/>
            <w:vAlign w:val="bottom"/>
          </w:tcPr>
          <w:p>
            <w:pPr>
              <w:spacing w:after="0"/>
              <w:rPr>
                <w:sz w:val="1"/>
                <w:szCs w:val="1"/>
                <w:color w:val="auto"/>
              </w:rPr>
            </w:pPr>
          </w:p>
        </w:tc>
      </w:tr>
      <w:tr>
        <w:trPr>
          <w:trHeight w:val="22"/>
        </w:trPr>
        <w:tc>
          <w:tcPr>
            <w:tcW w:w="6960" w:type="dxa"/>
            <w:vAlign w:val="bottom"/>
            <w:vMerge w:val="restart"/>
          </w:tcPr>
          <w:p>
            <w:pPr>
              <w:ind w:left="460"/>
              <w:spacing w:after="0"/>
              <w:rPr>
                <w:sz w:val="20"/>
                <w:szCs w:val="20"/>
                <w:color w:val="auto"/>
              </w:rPr>
            </w:pPr>
            <w:r>
              <w:rPr>
                <w:rFonts w:ascii="Arial" w:cs="Arial" w:eastAsia="Arial" w:hAnsi="Arial"/>
                <w:sz w:val="16"/>
                <w:szCs w:val="16"/>
                <w:color w:val="auto"/>
              </w:rPr>
              <w:t>The components of our deferred tax assets and liabilities are as follows: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6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Tax loss carryforwards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400,634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364,830</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Software developed for internal use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89,084</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Tax credit carryforwards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90,674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59,790</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benefits other than pension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37,325</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26,890</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Bond discounts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Lease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19,713</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Pension obligations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18,249</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Suspended loss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14,814</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9,658</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Incentive consideration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60" w:type="dxa"/>
            <w:vAlign w:val="bottom"/>
          </w:tcPr>
          <w:p>
            <w:pPr>
              <w:ind w:left="460"/>
              <w:spacing w:after="0"/>
              <w:rPr>
                <w:sz w:val="20"/>
                <w:szCs w:val="20"/>
                <w:color w:val="auto"/>
              </w:rPr>
            </w:pPr>
            <w:r>
              <w:rPr>
                <w:rFonts w:ascii="Arial" w:cs="Arial" w:eastAsia="Arial" w:hAnsi="Arial"/>
                <w:sz w:val="16"/>
                <w:szCs w:val="16"/>
                <w:color w:val="auto"/>
              </w:rPr>
              <w:t>Total deferred tax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785,391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643,114</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(88,608)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(95,295)</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 U.S.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(13,427)</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Right of use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(19,780)</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gains and losses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(15,430)</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Investment in partnership</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(8,168)</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Bond discounts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9"/>
        </w:trPr>
        <w:tc>
          <w:tcPr>
            <w:tcW w:w="6960" w:type="dxa"/>
            <w:vAlign w:val="bottom"/>
          </w:tcPr>
          <w:p>
            <w:pPr>
              <w:ind w:left="460"/>
              <w:spacing w:after="0"/>
              <w:rPr>
                <w:sz w:val="20"/>
                <w:szCs w:val="20"/>
                <w:color w:val="auto"/>
              </w:rPr>
            </w:pPr>
            <w:r>
              <w:rPr>
                <w:rFonts w:ascii="Arial" w:cs="Arial" w:eastAsia="Arial" w:hAnsi="Arial"/>
                <w:sz w:val="16"/>
                <w:szCs w:val="16"/>
                <w:color w:val="auto"/>
              </w:rPr>
              <w:t>Total deferred tax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(154,520)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(158,585)</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Valuation allowance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(651,415)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(484,266)</w:t>
            </w:r>
          </w:p>
        </w:tc>
        <w:tc>
          <w:tcPr>
            <w:tcW w:w="0" w:type="dxa"/>
            <w:vAlign w:val="bottom"/>
          </w:tcPr>
          <w:p>
            <w:pPr>
              <w:spacing w:after="0"/>
              <w:rPr>
                <w:sz w:val="1"/>
                <w:szCs w:val="1"/>
                <w:color w:val="auto"/>
              </w:rPr>
            </w:pPr>
          </w:p>
        </w:tc>
      </w:tr>
      <w:tr>
        <w:trPr>
          <w:trHeight w:val="209"/>
        </w:trPr>
        <w:tc>
          <w:tcPr>
            <w:tcW w:w="6960" w:type="dxa"/>
            <w:vAlign w:val="bottom"/>
          </w:tcPr>
          <w:p>
            <w:pPr>
              <w:ind w:left="200"/>
              <w:spacing w:after="0"/>
              <w:rPr>
                <w:sz w:val="20"/>
                <w:szCs w:val="20"/>
                <w:color w:val="auto"/>
              </w:rPr>
            </w:pPr>
            <w:r>
              <w:rPr>
                <w:rFonts w:ascii="Arial" w:cs="Arial" w:eastAsia="Arial" w:hAnsi="Arial"/>
                <w:sz w:val="16"/>
                <w:szCs w:val="16"/>
                <w:color w:val="auto"/>
              </w:rPr>
              <w:t>Net deferred tax (liability) asset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As a result of the enactment of the Tax Cuts and Jobs Act (the “TCJA”), we recorded a one-time transition tax on the undistributed earnings of our foreign subsidiaries. We do not consider undistributed foreign earnings to be indefinitely reinvested as of December 31, 2023, with certain limited exceptions and have, in those cases, recorded corresponding deferred taxes. We consider the undistributed capital investments in most of our foreign subsidiaries to be indefinitely reinvested as of December 31, 2023 and have not provided deferred taxes on any outside basis differences.</w:t>
      </w:r>
    </w:p>
    <w:p>
      <w:pPr>
        <w:spacing w:after="0" w:line="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December 31, 2023, we have U.S. federal NOL carryforwards of approximately $448 million, which primarily have an indefinite carryforward period. Additionally, we have research tax credit carryforwards of approximately $64 million, which will expire between 2024 and 2041. As a result of prior business combinations, less than $1 million of our U.S. federal NOLs are subject to the annual limit on the ability of a corporation to use certain tax attributes (as defined in Section 382 of the Code) with the majority expiring between 2024 and 2037. However, we expect that Section 382 will not limit our ability to fully realize the tax benefits. We have state NOLs of $9 million which will expire primarily between 2024 and 2041 and state research tax credit carryforwards of $21 million which will expire between 2024 and 2040. We have $660 million of NOL carryforwards and $7 million</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6"/>
          <w:szCs w:val="16"/>
          <w:color w:val="auto"/>
        </w:rPr>
        <w:t>of foreign tax credits related to certain non-U.S. taxing jurisdictions that are primarily from countries with indefinite carryforward periods.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regularly review our deferred tax assets for realizability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When assessing the need for a valuation allowance, all positive and negative evidence is analyzed, including our ability to carry back NOLs to prior periods, the reversal of deferred tax liabilities, tax planning strategies and projected future taxable income. Significant losses related to COVID-19 resulted in a three-year cumulative loss in certain jurisdictions, which represents significant negative evidence regarding the ability to realize deferred tax assets. As a result, we maintain a cumulative valuation allowance on our U.S. federal and state deferred tax assets of $486 million and $47 million, respectively as of December 31, 2023. For non-U.S. deferred tax assets of certain subsidiaries, we maintained a cumulative valuation allowance on current year losses and other deferred tax assets of $118 million as of December 31, 2023. We reassess these assumptions regularly, which could cause an increase or decrease to the valuation allowance resulting in an increase or decrease in the effective tax rate and could materially impact our results of operations.</w:t>
      </w:r>
    </w:p>
    <w:p>
      <w:pPr>
        <w:spacing w:after="0" w:line="7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It is our policy to recognize penalties and interest accrued related to income taxes as a component of the provision for income taxes from continuing operations. During the years ended December 31, 2023, 2022, and 2021, we recognized an expense of $12 million, an expense of $1 million, and a benefit of $3 million, respectively, related to interest and penalties. As of December 31, 2023 and 2022, we had a liability, including interest and penalties, of $61 million and $97 million, respectively, for unrecognized tax benefits, including cumulative accrued interest and penalties of approximately $20 million and $21 million, respectively.</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reconciliation of the beginning and ending amount of unrecognized tax benefits, excluding interest and penalties, is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6"/>
        </w:trPr>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84,929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73,054</w:t>
            </w: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Additions for tax positions taken in the current year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3,641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3,655</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Additions for tax positions of prior years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12,625</w:t>
            </w: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Reductions for tax positions of prior years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Reductions for tax positions of expired statute of limitations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w:t>
            </w:r>
          </w:p>
        </w:tc>
      </w:tr>
      <w:tr>
        <w:trPr>
          <w:trHeight w:val="215"/>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Settlements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35"/>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41,084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75,962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84,929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189"/>
        <w:spacing w:after="0" w:line="265" w:lineRule="auto"/>
        <w:rPr>
          <w:sz w:val="20"/>
          <w:szCs w:val="20"/>
          <w:color w:val="auto"/>
        </w:rPr>
      </w:pPr>
      <w:r>
        <w:rPr>
          <w:rFonts w:ascii="Arial" w:cs="Arial" w:eastAsia="Arial" w:hAnsi="Arial"/>
          <w:sz w:val="16"/>
          <w:szCs w:val="16"/>
          <w:color w:val="auto"/>
        </w:rPr>
        <w:t>We present unrecognized tax benefits as a reduction to deferred tax assets for NOLs, similar tax loss or a tax credit carryforward that is available to settle additional income taxes that would result from the disallowance of a tax position, presuming disallowance at the reporting date. The amount of unrecognized tax benefits that were offset against deferred tax assets on our balance sheets was $27 million, $51 million, and $44 million as of December 31, 2023, 2022, and 2021 respectively, with remaining amounts recorded as a liability.</w:t>
      </w:r>
    </w:p>
    <w:p>
      <w:pPr>
        <w:spacing w:after="0" w:line="2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As of December 31, 2023, 2022, and 2021, the amount of unrecognized tax benefits that, if recognized, would impact the effective tax rate was $37 million, $67 million, and $73 million, respectively. It is reasonably possible that $4 million in unrecognized tax benefits may be resolved in the next twelve months, due to statute of limitations expiration.</w:t>
      </w:r>
    </w:p>
    <w:p>
      <w:pPr>
        <w:spacing w:after="0" w:line="137" w:lineRule="exact"/>
        <w:rPr>
          <w:sz w:val="20"/>
          <w:szCs w:val="20"/>
          <w:color w:val="auto"/>
        </w:rPr>
      </w:pPr>
    </w:p>
    <w:p>
      <w:pPr>
        <w:jc w:val="both"/>
        <w:ind w:firstLine="200"/>
        <w:spacing w:after="0" w:line="286" w:lineRule="auto"/>
        <w:rPr>
          <w:sz w:val="20"/>
          <w:szCs w:val="20"/>
          <w:color w:val="auto"/>
        </w:rPr>
      </w:pPr>
      <w:r>
        <w:rPr>
          <w:rFonts w:ascii="Arial" w:cs="Arial" w:eastAsia="Arial" w:hAnsi="Arial"/>
          <w:sz w:val="16"/>
          <w:szCs w:val="16"/>
          <w:color w:val="auto"/>
        </w:rPr>
        <w:t>In the normal course of business, we are subject to examination by taxing authorities throughout the world. The following table summarizes, by major tax jurisdiction, our tax years that remain subject to examination by taxing authorities:</w:t>
      </w:r>
    </w:p>
    <w:p>
      <w:pPr>
        <w:spacing w:after="0" w:line="106" w:lineRule="exact"/>
        <w:rPr>
          <w:sz w:val="20"/>
          <w:szCs w:val="20"/>
          <w:color w:val="auto"/>
        </w:rPr>
      </w:pPr>
    </w:p>
    <w:tbl>
      <w:tblPr>
        <w:tblLayout w:type="fixed"/>
        <w:tblInd w:w="1960" w:type="dxa"/>
        <w:tblCellMar>
          <w:top w:w="0" w:type="dxa"/>
          <w:left w:w="0" w:type="dxa"/>
          <w:bottom w:w="0" w:type="dxa"/>
          <w:right w:w="0" w:type="dxa"/>
        </w:tblCellMar>
      </w:tblPr>
      <w:tr>
        <w:trPr>
          <w:trHeight w:val="197"/>
        </w:trPr>
        <w:tc>
          <w:tcPr>
            <w:tcW w:w="19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Tax Jurisdiction</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 Subject to Examination</w:t>
            </w:r>
          </w:p>
        </w:tc>
      </w:tr>
      <w:tr>
        <w:trPr>
          <w:trHeight w:val="21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2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2020 - forward</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Singapore</w:t>
            </w:r>
          </w:p>
        </w:tc>
        <w:tc>
          <w:tcPr>
            <w:tcW w:w="2960" w:type="dxa"/>
            <w:vAlign w:val="bottom"/>
          </w:tcPr>
          <w:p>
            <w:pPr>
              <w:jc w:val="center"/>
              <w:spacing w:after="0"/>
              <w:rPr>
                <w:sz w:val="20"/>
                <w:szCs w:val="20"/>
                <w:color w:val="auto"/>
              </w:rPr>
            </w:pPr>
            <w:r>
              <w:rPr>
                <w:rFonts w:ascii="Arial" w:cs="Arial" w:eastAsia="Arial" w:hAnsi="Arial"/>
                <w:sz w:val="16"/>
                <w:szCs w:val="16"/>
                <w:color w:val="auto"/>
              </w:rPr>
              <w:t>2018 - forward</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India</w:t>
            </w:r>
          </w:p>
        </w:tc>
        <w:tc>
          <w:tcPr>
            <w:tcW w:w="2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1998 - forward</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Uruguay</w:t>
            </w:r>
          </w:p>
        </w:tc>
        <w:tc>
          <w:tcPr>
            <w:tcW w:w="2960" w:type="dxa"/>
            <w:vAlign w:val="bottom"/>
          </w:tcPr>
          <w:p>
            <w:pPr>
              <w:jc w:val="center"/>
              <w:spacing w:after="0"/>
              <w:rPr>
                <w:sz w:val="20"/>
                <w:szCs w:val="20"/>
                <w:color w:val="auto"/>
              </w:rPr>
            </w:pPr>
            <w:r>
              <w:rPr>
                <w:rFonts w:ascii="Arial" w:cs="Arial" w:eastAsia="Arial" w:hAnsi="Arial"/>
                <w:sz w:val="16"/>
                <w:szCs w:val="16"/>
                <w:color w:val="auto"/>
              </w:rPr>
              <w:t>2018 - forward</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2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2017, 2020 - forward</w:t>
            </w: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Texas</w:t>
            </w:r>
          </w:p>
        </w:tc>
        <w:tc>
          <w:tcPr>
            <w:tcW w:w="2960" w:type="dxa"/>
            <w:vAlign w:val="bottom"/>
          </w:tcPr>
          <w:p>
            <w:pPr>
              <w:jc w:val="center"/>
              <w:spacing w:after="0"/>
              <w:rPr>
                <w:sz w:val="20"/>
                <w:szCs w:val="20"/>
                <w:color w:val="auto"/>
              </w:rPr>
            </w:pPr>
            <w:r>
              <w:rPr>
                <w:rFonts w:ascii="Arial" w:cs="Arial" w:eastAsia="Arial" w:hAnsi="Arial"/>
                <w:sz w:val="16"/>
                <w:szCs w:val="16"/>
                <w:color w:val="auto"/>
              </w:rPr>
              <w:t>2016 - forward</w:t>
            </w:r>
          </w:p>
        </w:tc>
      </w:tr>
    </w:tbl>
    <w:p>
      <w:pPr>
        <w:spacing w:after="0" w:line="2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currently have ongoing audits in India and various other jurisdictions. We do not expect that the results of these examinations will have a material effect on our financial condition or results of operations. With few exceptions, we are no longer subject to income tax examinations by tax authorities for years prior to 2012.</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9. Credit Losses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allowance for credit losses relates to all financial assets, primarily trade receivables due in less than one year recorded in Accounts Receivable, net on our consolidated balance sheets. Our allowance for credit losses for the year ended December 31, 2023 for our portfolio segment is summarized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right"/>
              <w:ind w:right="62"/>
              <w:spacing w:after="0"/>
              <w:rPr>
                <w:sz w:val="20"/>
                <w:szCs w:val="20"/>
                <w:color w:val="auto"/>
              </w:rPr>
            </w:pPr>
            <w:r>
              <w:rPr>
                <w:rFonts w:ascii="Arial" w:cs="Arial" w:eastAsia="Arial" w:hAnsi="Arial"/>
                <w:sz w:val="13"/>
                <w:szCs w:val="13"/>
                <w:b w:val="1"/>
                <w:bCs w:val="1"/>
                <w:color w:val="auto"/>
                <w:w w:val="96"/>
              </w:rPr>
              <w:t>Year Ended December 31,</w:t>
            </w:r>
          </w:p>
        </w:tc>
      </w:tr>
      <w:tr>
        <w:trPr>
          <w:trHeight w:val="183"/>
        </w:trPr>
        <w:tc>
          <w:tcPr>
            <w:tcW w:w="9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702"/>
              <w:spacing w:after="0"/>
              <w:rPr>
                <w:sz w:val="20"/>
                <w:szCs w:val="20"/>
                <w:color w:val="auto"/>
              </w:rPr>
            </w:pPr>
            <w:r>
              <w:rPr>
                <w:rFonts w:ascii="Arial" w:cs="Arial" w:eastAsia="Arial" w:hAnsi="Arial"/>
                <w:sz w:val="13"/>
                <w:szCs w:val="13"/>
                <w:b w:val="1"/>
                <w:bCs w:val="1"/>
                <w:color w:val="auto"/>
              </w:rPr>
              <w:t>2023</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59,646</w:t>
            </w:r>
          </w:p>
        </w:tc>
      </w:tr>
      <w:tr>
        <w:trPr>
          <w:trHeight w:val="215"/>
        </w:trPr>
        <w:tc>
          <w:tcPr>
            <w:tcW w:w="9400" w:type="dxa"/>
            <w:vAlign w:val="bottom"/>
          </w:tcPr>
          <w:p>
            <w:pPr>
              <w:ind w:left="140"/>
              <w:spacing w:after="0"/>
              <w:rPr>
                <w:sz w:val="20"/>
                <w:szCs w:val="20"/>
                <w:color w:val="auto"/>
              </w:rPr>
            </w:pPr>
            <w:r>
              <w:rPr>
                <w:rFonts w:ascii="Arial" w:cs="Arial" w:eastAsia="Arial" w:hAnsi="Arial"/>
                <w:sz w:val="16"/>
                <w:szCs w:val="16"/>
                <w:color w:val="auto"/>
              </w:rPr>
              <w:t>Provision for expected credit losses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7"/>
        </w:trPr>
        <w:tc>
          <w:tcPr>
            <w:tcW w:w="9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Write-offs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(19,928)</w:t>
            </w:r>
          </w:p>
        </w:tc>
      </w:tr>
      <w:tr>
        <w:trPr>
          <w:trHeight w:val="215"/>
        </w:trPr>
        <w:tc>
          <w:tcPr>
            <w:tcW w:w="9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r>
      <w:tr>
        <w:trPr>
          <w:trHeight w:val="210"/>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38,815</w:t>
            </w:r>
          </w:p>
        </w:tc>
      </w:tr>
      <w:tr>
        <w:trPr>
          <w:trHeight w:val="215"/>
        </w:trPr>
        <w:tc>
          <w:tcPr>
            <w:tcW w:w="9400" w:type="dxa"/>
            <w:vAlign w:val="bottom"/>
          </w:tcPr>
          <w:p>
            <w:pPr>
              <w:ind w:left="140"/>
              <w:spacing w:after="0"/>
              <w:rPr>
                <w:sz w:val="20"/>
                <w:szCs w:val="20"/>
                <w:color w:val="auto"/>
              </w:rPr>
            </w:pPr>
            <w:r>
              <w:rPr>
                <w:rFonts w:ascii="Arial" w:cs="Arial" w:eastAsia="Arial" w:hAnsi="Arial"/>
                <w:sz w:val="16"/>
                <w:szCs w:val="16"/>
                <w:color w:val="auto"/>
              </w:rPr>
              <w:t>Provision for expected credit losses</w:t>
            </w:r>
          </w:p>
        </w:tc>
        <w:tc>
          <w:tcPr>
            <w:tcW w:w="140" w:type="dxa"/>
            <w:vAlign w:val="bottom"/>
          </w:tcPr>
          <w:p>
            <w:pPr>
              <w:spacing w:after="0"/>
              <w:rPr>
                <w:sz w:val="18"/>
                <w:szCs w:val="18"/>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5,872</w:t>
            </w:r>
          </w:p>
        </w:tc>
      </w:tr>
      <w:tr>
        <w:trPr>
          <w:trHeight w:val="217"/>
        </w:trPr>
        <w:tc>
          <w:tcPr>
            <w:tcW w:w="9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Write-offs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(10,600)</w:t>
            </w:r>
          </w:p>
        </w:tc>
      </w:tr>
      <w:tr>
        <w:trPr>
          <w:trHeight w:val="215"/>
        </w:trPr>
        <w:tc>
          <w:tcPr>
            <w:tcW w:w="9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256</w:t>
            </w:r>
          </w:p>
        </w:tc>
      </w:tr>
      <w:tr>
        <w:trPr>
          <w:trHeight w:val="235"/>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34,343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regularly monitor the financial condition of the air transportation industry. The credit risk related to the air carriers’ difficulties is significantly mitigated by the fact that we collect a significant portion of the receivables from these carriers through the ACH. As of December 31, 2023, approximately 53% of our air customers make payments through the ACH which accounts for approximately 82% of transaction revenue related to air customers. For these carriers,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Debt</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As of December 31, 2023 and 2022, our outstanding debt included in our consolidated balance sheets totaled $4,834 million and $4,741 million, respectively, which are net of debt issuance costs of $63 million and $44 million, respectively, and unamortized discounts of $65 million and $54 million, respectively. The following table sets forth the face values of our outstanding debt as of December 31, 2023 and 2022 (in thousands):</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rPr>
              <w:t>December 31,</w:t>
            </w:r>
          </w:p>
        </w:tc>
        <w:tc>
          <w:tcPr>
            <w:tcW w:w="880" w:type="dxa"/>
            <w:vAlign w:val="bottom"/>
            <w:tcBorders>
              <w:bottom w:val="single" w:sz="8" w:color="auto"/>
            </w:tcBorders>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Rate</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Maturity</w:t>
            </w:r>
          </w:p>
        </w:tc>
        <w:tc>
          <w:tcPr>
            <w:tcW w:w="320" w:type="dxa"/>
            <w:vAlign w:val="bottom"/>
          </w:tcPr>
          <w:p>
            <w:pPr>
              <w:spacing w:after="0"/>
              <w:rPr>
                <w:sz w:val="17"/>
                <w:szCs w:val="17"/>
                <w:color w:val="auto"/>
              </w:rPr>
            </w:pPr>
          </w:p>
        </w:tc>
        <w:tc>
          <w:tcPr>
            <w:tcW w:w="1020" w:type="dxa"/>
            <w:vAlign w:val="bottom"/>
          </w:tcPr>
          <w:p>
            <w:pPr>
              <w:jc w:val="right"/>
              <w:ind w:right="44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40"/>
              <w:spacing w:after="0"/>
              <w:rPr>
                <w:sz w:val="20"/>
                <w:szCs w:val="20"/>
                <w:color w:val="auto"/>
              </w:rPr>
            </w:pPr>
            <w:r>
              <w:rPr>
                <w:rFonts w:ascii="Arial" w:cs="Arial" w:eastAsia="Arial" w:hAnsi="Arial"/>
                <w:sz w:val="13"/>
                <w:szCs w:val="13"/>
                <w:b w:val="1"/>
                <w:bCs w:val="1"/>
                <w:color w:val="auto"/>
              </w:rPr>
              <w:t>2022</w:t>
            </w:r>
          </w:p>
        </w:tc>
      </w:tr>
      <w:tr>
        <w:trPr>
          <w:trHeight w:val="20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facilities:</w:t>
            </w:r>
          </w:p>
        </w:tc>
        <w:tc>
          <w:tcPr>
            <w:tcW w:w="6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4740" w:type="dxa"/>
            <w:vAlign w:val="bottom"/>
          </w:tcPr>
          <w:p>
            <w:pPr>
              <w:ind w:left="240"/>
              <w:spacing w:after="0"/>
              <w:rPr>
                <w:sz w:val="20"/>
                <w:szCs w:val="20"/>
                <w:color w:val="auto"/>
              </w:rPr>
            </w:pPr>
            <w:r>
              <w:rPr>
                <w:rFonts w:ascii="Arial" w:cs="Arial" w:eastAsia="Arial" w:hAnsi="Arial"/>
                <w:sz w:val="16"/>
                <w:szCs w:val="16"/>
                <w:color w:val="auto"/>
              </w:rPr>
              <w:t>2021 Term Loan B-1</w:t>
            </w:r>
          </w:p>
        </w:tc>
        <w:tc>
          <w:tcPr>
            <w:tcW w:w="1760" w:type="dxa"/>
            <w:vAlign w:val="bottom"/>
            <w:gridSpan w:val="3"/>
          </w:tcPr>
          <w:p>
            <w:pPr>
              <w:ind w:left="420"/>
              <w:spacing w:after="0" w:line="216" w:lineRule="exact"/>
              <w:rPr>
                <w:sz w:val="20"/>
                <w:szCs w:val="20"/>
                <w:color w:val="auto"/>
              </w:rPr>
            </w:pPr>
            <w:r>
              <w:rPr>
                <w:rFonts w:ascii="Arial" w:cs="Arial" w:eastAsia="Arial" w:hAnsi="Arial"/>
                <w:sz w:val="16"/>
                <w:szCs w:val="16"/>
                <w:color w:val="auto"/>
              </w:rPr>
              <w:t>S</w:t>
            </w:r>
            <w:r>
              <w:rPr>
                <w:rFonts w:ascii="Arial" w:cs="Arial" w:eastAsia="Arial" w:hAnsi="Arial"/>
                <w:sz w:val="21"/>
                <w:szCs w:val="21"/>
                <w:color w:val="auto"/>
                <w:vertAlign w:val="superscript"/>
              </w:rPr>
              <w:t>(1)</w:t>
            </w:r>
            <w:r>
              <w:rPr>
                <w:rFonts w:ascii="Arial" w:cs="Arial" w:eastAsia="Arial" w:hAnsi="Arial"/>
                <w:sz w:val="16"/>
                <w:szCs w:val="16"/>
                <w:color w:val="auto"/>
              </w:rPr>
              <w:t>+3.50%</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December 2027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392,015</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397,940</w:t>
            </w:r>
          </w:p>
        </w:tc>
      </w:tr>
      <w:tr>
        <w:trPr>
          <w:trHeight w:val="216"/>
        </w:trPr>
        <w:tc>
          <w:tcPr>
            <w:tcW w:w="4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2021 Term Loan B-2</w:t>
            </w:r>
          </w:p>
        </w:tc>
        <w:tc>
          <w:tcPr>
            <w:tcW w:w="1760" w:type="dxa"/>
            <w:vAlign w:val="bottom"/>
            <w:gridSpan w:val="3"/>
            <w:shd w:val="clear" w:color="auto" w:fill="CCEEFF"/>
          </w:tcPr>
          <w:p>
            <w:pPr>
              <w:ind w:left="420"/>
              <w:spacing w:after="0" w:line="216" w:lineRule="exact"/>
              <w:rPr>
                <w:sz w:val="20"/>
                <w:szCs w:val="20"/>
                <w:color w:val="auto"/>
              </w:rPr>
            </w:pPr>
            <w:r>
              <w:rPr>
                <w:rFonts w:ascii="Arial" w:cs="Arial" w:eastAsia="Arial" w:hAnsi="Arial"/>
                <w:sz w:val="16"/>
                <w:szCs w:val="16"/>
                <w:color w:val="auto"/>
              </w:rPr>
              <w:t>S</w:t>
            </w:r>
            <w:r>
              <w:rPr>
                <w:rFonts w:ascii="Arial" w:cs="Arial" w:eastAsia="Arial" w:hAnsi="Arial"/>
                <w:sz w:val="21"/>
                <w:szCs w:val="21"/>
                <w:color w:val="auto"/>
                <w:vertAlign w:val="superscript"/>
              </w:rPr>
              <w:t>(1)</w:t>
            </w:r>
            <w:r>
              <w:rPr>
                <w:rFonts w:ascii="Arial" w:cs="Arial" w:eastAsia="Arial" w:hAnsi="Arial"/>
                <w:sz w:val="16"/>
                <w:szCs w:val="16"/>
                <w:color w:val="auto"/>
              </w:rPr>
              <w:t>+3.50%</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2027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614,151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634,340</w:t>
            </w: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2022 Term Loan B-1</w:t>
            </w:r>
          </w:p>
        </w:tc>
        <w:tc>
          <w:tcPr>
            <w:tcW w:w="640" w:type="dxa"/>
            <w:vAlign w:val="bottom"/>
          </w:tcPr>
          <w:p>
            <w:pPr>
              <w:jc w:val="right"/>
              <w:spacing w:after="0" w:line="216" w:lineRule="exact"/>
              <w:rPr>
                <w:sz w:val="20"/>
                <w:szCs w:val="20"/>
                <w:color w:val="auto"/>
              </w:rPr>
            </w:pPr>
            <w:r>
              <w:rPr>
                <w:rFonts w:ascii="Arial" w:cs="Arial" w:eastAsia="Arial" w:hAnsi="Arial"/>
                <w:sz w:val="25"/>
                <w:szCs w:val="25"/>
                <w:color w:val="auto"/>
                <w:vertAlign w:val="subscript"/>
              </w:rPr>
              <w:t>S</w:t>
            </w:r>
            <w:r>
              <w:rPr>
                <w:rFonts w:ascii="Arial" w:cs="Arial" w:eastAsia="Arial" w:hAnsi="Arial"/>
                <w:sz w:val="9"/>
                <w:szCs w:val="9"/>
                <w:color w:val="auto"/>
              </w:rPr>
              <w:t>(1)</w:t>
            </w:r>
          </w:p>
        </w:tc>
        <w:tc>
          <w:tcPr>
            <w:tcW w:w="1000" w:type="dxa"/>
            <w:vAlign w:val="bottom"/>
          </w:tcPr>
          <w:p>
            <w:pPr>
              <w:ind w:left="20"/>
              <w:spacing w:after="0"/>
              <w:rPr>
                <w:sz w:val="20"/>
                <w:szCs w:val="20"/>
                <w:color w:val="auto"/>
              </w:rPr>
            </w:pPr>
            <w:r>
              <w:rPr>
                <w:rFonts w:ascii="Arial" w:cs="Arial" w:eastAsia="Arial" w:hAnsi="Arial"/>
                <w:sz w:val="16"/>
                <w:szCs w:val="16"/>
                <w:color w:val="auto"/>
              </w:rPr>
              <w:t>+ 4.25%</w:t>
            </w: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rPr>
              <w:t>June 2028</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603,447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620,313</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2022 Term Loan B-2</w:t>
            </w:r>
          </w:p>
        </w:tc>
        <w:tc>
          <w:tcPr>
            <w:tcW w:w="640" w:type="dxa"/>
            <w:vAlign w:val="bottom"/>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S</w:t>
            </w:r>
            <w:r>
              <w:rPr>
                <w:rFonts w:ascii="Arial" w:cs="Arial" w:eastAsia="Arial" w:hAnsi="Arial"/>
                <w:sz w:val="9"/>
                <w:szCs w:val="9"/>
                <w:color w:val="auto"/>
              </w:rPr>
              <w:t>(1)</w:t>
            </w:r>
          </w:p>
        </w:tc>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+ 5.00%</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645,310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673,313</w:t>
            </w: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color w:val="auto"/>
              </w:rPr>
              <w:t>Senior Secured Term Loan Due 2028</w:t>
            </w:r>
          </w:p>
        </w:tc>
        <w:tc>
          <w:tcPr>
            <w:tcW w:w="640" w:type="dxa"/>
            <w:vAlign w:val="bottom"/>
          </w:tcPr>
          <w:p>
            <w:pPr>
              <w:jc w:val="right"/>
              <w:spacing w:after="0" w:line="216" w:lineRule="exact"/>
              <w:rPr>
                <w:sz w:val="20"/>
                <w:szCs w:val="20"/>
                <w:color w:val="auto"/>
              </w:rPr>
            </w:pPr>
            <w:r>
              <w:rPr>
                <w:rFonts w:ascii="Arial" w:cs="Arial" w:eastAsia="Arial" w:hAnsi="Arial"/>
                <w:sz w:val="25"/>
                <w:szCs w:val="25"/>
                <w:color w:val="auto"/>
                <w:vertAlign w:val="subscript"/>
              </w:rPr>
              <w:t>RR</w:t>
            </w:r>
            <w:r>
              <w:rPr>
                <w:rFonts w:ascii="Arial" w:cs="Arial" w:eastAsia="Arial" w:hAnsi="Arial"/>
                <w:sz w:val="9"/>
                <w:szCs w:val="9"/>
                <w:color w:val="auto"/>
              </w:rPr>
              <w:t>(3)</w:t>
            </w:r>
          </w:p>
        </w:tc>
        <w:tc>
          <w:tcPr>
            <w:tcW w:w="1000" w:type="dxa"/>
            <w:vAlign w:val="bottom"/>
          </w:tcPr>
          <w:p>
            <w:pPr>
              <w:ind w:left="20"/>
              <w:spacing w:after="0" w:line="216" w:lineRule="exact"/>
              <w:rPr>
                <w:sz w:val="20"/>
                <w:szCs w:val="20"/>
                <w:color w:val="auto"/>
              </w:rPr>
            </w:pPr>
            <w:r>
              <w:rPr>
                <w:rFonts w:ascii="Arial" w:cs="Arial" w:eastAsia="Arial" w:hAnsi="Arial"/>
                <w:sz w:val="16"/>
                <w:szCs w:val="16"/>
                <w:color w:val="auto"/>
              </w:rPr>
              <w:t>+ 1.75%</w:t>
            </w:r>
            <w:r>
              <w:rPr>
                <w:rFonts w:ascii="Arial" w:cs="Arial" w:eastAsia="Arial" w:hAnsi="Arial"/>
                <w:sz w:val="21"/>
                <w:szCs w:val="21"/>
                <w:color w:val="auto"/>
                <w:vertAlign w:val="superscript"/>
              </w:rPr>
              <w:t>(4)</w:t>
            </w:r>
          </w:p>
        </w:tc>
        <w:tc>
          <w:tcPr>
            <w:tcW w:w="1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December 2028</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753,859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AR Facility</w:t>
            </w:r>
            <w:r>
              <w:rPr>
                <w:rFonts w:ascii="Arial" w:cs="Arial" w:eastAsia="Arial" w:hAnsi="Arial"/>
                <w:sz w:val="21"/>
                <w:szCs w:val="21"/>
                <w:color w:val="auto"/>
                <w:vertAlign w:val="superscript"/>
              </w:rPr>
              <w:t>(2)</w:t>
            </w:r>
          </w:p>
        </w:tc>
        <w:tc>
          <w:tcPr>
            <w:tcW w:w="640" w:type="dxa"/>
            <w:vAlign w:val="bottom"/>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S</w:t>
            </w:r>
            <w:r>
              <w:rPr>
                <w:rFonts w:ascii="Arial" w:cs="Arial" w:eastAsia="Arial" w:hAnsi="Arial"/>
                <w:sz w:val="9"/>
                <w:szCs w:val="9"/>
                <w:color w:val="auto"/>
              </w:rPr>
              <w:t>(1)</w:t>
            </w:r>
          </w:p>
        </w:tc>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+ 2.25%</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2025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9.250% senior secured notes due 2025</w:t>
            </w:r>
          </w:p>
        </w:tc>
        <w:tc>
          <w:tcPr>
            <w:tcW w:w="1640" w:type="dxa"/>
            <w:vAlign w:val="bottom"/>
            <w:gridSpan w:val="2"/>
          </w:tcPr>
          <w:p>
            <w:pPr>
              <w:jc w:val="center"/>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April 2025</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38,895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775,000</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7.375% senior secured notes due 2025</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7.375%</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September 2025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63,019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850,000</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4.00% senior exchangeable notes due 2025</w:t>
            </w:r>
          </w:p>
        </w:tc>
        <w:tc>
          <w:tcPr>
            <w:tcW w:w="1640" w:type="dxa"/>
            <w:vAlign w:val="bottom"/>
            <w:gridSpan w:val="2"/>
          </w:tcPr>
          <w:p>
            <w:pPr>
              <w:jc w:val="center"/>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April 2025</w:t>
            </w: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333,220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333,220</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8.625% senior secured notes due 2027</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8.625%</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852,987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11.25% senior secured notes due 2027</w:t>
            </w:r>
          </w:p>
        </w:tc>
        <w:tc>
          <w:tcPr>
            <w:tcW w:w="16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9"/>
              </w:rPr>
              <w:t>11.25%</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December 2027</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555,000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555,000</w:t>
            </w:r>
          </w:p>
        </w:tc>
      </w:tr>
      <w:tr>
        <w:trPr>
          <w:trHeight w:val="210"/>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Face value of total debt outstanding</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4,961,903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4,839,126</w:t>
            </w: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debt outstanding</w:t>
            </w:r>
          </w:p>
        </w:tc>
        <w:tc>
          <w:tcPr>
            <w:tcW w:w="6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(23,480)</w:t>
            </w:r>
          </w:p>
        </w:tc>
      </w:tr>
      <w:tr>
        <w:trPr>
          <w:trHeight w:val="235"/>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Face value of long-term debt outstanding</w:t>
            </w:r>
          </w:p>
        </w:tc>
        <w:tc>
          <w:tcPr>
            <w:tcW w:w="6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4,957,863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4,815,646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_____________________________</w:t>
      </w:r>
    </w:p>
    <w:p>
      <w:pPr>
        <w:spacing w:after="0" w:line="4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9"/>
          <w:szCs w:val="9"/>
          <w:color w:val="auto"/>
        </w:rPr>
      </w:pPr>
      <w:r>
        <w:rPr>
          <w:rFonts w:ascii="Arial" w:cs="Arial" w:eastAsia="Arial" w:hAnsi="Arial"/>
          <w:sz w:val="14"/>
          <w:szCs w:val="14"/>
          <w:color w:val="auto"/>
        </w:rPr>
        <w:t>Represents the Secured Overnight Financing Rate ("SOFR").</w:t>
      </w:r>
    </w:p>
    <w:p>
      <w:pPr>
        <w:spacing w:after="0" w:line="28" w:lineRule="exact"/>
        <w:rPr>
          <w:rFonts w:ascii="Arial" w:cs="Arial" w:eastAsia="Arial" w:hAnsi="Arial"/>
          <w:sz w:val="9"/>
          <w:szCs w:val="9"/>
          <w:color w:val="auto"/>
        </w:rPr>
      </w:pPr>
    </w:p>
    <w:p>
      <w:pPr>
        <w:ind w:left="320" w:hanging="312"/>
        <w:spacing w:after="0" w:line="192" w:lineRule="auto"/>
        <w:tabs>
          <w:tab w:leader="none" w:pos="32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AR Facility (as defined below) is subject to certain "springing" maturity conditions; the maturity may extend to February 2026 at the latest.</w:t>
      </w:r>
    </w:p>
    <w:p>
      <w:pPr>
        <w:ind w:left="320" w:hanging="312"/>
        <w:spacing w:after="0" w:line="192" w:lineRule="auto"/>
        <w:tabs>
          <w:tab w:leader="none" w:pos="32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Represents the Reference Rate as defined below.</w:t>
      </w:r>
    </w:p>
    <w:p>
      <w:pPr>
        <w:ind w:left="320" w:hanging="312"/>
        <w:spacing w:after="0" w:line="193" w:lineRule="auto"/>
        <w:tabs>
          <w:tab w:leader="none" w:pos="32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At our election, if interest is paid in cash the spread is 0.25% per annum, and in the case of interest paid-in-kind the spread is 1.75%.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8" w:name="page79"/>
    <w:bookmarkEnd w:id="78"/>
    <w:p>
      <w:pPr>
        <w:jc w:val="both"/>
        <w:ind w:right="20" w:firstLine="486"/>
        <w:spacing w:after="0" w:line="286" w:lineRule="auto"/>
        <w:rPr>
          <w:sz w:val="20"/>
          <w:szCs w:val="20"/>
          <w:color w:val="auto"/>
        </w:rPr>
      </w:pPr>
      <w:r>
        <w:rPr>
          <w:rFonts w:ascii="Arial" w:cs="Arial" w:eastAsia="Arial" w:hAnsi="Arial"/>
          <w:sz w:val="16"/>
          <w:szCs w:val="16"/>
          <w:color w:val="auto"/>
        </w:rPr>
        <w:t>We had outstanding letters of credit totaling $12 million as of December 31, 2023 and 2022, which were secured by a $21 million cash collateral deposit account.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Refinancing Transactions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2022, we entered into three separate transactions to refinance the entire $1.8 billion of our then-outstanding Term Loan B facility due in February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2024.</w:t>
      </w:r>
    </w:p>
    <w:p>
      <w:pPr>
        <w:spacing w:after="0" w:line="9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March 9, 2022, we entered into an amendment to refinance a portion of our then-outstanding Term Loan B facility (the "March 2022 Refinancing"). Our Senior Secured Credit Facility is governed by the Amended and Restated Credit Agreement. We incurred no additional indebtedness as a result of the March 2022 Refinancing, other than amounts covering discounts and certain fees and expenses. The March 2022 Refinancing included the application of the proceeds of a new $625 million term loan “B” facility (the “2022 Term Loan B-1 Facility”), borrowed by Sabre GLBL under our Amended and Restated Credit Agreement, with the effect of extending the maturity of approximately $623 million of the existing Term Loan B credit facility under the Amended and Restated Credit Agreement. The remaining proceeds, net of a discount of $1 million, were used to pay $1 million in other fees and expenses. We incurred an additional discount of $5 million and other fees of $3 million which were funded with cash on hand. We recognized a loss on extinguishment of debt in connection with the March 2022 Refinancing during the year ended December 31, 2022, of $4 million and debt modification costs for financing fees of $1 million recorded to Other, net. The 2022 Term Loan B-1 Facility matures on June 30, 2028 and offers us the ability to prepay or repay the 2022 Term Loan B-1 Facility after 12 months or to prepay or repay at a 101 premium before that date. The interest rates on the 2022 Term Loan B-1 Facility are based on Term SOFR, replacing LIBOR, plus an applicable margin.</w:t>
      </w:r>
    </w:p>
    <w:p>
      <w:pPr>
        <w:spacing w:after="0" w:line="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On August 15, 2022, we entered into an amendment to refinance a portion of our then-outstanding Term Loan B facility (the "August 2022 Refinancing"). We incurred no additional indebtedness as a result of the August 2022 Refinancing, other than amounts covering discounts and certain fees and expenses. The August 2022 Refinancing included the application of the proceeds of a new $675 million term loan “B” facility (the “2022 Term Loan B-2 Facility”), borrowed by Sabre GLBL under our Amended and Restated Credit Agreement, with the effect of extending the maturity of approximately $647 million of the existing Term Loan B credit facility under the Amended and Restated Credit Agreement. The remaining proceeds, net of a discount of $25 million, were used to pay $3 million in other fees and expenses. We incurred an additional discount of $9 million and other fees of $2 million which were funded with cash on hand. We recognized debt modification costs for financing fees in connection with the August 2022 Refinancing during the year ended December 31, 2022 of $5 million recorded to Other, net. No loss on extinguishment of debt was recorded as a result of the August 2022 Refinancing. The 2022 Term Loan B-2 Facility matures on June 30, 2028 and offers us the ability to prepay or repay the 2022 Term Loan B-2 Facility after 12 months or to prepay or repay at a 101 premium before that date. The interest rates on the 2022 Term Loan B-2 Facility are based on Term SOFR, replacing LIBOR, plus an applicable margin.</w:t>
      </w:r>
    </w:p>
    <w:p>
      <w:pPr>
        <w:spacing w:after="0" w:line="28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December 6, 2022, we used the proceeds of the December 2027 Notes (as defined below) issuance to redeem the remaining principal balance on the then-outstanding Term Loan B of $536 million, plus $1 million of accrued interest (the “December 2022 Refinancing”). We recognized a loss on extinguishment of debt of $1 million during the year ended December 31, 2022 in connection the December 2022 Refinancing, which consisted of the write-off of unamortized debt issuance costs and discount of $1 million.</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Principal Payments</w:t>
      </w:r>
    </w:p>
    <w:p>
      <w:pPr>
        <w:spacing w:after="0" w:line="1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2021 Term Loan B-1 and the 2021 Term Loan B-2 mature on December 17, 2027 and require principal payments in equal quarterly installments of 0.25% through to the maturity date on which the remaining balance is due. As required under the terms of the credit facility, we used proceeds of $16 million from the sale of AirCentre assets to pay down the principal on the 2021 Term Loan B-2 in May 2023, which resulted in the deferral of principal payments until September 2025. The 2022 Term Loan B-1 and the 2022 Term Loan B-2 mature on June 30, 2028 and require principal payments in equal quarterly installments of 0.25% through to the maturity date on which the remaining balance is due. As required under the terms of the credit facility, we used proceeds of $32 million from the sale of AirCentre assets to pay down the principal on the 2022 Term Loan B-1 and 2022 Term Loan B-2 in May 2023, as well as refinanced the 2022 Term Loan B-2 in June 2023, which resulted in the deferral of principal payments until September 2025 and March 2027, respectively. For the year ended December 31, 2023, we made $9 million of scheduled principal payments.</w:t>
      </w:r>
    </w:p>
    <w:p>
      <w:pPr>
        <w:spacing w:after="0" w:line="84"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are also required to pay down the term loans by an amount equal to 50% of annual excess cash flow, as defined in the Amended and Restated Credit Agreement. This percentage requirement may decrease or be eliminated if certain leverage ratios are achieved. Based on our results for the year ended December 31, 2022, we were not required to make an excess cash flow payment in 2023, and no excess cash flow payment is expected to be required in 2024 with respect to our results for the year ended December 31, 2023. We are further required to pay down the term loan with proceeds from certain asset sales or borrowings as defined in the Amended and Restated Credit Agreement.</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Financial Covenants</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restrictions on incurring certain types of indebtedness, creation of liens on certain assets, making of certain investments, and payment of dividends. We are further required to pay down the term loans with proceeds from certain asset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6"/>
          <w:szCs w:val="16"/>
          <w:color w:val="auto"/>
        </w:rPr>
        <w:t>sales, if not reinvested into the business within 15 months, as defined in the Amended and Restated Credit Agreement. As of December 31, 2023, we are in compliance with all covenants under the terms of the Amended and Restated Credit Agreement.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May 16, 2023, Sabre GLBL entered into Amendment No. 5 to the Credit Agreement (the "SOFR Amendment"). The SOFR Amendment was entered into pursuant to the Amended and Restated Credit Agreement, dated as of February 19, 2013. The SOFR Amendment provides for the replacement of LIBOR-based rates with a SOFR-based rate for the 2021 Term Loan B-1 and 2021 Term Loan B-2 and amends certain provisions of the Credit Agreement. The change from LIBOR to SOFR is due to the reference rate reform and the phasing out of LIBOR as a loan benchmark. The adoption of the SOFR Amendment did not have a material impact on our financial position or results of operations.</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Borrowings under the Amended and Restated Credit Agreement for our 2021 Term Loan B-1, 2021 Term Loan B-2, 2022 Term Loan B-1 and 2022 Term Loan B-2 bear interest at a rate equal to either, at our option: (i) the Term SOFR rate plus an applicable margin for Term SOFR borrowings as set forth below, or (ii) a base rate determined by the highest of (1) the prime rate of Bank of America, (2) the federal funds effective rate plus 1/2% or (3) Term SOFR plus 1.00%, plus an applicable margin for base rate borrowings as set forth below. The Term SOFR rate is based on SOFR for all U.S. dollar borrowings and has a floor. We have elected the one-month SOFR as the floating interest rate on our outstanding term loans that are subject to SOFR. Interest payments are due on the last day of each month as a result of electing one-month SOFR.</w:t>
      </w:r>
    </w:p>
    <w:p>
      <w:pPr>
        <w:spacing w:after="0" w:line="146" w:lineRule="exact"/>
        <w:rPr>
          <w:sz w:val="20"/>
          <w:szCs w:val="20"/>
          <w:color w:val="auto"/>
        </w:rPr>
      </w:pPr>
    </w:p>
    <w:tbl>
      <w:tblPr>
        <w:tblLayout w:type="fixed"/>
        <w:tblInd w:w="1780"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Term SOFR borrowings</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Base rate borrowings</w:t>
            </w:r>
          </w:p>
        </w:tc>
      </w:tr>
      <w:tr>
        <w:trPr>
          <w:trHeight w:val="220"/>
        </w:trPr>
        <w:tc>
          <w:tcPr>
            <w:tcW w:w="3640" w:type="dxa"/>
            <w:vAlign w:val="bottom"/>
          </w:tcPr>
          <w:p>
            <w:pPr>
              <w:spacing w:after="0"/>
              <w:rPr>
                <w:sz w:val="19"/>
                <w:szCs w:val="19"/>
                <w:color w:val="auto"/>
              </w:rPr>
            </w:pPr>
          </w:p>
        </w:tc>
        <w:tc>
          <w:tcPr>
            <w:tcW w:w="2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Applicable Margin</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Applicable Margin</w:t>
            </w:r>
          </w:p>
        </w:tc>
      </w:tr>
      <w:tr>
        <w:trPr>
          <w:trHeight w:val="308"/>
        </w:trPr>
        <w:tc>
          <w:tcPr>
            <w:tcW w:w="3640" w:type="dxa"/>
            <w:vAlign w:val="bottom"/>
          </w:tcPr>
          <w:p>
            <w:pPr>
              <w:spacing w:after="0"/>
              <w:rPr>
                <w:sz w:val="20"/>
                <w:szCs w:val="20"/>
                <w:color w:val="auto"/>
              </w:rPr>
            </w:pPr>
            <w:r>
              <w:rPr>
                <w:rFonts w:ascii="Arial" w:cs="Arial" w:eastAsia="Arial" w:hAnsi="Arial"/>
                <w:sz w:val="16"/>
                <w:szCs w:val="16"/>
                <w:color w:val="auto"/>
              </w:rPr>
              <w:t>2021 Term Loan B-1</w:t>
            </w: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3.50%</w:t>
            </w:r>
            <w:r>
              <w:rPr>
                <w:rFonts w:ascii="Arial" w:cs="Arial" w:eastAsia="Arial" w:hAnsi="Arial"/>
                <w:sz w:val="21"/>
                <w:szCs w:val="21"/>
                <w:color w:val="auto"/>
                <w:w w:val="92"/>
                <w:vertAlign w:val="superscript"/>
              </w:rPr>
              <w:t>(1)</w:t>
            </w:r>
          </w:p>
        </w:tc>
        <w:tc>
          <w:tcPr>
            <w:tcW w:w="24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2.50%</w:t>
            </w:r>
            <w:r>
              <w:rPr>
                <w:rFonts w:ascii="Arial" w:cs="Arial" w:eastAsia="Arial" w:hAnsi="Arial"/>
                <w:sz w:val="21"/>
                <w:szCs w:val="21"/>
                <w:color w:val="auto"/>
                <w:w w:val="92"/>
                <w:vertAlign w:val="superscript"/>
              </w:rPr>
              <w:t>(1)</w:t>
            </w:r>
          </w:p>
        </w:tc>
      </w:tr>
      <w:tr>
        <w:trPr>
          <w:trHeight w:val="24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2021 Term Loan B-2</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r>
              <w:rPr>
                <w:rFonts w:ascii="Arial" w:cs="Arial" w:eastAsia="Arial" w:hAnsi="Arial"/>
                <w:sz w:val="21"/>
                <w:szCs w:val="21"/>
                <w:color w:val="auto"/>
                <w:w w:val="92"/>
                <w:vertAlign w:val="superscript"/>
              </w:rPr>
              <w:t>(1)</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2.50%</w:t>
            </w:r>
            <w:r>
              <w:rPr>
                <w:rFonts w:ascii="Arial" w:cs="Arial" w:eastAsia="Arial" w:hAnsi="Arial"/>
                <w:sz w:val="21"/>
                <w:szCs w:val="21"/>
                <w:color w:val="auto"/>
                <w:w w:val="92"/>
                <w:vertAlign w:val="superscript"/>
              </w:rPr>
              <w:t>(1)</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2022 Term Loan B-1</w:t>
            </w:r>
          </w:p>
        </w:tc>
        <w:tc>
          <w:tcPr>
            <w:tcW w:w="2140" w:type="dxa"/>
            <w:vAlign w:val="bottom"/>
          </w:tcPr>
          <w:p>
            <w:pPr>
              <w:jc w:val="center"/>
              <w:spacing w:after="0" w:line="216" w:lineRule="exact"/>
              <w:rPr>
                <w:sz w:val="20"/>
                <w:szCs w:val="20"/>
                <w:color w:val="auto"/>
              </w:rPr>
            </w:pPr>
            <w:r>
              <w:rPr>
                <w:rFonts w:ascii="Arial" w:cs="Arial" w:eastAsia="Arial" w:hAnsi="Arial"/>
                <w:sz w:val="16"/>
                <w:szCs w:val="16"/>
                <w:color w:val="auto"/>
                <w:w w:val="92"/>
              </w:rPr>
              <w:t>4.25%</w:t>
            </w:r>
            <w:r>
              <w:rPr>
                <w:rFonts w:ascii="Arial" w:cs="Arial" w:eastAsia="Arial" w:hAnsi="Arial"/>
                <w:sz w:val="21"/>
                <w:szCs w:val="21"/>
                <w:color w:val="auto"/>
                <w:w w:val="92"/>
                <w:vertAlign w:val="superscript"/>
              </w:rPr>
              <w:t>(2)</w:t>
            </w:r>
          </w:p>
        </w:tc>
        <w:tc>
          <w:tcPr>
            <w:tcW w:w="240" w:type="dxa"/>
            <w:vAlign w:val="bottom"/>
          </w:tcPr>
          <w:p>
            <w:pPr>
              <w:spacing w:after="0"/>
              <w:rPr>
                <w:sz w:val="18"/>
                <w:szCs w:val="18"/>
                <w:color w:val="auto"/>
              </w:rPr>
            </w:pPr>
          </w:p>
        </w:tc>
        <w:tc>
          <w:tcPr>
            <w:tcW w:w="1680" w:type="dxa"/>
            <w:vAlign w:val="bottom"/>
          </w:tcPr>
          <w:p>
            <w:pPr>
              <w:jc w:val="center"/>
              <w:spacing w:after="0" w:line="216" w:lineRule="exact"/>
              <w:rPr>
                <w:sz w:val="20"/>
                <w:szCs w:val="20"/>
                <w:color w:val="auto"/>
              </w:rPr>
            </w:pPr>
            <w:r>
              <w:rPr>
                <w:rFonts w:ascii="Arial" w:cs="Arial" w:eastAsia="Arial" w:hAnsi="Arial"/>
                <w:sz w:val="16"/>
                <w:szCs w:val="16"/>
                <w:color w:val="auto"/>
                <w:w w:val="92"/>
              </w:rPr>
              <w:t>3.25%</w:t>
            </w:r>
            <w:r>
              <w:rPr>
                <w:rFonts w:ascii="Arial" w:cs="Arial" w:eastAsia="Arial" w:hAnsi="Arial"/>
                <w:sz w:val="21"/>
                <w:szCs w:val="21"/>
                <w:color w:val="auto"/>
                <w:w w:val="92"/>
                <w:vertAlign w:val="superscript"/>
              </w:rPr>
              <w:t>(2)</w:t>
            </w:r>
          </w:p>
        </w:tc>
      </w:tr>
      <w:tr>
        <w:trPr>
          <w:trHeight w:val="24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2022 Term Loan B-2</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5.00%</w:t>
            </w:r>
            <w:r>
              <w:rPr>
                <w:rFonts w:ascii="Arial" w:cs="Arial" w:eastAsia="Arial" w:hAnsi="Arial"/>
                <w:sz w:val="21"/>
                <w:szCs w:val="21"/>
                <w:color w:val="auto"/>
                <w:w w:val="92"/>
                <w:vertAlign w:val="superscript"/>
              </w:rPr>
              <w:t>(2)</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4.00%</w:t>
            </w:r>
            <w:r>
              <w:rPr>
                <w:rFonts w:ascii="Arial" w:cs="Arial" w:eastAsia="Arial" w:hAnsi="Arial"/>
                <w:sz w:val="21"/>
                <w:szCs w:val="21"/>
                <w:color w:val="auto"/>
                <w:w w:val="92"/>
                <w:vertAlign w:val="superscript"/>
              </w:rPr>
              <w:t>(2)</w:t>
            </w:r>
          </w:p>
        </w:tc>
      </w:tr>
    </w:tbl>
    <w:p>
      <w:pPr>
        <w:spacing w:after="0" w:line="190" w:lineRule="exact"/>
        <w:rPr>
          <w:sz w:val="20"/>
          <w:szCs w:val="20"/>
          <w:color w:val="auto"/>
        </w:rPr>
      </w:pPr>
    </w:p>
    <w:p>
      <w:pPr>
        <w:ind w:left="500"/>
        <w:spacing w:after="0"/>
        <w:rPr>
          <w:sz w:val="20"/>
          <w:szCs w:val="20"/>
          <w:color w:val="auto"/>
        </w:rPr>
      </w:pPr>
      <w:r>
        <w:rPr>
          <w:rFonts w:ascii="Arial" w:cs="Arial" w:eastAsia="Arial" w:hAnsi="Arial"/>
          <w:sz w:val="5"/>
          <w:szCs w:val="5"/>
          <w:color w:val="auto"/>
        </w:rPr>
        <w:t>_____________________________</w:t>
      </w:r>
    </w:p>
    <w:p>
      <w:pPr>
        <w:spacing w:after="0" w:line="13" w:lineRule="exact"/>
        <w:rPr>
          <w:sz w:val="20"/>
          <w:szCs w:val="20"/>
          <w:color w:val="auto"/>
        </w:rPr>
      </w:pPr>
    </w:p>
    <w:p>
      <w:pPr>
        <w:ind w:left="660" w:hanging="328"/>
        <w:spacing w:after="0" w:line="217" w:lineRule="auto"/>
        <w:tabs>
          <w:tab w:leader="none" w:pos="653"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2021 Term Loan B-1 and 2021 Term Loan B-2 are subject to a 0.50% floor and a SOFR adjustment factor of 0.11% for the Term SOFR rate and 1.50% floor for the base rate</w:t>
      </w:r>
    </w:p>
    <w:p>
      <w:pPr>
        <w:spacing w:after="0" w:line="1" w:lineRule="exact"/>
        <w:rPr>
          <w:rFonts w:ascii="Arial" w:cs="Arial" w:eastAsia="Arial" w:hAnsi="Arial"/>
          <w:sz w:val="21"/>
          <w:szCs w:val="21"/>
          <w:color w:val="auto"/>
          <w:vertAlign w:val="superscript"/>
        </w:rPr>
      </w:pPr>
    </w:p>
    <w:p>
      <w:pPr>
        <w:ind w:left="660" w:hanging="328"/>
        <w:spacing w:after="0" w:line="201" w:lineRule="auto"/>
        <w:tabs>
          <w:tab w:leader="none" w:pos="653"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2022 Term Loan B-1 and 2022 Term Loan B-2 are subject to a 0.50% floor and a SOFR adjustment factor of 0.10% for the Term SOFR rate and 1.50% floor for the base rate.</w:t>
      </w:r>
    </w:p>
    <w:p>
      <w:pPr>
        <w:spacing w:after="0" w:line="90"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Our effective interest rates on borrowings under the Amended and Restated Credit Agreement for the years ended December 31, 2023, 2022 and 2021, inclusive of amounts charged to interest expense, are as follows: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5"/>
              </w:rPr>
              <w:t>Year Ended December 31,</w:t>
            </w:r>
          </w:p>
        </w:tc>
        <w:tc>
          <w:tcPr>
            <w:tcW w:w="1340" w:type="dxa"/>
            <w:vAlign w:val="bottom"/>
            <w:tcBorders>
              <w:bottom w:val="single" w:sz="8" w:color="auto"/>
            </w:tcBorders>
          </w:tcPr>
          <w:p>
            <w:pPr>
              <w:spacing w:after="0"/>
              <w:rPr>
                <w:sz w:val="15"/>
                <w:szCs w:val="15"/>
                <w:color w:val="auto"/>
              </w:rPr>
            </w:pPr>
          </w:p>
        </w:tc>
      </w:tr>
      <w:tr>
        <w:trPr>
          <w:trHeight w:val="196"/>
        </w:trPr>
        <w:tc>
          <w:tcPr>
            <w:tcW w:w="6980" w:type="dxa"/>
            <w:vAlign w:val="bottom"/>
          </w:tcPr>
          <w:p>
            <w:pPr>
              <w:spacing w:after="0"/>
              <w:rPr>
                <w:sz w:val="17"/>
                <w:szCs w:val="17"/>
                <w:color w:val="auto"/>
              </w:rPr>
            </w:pPr>
          </w:p>
        </w:tc>
        <w:tc>
          <w:tcPr>
            <w:tcW w:w="1320" w:type="dxa"/>
            <w:vAlign w:val="bottom"/>
          </w:tcPr>
          <w:p>
            <w:pPr>
              <w:jc w:val="right"/>
              <w:ind w:right="445"/>
              <w:spacing w:after="0"/>
              <w:rPr>
                <w:sz w:val="20"/>
                <w:szCs w:val="20"/>
                <w:color w:val="auto"/>
              </w:rPr>
            </w:pPr>
            <w:r>
              <w:rPr>
                <w:rFonts w:ascii="Arial" w:cs="Arial" w:eastAsia="Arial" w:hAnsi="Arial"/>
                <w:sz w:val="13"/>
                <w:szCs w:val="13"/>
                <w:b w:val="1"/>
                <w:bCs w:val="1"/>
                <w:color w:val="auto"/>
              </w:rPr>
              <w:t>2023</w:t>
            </w:r>
          </w:p>
        </w:tc>
        <w:tc>
          <w:tcPr>
            <w:tcW w:w="1440" w:type="dxa"/>
            <w:vAlign w:val="bottom"/>
            <w:gridSpan w:val="3"/>
          </w:tcPr>
          <w:p>
            <w:pPr>
              <w:jc w:val="right"/>
              <w:ind w:right="43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1340" w:type="dxa"/>
            <w:vAlign w:val="bottom"/>
          </w:tcPr>
          <w:p>
            <w:pPr>
              <w:jc w:val="right"/>
              <w:ind w:right="445"/>
              <w:spacing w:after="0"/>
              <w:rPr>
                <w:sz w:val="20"/>
                <w:szCs w:val="20"/>
                <w:color w:val="auto"/>
              </w:rPr>
            </w:pPr>
            <w:r>
              <w:rPr>
                <w:rFonts w:ascii="Arial" w:cs="Arial" w:eastAsia="Arial" w:hAnsi="Arial"/>
                <w:sz w:val="13"/>
                <w:szCs w:val="13"/>
                <w:b w:val="1"/>
                <w:bCs w:val="1"/>
                <w:color w:val="auto"/>
              </w:rPr>
              <w:t>2021</w:t>
            </w:r>
          </w:p>
        </w:tc>
      </w:tr>
      <w:tr>
        <w:trPr>
          <w:trHeight w:val="214"/>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Including the impact of interest rate swaps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9.93 %</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5.58 %</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3.91 %</w:t>
            </w:r>
          </w:p>
        </w:tc>
      </w:tr>
      <w:tr>
        <w:trPr>
          <w:trHeight w:val="215"/>
        </w:trPr>
        <w:tc>
          <w:tcPr>
            <w:tcW w:w="6980" w:type="dxa"/>
            <w:vAlign w:val="bottom"/>
          </w:tcPr>
          <w:p>
            <w:pPr>
              <w:spacing w:after="0"/>
              <w:rPr>
                <w:sz w:val="20"/>
                <w:szCs w:val="20"/>
                <w:color w:val="auto"/>
              </w:rPr>
            </w:pPr>
            <w:r>
              <w:rPr>
                <w:rFonts w:ascii="Arial" w:cs="Arial" w:eastAsia="Arial" w:hAnsi="Arial"/>
                <w:sz w:val="16"/>
                <w:szCs w:val="16"/>
                <w:color w:val="auto"/>
              </w:rPr>
              <w:t>Excluding the impact of interest rate swaps</w:t>
            </w:r>
          </w:p>
        </w:tc>
        <w:tc>
          <w:tcPr>
            <w:tcW w:w="1320" w:type="dxa"/>
            <w:vAlign w:val="bottom"/>
          </w:tcPr>
          <w:p>
            <w:pPr>
              <w:jc w:val="right"/>
              <w:spacing w:after="0"/>
              <w:rPr>
                <w:sz w:val="20"/>
                <w:szCs w:val="20"/>
                <w:color w:val="auto"/>
              </w:rPr>
            </w:pPr>
            <w:r>
              <w:rPr>
                <w:rFonts w:ascii="Arial" w:cs="Arial" w:eastAsia="Arial" w:hAnsi="Arial"/>
                <w:sz w:val="16"/>
                <w:szCs w:val="16"/>
                <w:color w:val="auto"/>
              </w:rPr>
              <w:t>10.21 %</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5.62 %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3.33 %</w:t>
            </w:r>
          </w:p>
        </w:tc>
      </w:tr>
    </w:tbl>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Term Loan Due 2028</w:t>
      </w:r>
    </w:p>
    <w:p>
      <w:pPr>
        <w:spacing w:after="0" w:line="111"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On June 13, 2023, Sabre Financial Borrower, LLC (“Sabre FB”), our indirect, consolidated subsidiary entered into a series of transactions including a new term loan credit agreement with certain lenders (the "2023 Term Loan Agreement") and an intercompany secured term loan agreement (the "Pari Passu Loan Agreement").</w:t>
      </w:r>
    </w:p>
    <w:p>
      <w:pPr>
        <w:spacing w:after="0" w:line="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The 2023 Term Loan Agreement provides for a senior secured term loan (the “Senior Secured Term Loan Due 2028”) of up to $700 million in aggregate principal amount, subject to Sabre FB using the proceeds from the Senior Secured Term Loan Due 2028 for an intercompany loan to Sabre GLBL. On June 13, 2023, Sabre FB borrowed the full $700 million amount under the 2023 Term Loan Agreement and lent the funds to Sabre GLBL under the Pari Passu Loan Agreement. Borrowings under 2023 Term Loan Agreement are secured by the assets of Sabre FB, including Sabre FB's claims under the Pari Passu Loan Agreement, and assets of certain of our foreign subsidiaries. Borrowings under the Pari Passu Loan Agreement are secured by first-priority liens on the same collateral securing the indebtedness owing under the Senior Secured Credit Facilities and Sabre GLBL's outstanding Senior Secured Notes. Sabre GLBL used the proceeds borrowed under the Pari Passu Loan Agreement to repurchase $650 million of its outstanding 9.25% Senior Secured Notes due 2025 (the “June 2023 Refinancing”) and $15 million of its outstanding 2021 Term Loan B-1, 2021 Term Loan B-2 and 2022 Term Loan B-</w:t>
      </w:r>
    </w:p>
    <w:p>
      <w:pPr>
        <w:spacing w:after="0" w:line="5" w:lineRule="exact"/>
        <w:rPr>
          <w:sz w:val="20"/>
          <w:szCs w:val="20"/>
          <w:color w:val="auto"/>
        </w:rPr>
      </w:pPr>
    </w:p>
    <w:p>
      <w:pPr>
        <w:jc w:val="both"/>
        <w:ind w:firstLine="8"/>
        <w:spacing w:after="0" w:line="258" w:lineRule="auto"/>
        <w:tabs>
          <w:tab w:leader="none" w:pos="20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remaining proceeds, net of a discount of $23 million, were used to pay $13 million in other fees and expenses. We incurred additional fees of $15 million, plus $10 million of accrued and unpaid interest on the 9.25% Senior Secured Notes, which were funded with cash on hand. We recognized a net gain on extinguishment of debt in connection with the June 2023 Refinancing during the year ended December 31, 2023 of $13 million. As of December 31, 2023, we are in compliance with the covenants under the 2023 Term Loan Agreement and the Pari Passu Loan Agreement.</w:t>
      </w:r>
    </w:p>
    <w:p>
      <w:pPr>
        <w:spacing w:after="0" w:line="84" w:lineRule="exact"/>
        <w:rPr>
          <w:sz w:val="20"/>
          <w:szCs w:val="20"/>
          <w:color w:val="auto"/>
        </w:rPr>
      </w:pPr>
    </w:p>
    <w:p>
      <w:pPr>
        <w:jc w:val="both"/>
        <w:ind w:firstLine="640"/>
        <w:spacing w:after="0" w:line="260" w:lineRule="auto"/>
        <w:rPr>
          <w:sz w:val="20"/>
          <w:szCs w:val="20"/>
          <w:color w:val="auto"/>
        </w:rPr>
      </w:pPr>
      <w:r>
        <w:rPr>
          <w:rFonts w:ascii="Arial" w:cs="Arial" w:eastAsia="Arial" w:hAnsi="Arial"/>
          <w:sz w:val="16"/>
          <w:szCs w:val="16"/>
          <w:color w:val="auto"/>
        </w:rPr>
        <w:t>The Senior Secured Term Loan Due 2028 matures on December 15, 2028 and offers us the ability to prepay subject to prepayment premiums as follows (i) with respect to any prepayment occurring on or prior to the second anniversary of the 2023 Term Loan Agreement, a customary make-whole amount, and (ii) with respect to any prepayment occurring after the second anniversary of the 2023 Term Loan Agreement and on or prior the third anniversary of the 2023 Term Loan Agreement, 25% of the applicable interest margin assuming all interest is payable-in-kind. After the third anniversary of the 2023 Term Loan Agreement, all prepayments can be made at par plus accrued interest.</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80" w:name="page81"/>
    <w:bookmarkEnd w:id="80"/>
    <w:p>
      <w:pPr>
        <w:jc w:val="both"/>
        <w:ind w:firstLine="640"/>
        <w:spacing w:after="0" w:line="257" w:lineRule="auto"/>
        <w:rPr>
          <w:sz w:val="20"/>
          <w:szCs w:val="20"/>
          <w:color w:val="auto"/>
        </w:rPr>
      </w:pPr>
      <w:r>
        <w:rPr>
          <w:rFonts w:ascii="Arial" w:cs="Arial" w:eastAsia="Arial" w:hAnsi="Arial"/>
          <w:sz w:val="16"/>
          <w:szCs w:val="16"/>
          <w:color w:val="auto"/>
        </w:rPr>
        <w:t>The interest on the Senior Secured Term Loan Due 2028 is payable in cash; provided that, at our election, from the date of the agreement, until the last interest payment date occurring on or prior to December 31, 2025, the interest may be payable-in-kind. The Senior Secured Term Loan Due 2028 bears interest at a floating rate, with interest periods ending on each successive three month anniversary of the closing date and set in arrears based on the average of the highest yield to maturity of any tranche of Sabre GLBL’s or any of its affiliates’ outstanding secured indebtedness (as defined within the 2023 Term Loan Agreement) on each of the 20 prior trading days (the “Reference Rate”), plus (i) 25 basis points for cash interest or (ii) 175 basis points for payable-in-kind interest, with the Reference Rate for the first interest period deemed to be 13.00% per annum. The all-in interest rate floor is 11.50% for cash interest and 13.00% for payable-in-kind interest and the all-in interest rate ceiling is 17.50% for cash interest and 19.00% for payable-in-kind interest. We have currently elected interest to be payable-in-kind. Interest on the Senior Secured Term Loan Due 2028 is accrued and payable or capitalized to principal if not elected to be paid in cash, commencing on June 13, 2023, and ending on the date three months thereafter and each successive three-month anniversary thereof on September 13, December 13, March 13, and June 13 of each year. We capitalized interest for the Senior Secured Term Loan Due 2028 totaling $54 million during the year ended December 31, 2023.</w:t>
      </w:r>
    </w:p>
    <w:p>
      <w:pPr>
        <w:spacing w:after="0" w:line="74"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6"/>
          <w:szCs w:val="16"/>
          <w:color w:val="auto"/>
        </w:rPr>
        <w:t>Sabre FB’s obligations under the Senior Secured Term Loan Due 2028 are required to be guaranteed by certain of our existing and future foreign subsidiaries (the “Foreign Guarantors”). The 2023 Term Loan Agreement requires that we maintain cash balances of at least $100 million in certain foreign subsidiaries and other covenants to ensure collateral of the applicable Foreign Guarantors meet certain minimum levels. The 2023 Term Loan Agreement also includes various non-financial covenants, including restrictions on making certain investments, disposition activities and affiliate transactions. In addition, the 2023 Term Loan Agreement contains customary prepayment events and financial and negative covenants and other representations, covenants and events of default based on, but in certain instances more restrictive than, the Amended and Restated Credit Agreement. As of December 31, 2023, we were in compliance with all covenants under the terms of the 2023 Term Loan Agreement.</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Senior Secured Notes</w:t>
      </w:r>
    </w:p>
    <w:p>
      <w:pPr>
        <w:spacing w:after="0" w:line="11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On April 17, 2020, Sabre GLBL entered into a new debt agreement consisting of $775 million aggregate principal amount of 9.250% senior secured notes due 2025 (the “April 2025 Notes”). The April 2025 Notes are jointly and severally, irrevocably and unconditionally guaranteed by Sabre Holdings and all of Sabre GLBL’s restricted subsidiaries that guarantee Sabre GLBL’s credit facility. The April 2025 Notes bear interest at a rate of 9.250% per annum and interest payments are due semi-annually in arrears on April 15 and October 15 of each year, beginning on October 15, 2020. The April 2025 Notes mature on April 15, 2025. The net proceeds received from the sale of the April 2025 Notes of $763 million, net of underwriting fees and commissions, are being used for general corporate purposes. Through the June 2023 Refinancing described above, we repurchased approximately $650 million of these notes. See "— Senior Secured Term Loan Due 2028". In September 2023, an additional $66 million of these notes were exchanged for the June 2027 Notes as described below.</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August 27, 2020, Sabre GLBL entered into a new debt agreement consisting of $850 million aggregate principal amount of 7.375% senior secured notes due 2025 (the “September 2025 Notes”). The September 2025 Notes are jointly and severally, irrevocably and unconditionally guaranteed by Sabre Holdings and all of Sabre GLBL’s restricted subsidiaries that guarantee Sabre GLBL’s credit facility. The September 2025 Notes bear interest at a rate of 7.375% per annum and interest payments are due semi-annually in arrears on March 1 and September 1 of each year, beginning on March 1, 2021. The September 2025 Notes mature on September 1, 2025. The net proceeds of $839 million received from the sale of the September 2025 Notes, net of underwriting fees and commissions, plus cash on hand, was used to: (1) repay approximately $319 million principal amount of debt under the Term Loan A;</w:t>
      </w:r>
    </w:p>
    <w:p>
      <w:pPr>
        <w:spacing w:after="0" w:line="4" w:lineRule="exact"/>
        <w:rPr>
          <w:sz w:val="20"/>
          <w:szCs w:val="20"/>
          <w:color w:val="auto"/>
        </w:rPr>
      </w:pPr>
    </w:p>
    <w:p>
      <w:pPr>
        <w:jc w:val="both"/>
        <w:ind w:firstLine="8"/>
        <w:spacing w:after="0" w:line="258"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redeem all of our $530 million outstanding 5.375% senior secured notes due April 2023; and (3) repay approximately $3 million principal amount of debt under the Term Loan B. We recognized a loss on extinguishment of debt of $10 million during the year ended December 31, 2020 in connection with these transactions which consisted of a redemption premium of $7 million and the write-off of unamortized debt issuance costs of $3 million. In September 2023, $787 million of these notes were exchanged for the June 2027 Notes as described below.</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On December 6, 2022, Sabre GLBL entered into a new debt agreement consisting of $555 million aggregate principal amount of 11.250% senior secured notes due 2027 (the “December 2027 Notes”). The December 2027 Notes were issued at a discount of 1.866%. The December 2027 Notes are jointly and severally, irrevocably and unconditionally guaranteed by Sabre Holdings and all of Sabre GLBL’s restricted subsidiaries that guarantee Sabre GLBL’s credit facility. The December 2027 Notes bear interest at a rate of 11.250% per annum and interest payments are due semi-annually in arrears on June 15 and December 15 of each year, beginning June 15, 2023. The December 2027 Notes mature on December 15, 2027. The net proceeds of $545 million received from the sale of the December 2027 Notes, net of a discount of $10 million, were used to repay approximately $536 million principal amount of debt under our then-outstanding Term Loan B, plus $1 million of accrued interest. The remaining proceeds of $8 million, plus cash on hand, were used to pay $10 million in underwriting fees and commissions, and other expenses.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1" w:name="page82"/>
    <w:bookmarkEnd w:id="81"/>
    <w:p>
      <w:pPr>
        <w:jc w:val="both"/>
        <w:ind w:firstLine="486"/>
        <w:spacing w:after="0" w:line="257" w:lineRule="auto"/>
        <w:rPr>
          <w:sz w:val="20"/>
          <w:szCs w:val="20"/>
          <w:color w:val="auto"/>
        </w:rPr>
      </w:pPr>
      <w:r>
        <w:rPr>
          <w:rFonts w:ascii="Arial" w:cs="Arial" w:eastAsia="Arial" w:hAnsi="Arial"/>
          <w:sz w:val="16"/>
          <w:szCs w:val="16"/>
          <w:color w:val="auto"/>
        </w:rPr>
        <w:t xml:space="preserve">On September 7, 2023, Sabre GLBL completed exchange offers in which approximately $787 million of our 7.375% senior secured notes due 2025 and approximately $66 million of our 9.25% senior secured notes due 2025 were exchanged for a combination of cash and approximately $853 million aggregate principal amount of 8.625% senior secured notes due 2027 (the “June 2027 Notes”), issued at par (the “September 2023 Exchange Transaction”). The June 2027 Notes are jointly and severally, irrevocably and unconditionally guaranteed by Sabre Holdings and all of Sabre GLBL’s restricted subsidiaries that guarantee the Senior Secured Credit Facilities and the Secured Term Loan Due 2028. The June 2027 Notes bear interest at a rate of 8.625% per annum and interest payments are due semi-annually in arrears on March 1 and September 1 of each year, beginning March 1, 2024. The June 2027 Notes mature on June 1, 2027. Sabre GLBL did not receive any cash proceeds from the exchange and did not incur additional indebtedness in excess of the aggregate principal amount of the April 2025 Notes and the September 2025 Notes that were exchanged. We incurred additional fees of approximately $133 million, primarily consisting of approximately $115 million in exchange fees, $15 million in underwriting and associated fees and expenses plus $3 million of accrued and unpaid interest, all of which were funded with cash on hand. We determined that the September 2023 Exchange Transaction, including the impact of the exchange fees, represents a debt extinguishment and therefore recognized a loss on extinguishment of debt during the year ended </w:t>
      </w:r>
      <w:r>
        <w:rPr>
          <w:rFonts w:ascii="Arial" w:cs="Arial" w:eastAsia="Arial" w:hAnsi="Arial"/>
          <w:sz w:val="16"/>
          <w:szCs w:val="16"/>
          <w:color w:val="212529"/>
        </w:rPr>
        <w:t>December 31, 2023</w:t>
      </w:r>
      <w:r>
        <w:rPr>
          <w:rFonts w:ascii="Arial" w:cs="Arial" w:eastAsia="Arial" w:hAnsi="Arial"/>
          <w:sz w:val="16"/>
          <w:szCs w:val="16"/>
          <w:color w:val="auto"/>
        </w:rPr>
        <w:t>, of $121 million, consisting of $115 million in exchange fees related to the June 2027 Notes and $6 million related to the write-off of unamortized debt issuance costs on the April 2025 Notes and the September 2025 Notes.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AR Facility</w:t>
      </w:r>
    </w:p>
    <w:p>
      <w:pPr>
        <w:spacing w:after="0" w:line="1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212529"/>
        </w:rPr>
        <w:t xml:space="preserve">On February 14, 2023, Sabre Securitization, LLC, our indirect, consolidated subsidiary and a special purpose entity (“Sabre Securitization”), entered into a three-year committed accounts receivable securitization facility (the “AR Facility”) of up to $200 million with PNC Bank, N.A. On March 30, 2023, we borrowed $115 million under the AR Facility. </w:t>
      </w:r>
      <w:r>
        <w:rPr>
          <w:rFonts w:ascii="Arial" w:cs="Arial" w:eastAsia="Arial" w:hAnsi="Arial"/>
          <w:sz w:val="16"/>
          <w:szCs w:val="16"/>
          <w:color w:val="000000"/>
        </w:rPr>
        <w:t>As of</w:t>
      </w:r>
      <w:r>
        <w:rPr>
          <w:rFonts w:ascii="Arial" w:cs="Arial" w:eastAsia="Arial" w:hAnsi="Arial"/>
          <w:sz w:val="16"/>
          <w:szCs w:val="16"/>
          <w:color w:val="212529"/>
        </w:rPr>
        <w:t xml:space="preserve"> December 31, 2023</w:t>
      </w:r>
      <w:r>
        <w:rPr>
          <w:rFonts w:ascii="Arial" w:cs="Arial" w:eastAsia="Arial" w:hAnsi="Arial"/>
          <w:sz w:val="16"/>
          <w:szCs w:val="16"/>
          <w:color w:val="000000"/>
        </w:rPr>
        <w:t>, we had $110 million outstanding under the AR Facility.</w:t>
      </w:r>
      <w:r>
        <w:rPr>
          <w:rFonts w:ascii="Arial" w:cs="Arial" w:eastAsia="Arial" w:hAnsi="Arial"/>
          <w:sz w:val="16"/>
          <w:szCs w:val="16"/>
          <w:color w:val="212529"/>
        </w:rPr>
        <w:t xml:space="preserve"> These proceeds are being used for general corporat</w:t>
      </w:r>
      <w:r>
        <w:rPr>
          <w:rFonts w:ascii="Arial" w:cs="Arial" w:eastAsia="Arial" w:hAnsi="Arial"/>
          <w:sz w:val="16"/>
          <w:szCs w:val="16"/>
          <w:color w:val="000000"/>
        </w:rPr>
        <w:t>e p</w:t>
      </w:r>
      <w:r>
        <w:rPr>
          <w:rFonts w:ascii="Arial" w:cs="Arial" w:eastAsia="Arial" w:hAnsi="Arial"/>
          <w:sz w:val="16"/>
          <w:szCs w:val="16"/>
          <w:color w:val="212529"/>
        </w:rPr>
        <w:t>urposes.</w:t>
      </w:r>
    </w:p>
    <w:p>
      <w:pPr>
        <w:spacing w:after="0" w:line="60"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212529"/>
        </w:rPr>
        <w:t>The amount available for borrowings at any one time under the AR Facility is limited to a borrowing base calculated based on the outstanding balance of eligible receivables, subject to certain reserves. Borrowings under the AR Facility bear interest at a rate equal to SOFR, subject to a 0% floor, plus a drawn fee, initially in the amount of 2.25%, plus a 0.10% SOFR adjustment. The drawn fee varies based on our leverage, and Sabre Securitization also pays a fee on the undrawn committed amount of the AR Facility. Interest and fees payable by Sabre Securitization under the AR Facility are due monthly. Net debt issuance costs related to our AR Facility are $2 million and are recorded in other assets, net in our consolidated financial statements.</w:t>
      </w:r>
    </w:p>
    <w:p>
      <w:pPr>
        <w:spacing w:after="0" w:line="6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212529"/>
        </w:rPr>
        <w:t>The AR Facility is scheduled to terminate on February 13, 2026, unless extended in accordance with its terms. The AR Facility is subject to a springing maturity date of January 2025 should certain events occur in relation to material indebtedness (as defined in the AR Facility) of ours, Sabre Securitization and certain other subsidiaries.</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212529"/>
        </w:rPr>
        <w:t>In connection with the AR Facility, certain of our subsidiaries (the “Originators”) have sold and contributed, and will continue to sell or contribute, substantially all of their accounts receivable and certain related assets (collectively, the “Receivables”) to Sabre Securitization to be held as collateral for borrowings under the AR Facility. Sabre Securitization’s assets are not available to satisfy the obligations of Sabre Corporation or any of its affiliates. Under the terms of the AR Facility, the lenders under the AR Facility would have a senior priority claim to the assets of Sabre Securitization, which will primarily consist of the Receivables of the Originators participating in the AR Facility. As of December 31, 2023, $340 million of Receivables are held as assets by Sabre Securitization, consisting of $331 million of accounts receivable and $9 million of other as</w:t>
      </w:r>
      <w:r>
        <w:rPr>
          <w:rFonts w:ascii="Arial" w:cs="Arial" w:eastAsia="Arial" w:hAnsi="Arial"/>
          <w:sz w:val="16"/>
          <w:szCs w:val="16"/>
          <w:color w:val="000000"/>
        </w:rPr>
        <w:t>sets, net in our conso</w:t>
      </w:r>
      <w:r>
        <w:rPr>
          <w:rFonts w:ascii="Arial" w:cs="Arial" w:eastAsia="Arial" w:hAnsi="Arial"/>
          <w:sz w:val="16"/>
          <w:szCs w:val="16"/>
          <w:color w:val="212529"/>
        </w:rPr>
        <w:t>lidated balance sheet.</w:t>
      </w:r>
    </w:p>
    <w:p>
      <w:pPr>
        <w:spacing w:after="0" w:line="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212529"/>
        </w:rPr>
        <w:t>The AR Facility is accounted for as a secured borrowing on a consolidated basis, rather than a sale of assets; as a result, (i) Receivables balances pledged as collateral are presented as assets and the borrowings are presented as liabilities on our consolidated balance sheets, (ii) our consolidated statements of operations reflect the associated charges for bad debt expense (a component of general and administrative expenses) related to the pledged Receivables and interest expense associated with the AR Facility and (iii) receipts from customers related to the underlying Receivables are reflected as operating cash flows and borrowings and repayments u</w:t>
      </w:r>
      <w:r>
        <w:rPr>
          <w:rFonts w:ascii="Arial" w:cs="Arial" w:eastAsia="Arial" w:hAnsi="Arial"/>
          <w:sz w:val="16"/>
          <w:szCs w:val="16"/>
          <w:color w:val="000000"/>
        </w:rPr>
        <w:t>nder the AR Facility are reflected as financing cash flows within our consolidated statements of cash</w:t>
      </w:r>
      <w:r>
        <w:rPr>
          <w:rFonts w:ascii="Arial" w:cs="Arial" w:eastAsia="Arial" w:hAnsi="Arial"/>
          <w:sz w:val="16"/>
          <w:szCs w:val="16"/>
          <w:color w:val="212529"/>
        </w:rPr>
        <w:t xml:space="preserve"> </w:t>
      </w:r>
      <w:r>
        <w:rPr>
          <w:rFonts w:ascii="Arial" w:cs="Arial" w:eastAsia="Arial" w:hAnsi="Arial"/>
          <w:sz w:val="16"/>
          <w:szCs w:val="16"/>
          <w:color w:val="000000"/>
        </w:rPr>
        <w:t>flows. The receivables and other assets of Sabre Securitization are not available to satisfy creditors of any entity other than Sabre Securitization.</w:t>
      </w:r>
    </w:p>
    <w:p>
      <w:pPr>
        <w:spacing w:after="0" w:line="8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The AR </w:t>
      </w:r>
      <w:r>
        <w:rPr>
          <w:rFonts w:ascii="Arial" w:cs="Arial" w:eastAsia="Arial" w:hAnsi="Arial"/>
          <w:sz w:val="16"/>
          <w:szCs w:val="16"/>
          <w:color w:val="212529"/>
        </w:rPr>
        <w:t>Facility contains certain customary representations, warranties, affirmative covenants, and negative covenants, subject to certain cure periods</w:t>
      </w:r>
      <w:r>
        <w:rPr>
          <w:rFonts w:ascii="Arial" w:cs="Arial" w:eastAsia="Arial" w:hAnsi="Arial"/>
          <w:sz w:val="16"/>
          <w:szCs w:val="16"/>
          <w:color w:val="auto"/>
        </w:rPr>
        <w:t xml:space="preserve"> </w:t>
      </w:r>
      <w:r>
        <w:rPr>
          <w:rFonts w:ascii="Arial" w:cs="Arial" w:eastAsia="Arial" w:hAnsi="Arial"/>
          <w:sz w:val="16"/>
          <w:szCs w:val="16"/>
          <w:color w:val="212529"/>
        </w:rPr>
        <w:t>in some cases, including the eligibility of the Receivables being sold by the Originators and securing the loans made by the lenders, as well as customary reserve requirements, events of default, termination events, and servicer defaults. As of December 31, 2023, we were in compliance with and expect to be in compliance with the financial covenants of the AR Facility for at least the next twelve months.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Exchangeable Notes</w:t>
      </w:r>
    </w:p>
    <w:p>
      <w:pPr>
        <w:spacing w:after="0" w:line="206" w:lineRule="exact"/>
        <w:rPr>
          <w:sz w:val="20"/>
          <w:szCs w:val="20"/>
          <w:color w:val="auto"/>
        </w:rPr>
      </w:pPr>
    </w:p>
    <w:p>
      <w:pPr>
        <w:jc w:val="both"/>
        <w:ind w:firstLine="190"/>
        <w:spacing w:after="0" w:line="260" w:lineRule="auto"/>
        <w:rPr>
          <w:sz w:val="20"/>
          <w:szCs w:val="20"/>
          <w:color w:val="auto"/>
        </w:rPr>
      </w:pPr>
      <w:r>
        <w:rPr>
          <w:rFonts w:ascii="Arial" w:cs="Arial" w:eastAsia="Arial" w:hAnsi="Arial"/>
          <w:sz w:val="16"/>
          <w:szCs w:val="16"/>
          <w:color w:val="auto"/>
        </w:rPr>
        <w:t xml:space="preserve">On April 17, 2020, Sabre GLBL entered into a new debt agreement consisting of $345 million aggregate principal amount of 4.000% senior exchangeable notes due 2025 (the “Exchangeable Notes”). The Exchangeable Notes are senior, unsecured obligations of Sabre GLBL, accrue interest payable semi-annually in arrears and mature on April 15, 2025, unless earlier repurchased or exchanged in accordance with specified circumstances and terms of the indenture governing the Exchangeable Notes. </w:t>
      </w:r>
      <w:r>
        <w:rPr>
          <w:rFonts w:ascii="Arial" w:cs="Arial" w:eastAsia="Arial" w:hAnsi="Arial"/>
          <w:sz w:val="16"/>
          <w:szCs w:val="16"/>
          <w:color w:val="212529"/>
        </w:rPr>
        <w:t>As of December 31, 2023,</w:t>
      </w:r>
      <w:r>
        <w:rPr>
          <w:rFonts w:ascii="Arial" w:cs="Arial" w:eastAsia="Arial" w:hAnsi="Arial"/>
          <w:sz w:val="16"/>
          <w:szCs w:val="16"/>
          <w:color w:val="auto"/>
        </w:rPr>
        <w:t xml:space="preserve"> we have $333 million aggregate principal amount of Exchangeable Notes outstanding.</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2" w:name="page83"/>
    <w:bookmarkEnd w:id="82"/>
    <w:p>
      <w:pPr>
        <w:ind w:firstLine="486"/>
        <w:spacing w:after="0" w:line="286" w:lineRule="auto"/>
        <w:rPr>
          <w:sz w:val="20"/>
          <w:szCs w:val="20"/>
          <w:color w:val="auto"/>
        </w:rPr>
      </w:pPr>
      <w:r>
        <w:rPr>
          <w:rFonts w:ascii="Arial" w:cs="Arial" w:eastAsia="Arial" w:hAnsi="Arial"/>
          <w:sz w:val="16"/>
          <w:szCs w:val="16"/>
          <w:color w:val="auto"/>
        </w:rPr>
        <w:t>Under the terms of indenture, the notes are exchangeable into common stock of Sabre Corporation (referred to as "our common stock" herein) at the following times or circumstances:</w:t>
      </w:r>
    </w:p>
    <w:p>
      <w:pPr>
        <w:spacing w:after="0" w:line="61" w:lineRule="exact"/>
        <w:rPr>
          <w:sz w:val="20"/>
          <w:szCs w:val="20"/>
          <w:color w:val="auto"/>
        </w:rPr>
      </w:pPr>
    </w:p>
    <w:p>
      <w:pPr>
        <w:jc w:val="both"/>
        <w:ind w:left="660" w:hanging="166"/>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ended June 30, 2020, if the last reported sale price per share of our common stock exceeds 130% of the exchange price for each of at least 20 trading days (whether or not consecutive) during the 30 consecutive trading days ending on, and including, the last trading day of the immediately preceding calendar quarter;</w:t>
      </w:r>
    </w:p>
    <w:p>
      <w:pPr>
        <w:spacing w:after="0" w:line="56" w:lineRule="exact"/>
        <w:rPr>
          <w:rFonts w:ascii="Arial" w:cs="Arial" w:eastAsia="Arial" w:hAnsi="Arial"/>
          <w:sz w:val="16"/>
          <w:szCs w:val="16"/>
          <w:color w:val="auto"/>
        </w:rPr>
      </w:pPr>
    </w:p>
    <w:p>
      <w:pPr>
        <w:jc w:val="both"/>
        <w:ind w:left="660" w:hanging="166"/>
        <w:spacing w:after="0" w:line="26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five consecutive trading day period (such five consecutive trading day period, the "Measurement Period") if the trading price per $1,000 principal amount of Exchangeable Notes, as determined following a request by their holder in accordance with the procedures in the indenture, for each trading day of the Measurement Period was less than 98% of the product of the last reported sale price per share of our common stock on such trading day and the exchange rate on such trading day;</w:t>
      </w:r>
    </w:p>
    <w:p>
      <w:pPr>
        <w:spacing w:after="0" w:line="78" w:lineRule="exact"/>
        <w:rPr>
          <w:rFonts w:ascii="Arial" w:cs="Arial" w:eastAsia="Arial" w:hAnsi="Arial"/>
          <w:sz w:val="16"/>
          <w:szCs w:val="16"/>
          <w:color w:val="auto"/>
        </w:rPr>
      </w:pPr>
    </w:p>
    <w:p>
      <w:pPr>
        <w:ind w:left="660" w:hanging="166"/>
        <w:spacing w:after="0" w:line="28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occurrence of certain corporate events or distributions on our common stock, including but not limited to a “Fundamental Change” (as defined in the indenture governing the notes);</w:t>
      </w:r>
    </w:p>
    <w:p>
      <w:pPr>
        <w:spacing w:after="0" w:line="47" w:lineRule="exact"/>
        <w:rPr>
          <w:rFonts w:ascii="Arial" w:cs="Arial" w:eastAsia="Arial" w:hAnsi="Arial"/>
          <w:sz w:val="16"/>
          <w:szCs w:val="16"/>
          <w:color w:val="auto"/>
        </w:rPr>
      </w:pPr>
    </w:p>
    <w:p>
      <w:pPr>
        <w:ind w:left="640" w:hanging="146"/>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or</w:t>
      </w:r>
    </w:p>
    <w:p>
      <w:pPr>
        <w:spacing w:after="0" w:line="126" w:lineRule="exact"/>
        <w:rPr>
          <w:rFonts w:ascii="Arial" w:cs="Arial" w:eastAsia="Arial" w:hAnsi="Arial"/>
          <w:sz w:val="16"/>
          <w:szCs w:val="16"/>
          <w:color w:val="auto"/>
        </w:rPr>
      </w:pPr>
    </w:p>
    <w:p>
      <w:pPr>
        <w:ind w:left="660" w:hanging="166"/>
        <w:spacing w:after="0" w:line="28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or after October 15, 2024, until the close of business on the second scheduled trading day immediately preceding the maturity date, April 15, 2025.</w:t>
      </w:r>
    </w:p>
    <w:p>
      <w:pPr>
        <w:spacing w:after="0" w:line="4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 xml:space="preserve">With certain exceptions, upon a Change of Control or other Fundamental Change (both as defined in the indenture governing the Exchangeable Notes), the holders of the Exchangeable Notes may require us to repurchase all or part of the principal amount of the Exchangeable Notes at a repurchase price equal to 100% of the principal amount of the Exchangeable Notes, plus any accrued and unpaid interest to, but excluding, the repurchase date. </w:t>
      </w:r>
      <w:r>
        <w:rPr>
          <w:rFonts w:ascii="Arial" w:cs="Arial" w:eastAsia="Arial" w:hAnsi="Arial"/>
          <w:sz w:val="16"/>
          <w:szCs w:val="16"/>
          <w:color w:val="212529"/>
        </w:rPr>
        <w:t>As of</w:t>
      </w:r>
      <w:r>
        <w:rPr>
          <w:rFonts w:ascii="Arial" w:cs="Arial" w:eastAsia="Arial" w:hAnsi="Arial"/>
          <w:sz w:val="16"/>
          <w:szCs w:val="16"/>
          <w:color w:val="auto"/>
        </w:rPr>
        <w:t xml:space="preserve"> </w:t>
      </w:r>
      <w:r>
        <w:rPr>
          <w:rFonts w:ascii="Arial" w:cs="Arial" w:eastAsia="Arial" w:hAnsi="Arial"/>
          <w:sz w:val="16"/>
          <w:szCs w:val="16"/>
          <w:color w:val="212529"/>
        </w:rPr>
        <w:t>December 31, 2023</w:t>
      </w:r>
      <w:r>
        <w:rPr>
          <w:rFonts w:ascii="Arial" w:cs="Arial" w:eastAsia="Arial" w:hAnsi="Arial"/>
          <w:sz w:val="16"/>
          <w:szCs w:val="16"/>
          <w:color w:val="000000"/>
        </w:rPr>
        <w:t>, none of the conditions allowing holders of the Exchangeable Notes to exchange have been met.</w:t>
      </w:r>
    </w:p>
    <w:p>
      <w:pPr>
        <w:spacing w:after="0" w:line="6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 xml:space="preserve">The Exchangeable Notes are convertible at their holder’s election into shares of our common stock based on an initial conversion rate of 126.9499 shares of common stock per $1,000 principal amount of the Exchangeable Notes, which is equivalent to an initial conversion price of approximately $7.88 per share. The exchange rate is subject to anti-dilution and other adjustments. Upon conversion, Sabre GLBL will pay or deliver, as the case may be, cash, shares of our common stock or a combination of cash and shares of common stock, at our election. </w:t>
      </w:r>
      <w:r>
        <w:rPr>
          <w:rFonts w:ascii="Arial" w:cs="Arial" w:eastAsia="Arial" w:hAnsi="Arial"/>
          <w:sz w:val="16"/>
          <w:szCs w:val="16"/>
          <w:color w:val="212529"/>
        </w:rPr>
        <w:t>If a “Make-Whole Fundamental Change” (as defined in</w:t>
      </w:r>
      <w:r>
        <w:rPr>
          <w:rFonts w:ascii="Arial" w:cs="Arial" w:eastAsia="Arial" w:hAnsi="Arial"/>
          <w:sz w:val="16"/>
          <w:szCs w:val="16"/>
          <w:color w:val="auto"/>
        </w:rPr>
        <w:t xml:space="preserve"> </w:t>
      </w:r>
      <w:r>
        <w:rPr>
          <w:rFonts w:ascii="Arial" w:cs="Arial" w:eastAsia="Arial" w:hAnsi="Arial"/>
          <w:sz w:val="16"/>
          <w:szCs w:val="16"/>
          <w:color w:val="212529"/>
        </w:rPr>
        <w:t xml:space="preserve">the Exchangeable Notes Indenture) occurs with respect to any Exchangeable Note and the exchange date for the exchange of such Exchangeable Note occurs during the related “Make-Whole Fundamental Change Exchange Period” (as defined in the Exchangeable Notes Indenture), then, subject to the provisions set forth in the Exchangeable Notes Indenture, the exchange rate applicable to such exchange will be increased by a number of shares set forth in the table contained in the Exchangeable Notes Indenture, based on a function of the time since origination and our stock price on the date of the occurrence of such Make-Whole Fundamental Change. </w:t>
      </w:r>
      <w:r>
        <w:rPr>
          <w:rFonts w:ascii="Arial" w:cs="Arial" w:eastAsia="Arial" w:hAnsi="Arial"/>
          <w:sz w:val="16"/>
          <w:szCs w:val="16"/>
          <w:color w:val="000000"/>
        </w:rPr>
        <w:t>The net proceeds received from the sale of the Exchangeable Notes of $336 million, net of</w:t>
      </w:r>
      <w:r>
        <w:rPr>
          <w:rFonts w:ascii="Arial" w:cs="Arial" w:eastAsia="Arial" w:hAnsi="Arial"/>
          <w:sz w:val="16"/>
          <w:szCs w:val="16"/>
          <w:color w:val="212529"/>
        </w:rPr>
        <w:t xml:space="preserve"> </w:t>
      </w:r>
      <w:r>
        <w:rPr>
          <w:rFonts w:ascii="Arial" w:cs="Arial" w:eastAsia="Arial" w:hAnsi="Arial"/>
          <w:sz w:val="16"/>
          <w:szCs w:val="16"/>
          <w:color w:val="000000"/>
        </w:rPr>
        <w:t>underwriting fees and commissions, are being used for general corporate purposes.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carrying value of the Exchangeable Notes as of December 31, 2023 and 2022 (in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640" w:type="dxa"/>
            <w:vAlign w:val="bottom"/>
          </w:tcPr>
          <w:p>
            <w:pPr>
              <w:spacing w:after="0"/>
              <w:rPr>
                <w:sz w:val="12"/>
                <w:szCs w:val="12"/>
                <w:color w:val="auto"/>
              </w:rPr>
            </w:pPr>
          </w:p>
        </w:tc>
        <w:tc>
          <w:tcPr>
            <w:tcW w:w="184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1720" w:type="dxa"/>
            <w:vAlign w:val="bottom"/>
            <w:gridSpan w:val="2"/>
          </w:tcPr>
          <w:p>
            <w:pPr>
              <w:jc w:val="right"/>
              <w:ind w:right="4"/>
              <w:spacing w:after="0"/>
              <w:rPr>
                <w:sz w:val="20"/>
                <w:szCs w:val="20"/>
                <w:color w:val="auto"/>
              </w:rPr>
            </w:pPr>
            <w:r>
              <w:rPr>
                <w:rFonts w:ascii="Arial" w:cs="Arial" w:eastAsia="Arial" w:hAnsi="Arial"/>
                <w:sz w:val="13"/>
                <w:szCs w:val="13"/>
                <w:b w:val="1"/>
                <w:bCs w:val="1"/>
                <w:color w:val="auto"/>
              </w:rPr>
              <w:t>Year Ended December 31,</w:t>
            </w:r>
          </w:p>
        </w:tc>
      </w:tr>
      <w:tr>
        <w:trPr>
          <w:trHeight w:val="176"/>
        </w:trPr>
        <w:tc>
          <w:tcPr>
            <w:tcW w:w="76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rPr>
              <w:t>2022</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42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333,220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333,220</w:t>
            </w: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3,256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w:t>
            </w: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value</w:t>
            </w:r>
          </w:p>
        </w:tc>
        <w:tc>
          <w:tcPr>
            <w:tcW w:w="42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329,964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327,578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following table sets forth interest expense recognized related to the Exchangeable Notes for years ended December 31, 2023 and 2022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1820" w:type="dxa"/>
            <w:vAlign w:val="bottom"/>
            <w:gridSpan w:val="3"/>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1720" w:type="dxa"/>
            <w:vAlign w:val="bottom"/>
            <w:gridSpan w:val="2"/>
          </w:tcPr>
          <w:p>
            <w:pPr>
              <w:jc w:val="right"/>
              <w:ind w:right="5"/>
              <w:spacing w:after="0"/>
              <w:rPr>
                <w:sz w:val="20"/>
                <w:szCs w:val="20"/>
                <w:color w:val="auto"/>
              </w:rPr>
            </w:pPr>
            <w:r>
              <w:rPr>
                <w:rFonts w:ascii="Arial" w:cs="Arial" w:eastAsia="Arial" w:hAnsi="Arial"/>
                <w:sz w:val="13"/>
                <w:szCs w:val="13"/>
                <w:b w:val="1"/>
                <w:bCs w:val="1"/>
                <w:color w:val="auto"/>
              </w:rPr>
              <w:t>Year Ended December 31,</w:t>
            </w:r>
          </w:p>
        </w:tc>
      </w:tr>
      <w:tr>
        <w:trPr>
          <w:trHeight w:val="183"/>
        </w:trPr>
        <w:tc>
          <w:tcPr>
            <w:tcW w:w="77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2022</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42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13,329</w:t>
            </w:r>
          </w:p>
        </w:tc>
      </w:tr>
      <w:tr>
        <w:trPr>
          <w:trHeight w:val="215"/>
        </w:trPr>
        <w:tc>
          <w:tcPr>
            <w:tcW w:w="7700" w:type="dxa"/>
            <w:vAlign w:val="bottom"/>
          </w:tcPr>
          <w:p>
            <w:pPr>
              <w:ind w:left="20"/>
              <w:spacing w:after="0"/>
              <w:rPr>
                <w:sz w:val="20"/>
                <w:szCs w:val="20"/>
                <w:color w:val="auto"/>
              </w:rPr>
            </w:pPr>
            <w:r>
              <w:rPr>
                <w:rFonts w:ascii="Arial" w:cs="Arial" w:eastAsia="Arial" w:hAnsi="Arial"/>
                <w:sz w:val="16"/>
                <w:szCs w:val="16"/>
                <w:color w:val="auto"/>
              </w:rPr>
              <w:t>Amortization of issuance costs</w:t>
            </w:r>
          </w:p>
        </w:tc>
        <w:tc>
          <w:tcPr>
            <w:tcW w:w="420" w:type="dxa"/>
            <w:vAlign w:val="bottom"/>
          </w:tcPr>
          <w:p>
            <w:pPr>
              <w:jc w:val="right"/>
              <w:ind w:right="225"/>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18"/>
                <w:szCs w:val="18"/>
                <w:color w:val="auto"/>
              </w:rPr>
            </w:pPr>
          </w:p>
        </w:tc>
        <w:tc>
          <w:tcPr>
            <w:tcW w:w="420" w:type="dxa"/>
            <w:vAlign w:val="bottom"/>
          </w:tcPr>
          <w:p>
            <w:pPr>
              <w:jc w:val="right"/>
              <w:ind w:right="225"/>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2,275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3" w:name="page84"/>
    <w:bookmarkEnd w:id="83"/>
    <w:p>
      <w:pPr>
        <w:ind w:left="500"/>
        <w:spacing w:after="0"/>
        <w:rPr>
          <w:sz w:val="20"/>
          <w:szCs w:val="20"/>
          <w:color w:val="auto"/>
        </w:rPr>
      </w:pPr>
      <w:r>
        <w:rPr>
          <w:rFonts w:ascii="Arial" w:cs="Arial" w:eastAsia="Arial" w:hAnsi="Arial"/>
          <w:sz w:val="16"/>
          <w:szCs w:val="16"/>
          <w:b w:val="1"/>
          <w:bCs w:val="1"/>
          <w:i w:val="1"/>
          <w:iCs w:val="1"/>
          <w:color w:val="auto"/>
        </w:rPr>
        <w:t>Aggregate Maturities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2023, aggregate maturities of our long-term debt were as follows (in thousands):</w:t>
      </w:r>
    </w:p>
    <w:p>
      <w:pPr>
        <w:spacing w:after="0" w:line="204" w:lineRule="exact"/>
        <w:rPr>
          <w:sz w:val="20"/>
          <w:szCs w:val="20"/>
          <w:color w:val="auto"/>
        </w:rPr>
      </w:pPr>
    </w:p>
    <w:tbl>
      <w:tblPr>
        <w:tblLayout w:type="fixed"/>
        <w:tblInd w:w="1740" w:type="dxa"/>
        <w:tblCellMar>
          <w:top w:w="0" w:type="dxa"/>
          <w:left w:w="0" w:type="dxa"/>
          <w:bottom w:w="0" w:type="dxa"/>
          <w:right w:w="0" w:type="dxa"/>
        </w:tblCellMar>
      </w:tblPr>
      <w:tr>
        <w:trPr>
          <w:trHeight w:val="176"/>
        </w:trPr>
        <w:tc>
          <w:tcPr>
            <w:tcW w:w="6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Amount</w:t>
            </w:r>
          </w:p>
        </w:tc>
      </w:tr>
      <w:tr>
        <w:trPr>
          <w:trHeight w:val="21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Years Ending December 31,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2024</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4,040</w:t>
            </w:r>
          </w:p>
        </w:tc>
      </w:tr>
      <w:tr>
        <w:trPr>
          <w:trHeight w:val="21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553,120</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2026</w:t>
            </w:r>
          </w:p>
        </w:tc>
        <w:tc>
          <w:tcPr>
            <w:tcW w:w="3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16,730</w:t>
            </w:r>
          </w:p>
        </w:tc>
      </w:tr>
      <w:tr>
        <w:trPr>
          <w:trHeight w:val="21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2,405,529</w:t>
            </w:r>
          </w:p>
        </w:tc>
      </w:tr>
      <w:tr>
        <w:trPr>
          <w:trHeight w:val="215"/>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2028</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1,982,484</w:t>
            </w:r>
          </w:p>
        </w:tc>
      </w:tr>
      <w:tr>
        <w:trPr>
          <w:trHeight w:val="235"/>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4,961,903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Derivatives</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auto"/>
        </w:rPr>
        <w:t>Hedging Objectives</w:t>
      </w:r>
      <w:r>
        <w:rPr>
          <w:rFonts w:ascii="Arial" w:cs="Arial" w:eastAsia="Arial" w:hAnsi="Arial"/>
          <w:sz w:val="16"/>
          <w:szCs w:val="16"/>
          <w:color w:val="auto"/>
        </w:rPr>
        <w:t>—We are exposed to certain risks relating to ongoing business operations. The primary risk managed by using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is interest rate risk. Interest rate swaps are entered into to manage interest rate risk associated with our floating-rate borrowings.</w:t>
      </w:r>
    </w:p>
    <w:p>
      <w:pPr>
        <w:spacing w:after="0" w:line="6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In accordance with authoritative guidance on accounting for derivatives and hedging, we designate interest rate swaps as cash flow hedges of floating-rate borrowings.</w:t>
      </w:r>
    </w:p>
    <w:p>
      <w:pPr>
        <w:spacing w:after="0" w:line="48"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6"/>
          <w:szCs w:val="16"/>
          <w:i w:val="1"/>
          <w:iCs w:val="1"/>
          <w:color w:val="auto"/>
        </w:rPr>
        <w:t>Cash Flow Hedging Strategy</w:t>
      </w:r>
      <w:r>
        <w:rPr>
          <w:rFonts w:ascii="Arial" w:cs="Arial" w:eastAsia="Arial" w:hAnsi="Arial"/>
          <w:sz w:val="16"/>
          <w:szCs w:val="16"/>
          <w:color w:val="auto"/>
        </w:rPr>
        <w:t>—We enter into interest rate swap agreements to manage interest rate risk exposure. The interest rate swap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portions and ineffective portions of the gain or loss on the derivative instruments are reported as a component of other comprehensive income (loss) (“OCI”) and reclassified into earnings in the same line item associated with the forecasted transaction and in the same period or periods during which the hedged transaction affects earnings. As of December 31, 2023, we did not have any hedge components excluded from the assessment of effectiveness. Cash flow hedges are classified in the same category in the consolidated statements of cash flows as the items being hedged and gains and losses on the derivative financial instruments are reported in cash provided by (used in) operating activities within the consolidated statements of cash flows. Derivatives not designated as hedging instruments are carried at fair value with changes in fair value reflected in Other, net in the consolidated statements of operations.</w:t>
      </w:r>
    </w:p>
    <w:p>
      <w:pPr>
        <w:spacing w:after="0" w:line="8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i w:val="1"/>
          <w:iCs w:val="1"/>
          <w:color w:val="auto"/>
        </w:rPr>
        <w:t>Interest Rate Swap Contracts</w:t>
      </w:r>
      <w:r>
        <w:rPr>
          <w:rFonts w:ascii="Arial" w:cs="Arial" w:eastAsia="Arial" w:hAnsi="Arial"/>
          <w:sz w:val="16"/>
          <w:szCs w:val="16"/>
          <w:color w:val="auto"/>
        </w:rPr>
        <w:t>—Interest rate swaps outstanding at December 31, 2023 and matured during the years ended December 31, 2023,</w:t>
      </w:r>
      <w:r>
        <w:rPr>
          <w:rFonts w:ascii="Arial" w:cs="Arial" w:eastAsia="Arial" w:hAnsi="Arial"/>
          <w:sz w:val="16"/>
          <w:szCs w:val="16"/>
          <w:i w:val="1"/>
          <w:iCs w:val="1"/>
          <w:color w:val="auto"/>
        </w:rPr>
        <w:t xml:space="preserve"> </w:t>
      </w:r>
      <w:r>
        <w:rPr>
          <w:rFonts w:ascii="Arial" w:cs="Arial" w:eastAsia="Arial" w:hAnsi="Arial"/>
          <w:sz w:val="16"/>
          <w:szCs w:val="16"/>
          <w:color w:val="auto"/>
        </w:rPr>
        <w:t>2022 and 2021 are as follows: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Notional Amount</w:t>
            </w:r>
          </w:p>
        </w:tc>
        <w:tc>
          <w:tcPr>
            <w:tcW w:w="2140" w:type="dxa"/>
            <w:vAlign w:val="bottom"/>
          </w:tcPr>
          <w:p>
            <w:pPr>
              <w:jc w:val="center"/>
              <w:ind w:left="64"/>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2"/>
                <w:szCs w:val="12"/>
                <w:color w:val="auto"/>
              </w:rPr>
            </w:pPr>
          </w:p>
        </w:tc>
        <w:tc>
          <w:tcPr>
            <w:tcW w:w="21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Interest Rate Paid</w:t>
            </w:r>
          </w:p>
        </w:tc>
        <w:tc>
          <w:tcPr>
            <w:tcW w:w="2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Effective Date</w:t>
            </w:r>
          </w:p>
        </w:tc>
        <w:tc>
          <w:tcPr>
            <w:tcW w:w="2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0" w:type="dxa"/>
            <w:vAlign w:val="bottom"/>
          </w:tcPr>
          <w:p>
            <w:pPr>
              <w:spacing w:after="0"/>
              <w:rPr>
                <w:sz w:val="1"/>
                <w:szCs w:val="1"/>
                <w:color w:val="auto"/>
              </w:rPr>
            </w:pPr>
          </w:p>
        </w:tc>
      </w:tr>
      <w:tr>
        <w:trPr>
          <w:trHeight w:val="176"/>
        </w:trPr>
        <w:tc>
          <w:tcPr>
            <w:tcW w:w="2040" w:type="dxa"/>
            <w:vAlign w:val="bottom"/>
            <w:vMerge w:val="continue"/>
          </w:tcPr>
          <w:p>
            <w:pPr>
              <w:spacing w:after="0"/>
              <w:rPr>
                <w:sz w:val="15"/>
                <w:szCs w:val="15"/>
                <w:color w:val="auto"/>
              </w:rPr>
            </w:pPr>
          </w:p>
        </w:tc>
        <w:tc>
          <w:tcPr>
            <w:tcW w:w="2140" w:type="dxa"/>
            <w:vAlign w:val="bottom"/>
          </w:tcPr>
          <w:p>
            <w:pPr>
              <w:jc w:val="center"/>
              <w:ind w:left="64"/>
              <w:spacing w:after="0"/>
              <w:rPr>
                <w:sz w:val="20"/>
                <w:szCs w:val="20"/>
                <w:color w:val="auto"/>
              </w:rPr>
            </w:pPr>
            <w:r>
              <w:rPr>
                <w:rFonts w:ascii="Arial" w:cs="Arial" w:eastAsia="Arial" w:hAnsi="Arial"/>
                <w:sz w:val="13"/>
                <w:szCs w:val="13"/>
                <w:b w:val="1"/>
                <w:bCs w:val="1"/>
                <w:color w:val="auto"/>
                <w:w w:val="98"/>
              </w:rPr>
              <w:t>Received</w:t>
            </w:r>
          </w:p>
        </w:tc>
        <w:tc>
          <w:tcPr>
            <w:tcW w:w="1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80" w:type="dxa"/>
            <w:vAlign w:val="bottom"/>
            <w:tcBorders>
              <w:top w:val="single" w:sz="8" w:color="auto"/>
              <w:bottom w:val="single" w:sz="8" w:color="auto"/>
            </w:tcBorders>
            <w:gridSpan w:val="2"/>
            <w:shd w:val="clear" w:color="auto" w:fill="CCEEFF"/>
          </w:tcPr>
          <w:p>
            <w:pPr>
              <w:ind w:left="104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$600 million</w:t>
            </w:r>
          </w:p>
        </w:tc>
        <w:tc>
          <w:tcPr>
            <w:tcW w:w="2140" w:type="dxa"/>
            <w:vAlign w:val="bottom"/>
            <w:shd w:val="clear" w:color="auto" w:fill="CCEEFF"/>
          </w:tcPr>
          <w:p>
            <w:pPr>
              <w:jc w:val="center"/>
              <w:ind w:left="64"/>
              <w:spacing w:after="0" w:line="216" w:lineRule="exact"/>
              <w:rPr>
                <w:sz w:val="20"/>
                <w:szCs w:val="20"/>
                <w:color w:val="auto"/>
              </w:rPr>
            </w:pPr>
            <w:r>
              <w:rPr>
                <w:rFonts w:ascii="Arial" w:cs="Arial" w:eastAsia="Arial" w:hAnsi="Arial"/>
                <w:sz w:val="16"/>
                <w:szCs w:val="16"/>
                <w:color w:val="auto"/>
                <w:w w:val="97"/>
              </w:rPr>
              <w:t>1 month LIBOR</w:t>
            </w:r>
            <w:r>
              <w:rPr>
                <w:rFonts w:ascii="Arial" w:cs="Arial" w:eastAsia="Arial" w:hAnsi="Arial"/>
                <w:sz w:val="21"/>
                <w:szCs w:val="21"/>
                <w:color w:val="auto"/>
                <w:w w:val="97"/>
                <w:vertAlign w:val="superscript"/>
              </w:rPr>
              <w:t>(1)</w:t>
            </w:r>
          </w:p>
        </w:tc>
        <w:tc>
          <w:tcPr>
            <w:tcW w:w="2180" w:type="dxa"/>
            <w:vAlign w:val="bottom"/>
            <w:gridSpan w:val="2"/>
            <w:shd w:val="clear" w:color="auto" w:fill="CCEEFF"/>
          </w:tcPr>
          <w:p>
            <w:pPr>
              <w:jc w:val="right"/>
              <w:ind w:right="757"/>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December 31, 2020</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57"/>
        </w:trPr>
        <w:tc>
          <w:tcPr>
            <w:tcW w:w="2040" w:type="dxa"/>
            <w:vAlign w:val="bottom"/>
          </w:tcPr>
          <w:p>
            <w:pPr>
              <w:jc w:val="center"/>
              <w:spacing w:after="0"/>
              <w:rPr>
                <w:sz w:val="20"/>
                <w:szCs w:val="20"/>
                <w:color w:val="auto"/>
              </w:rPr>
            </w:pPr>
            <w:r>
              <w:rPr>
                <w:rFonts w:ascii="Arial" w:cs="Arial" w:eastAsia="Arial" w:hAnsi="Arial"/>
                <w:sz w:val="16"/>
                <w:szCs w:val="16"/>
                <w:color w:val="auto"/>
              </w:rPr>
              <w:t>$200 million</w:t>
            </w:r>
          </w:p>
        </w:tc>
        <w:tc>
          <w:tcPr>
            <w:tcW w:w="2140" w:type="dxa"/>
            <w:vAlign w:val="bottom"/>
          </w:tcPr>
          <w:p>
            <w:pPr>
              <w:jc w:val="center"/>
              <w:ind w:left="64"/>
              <w:spacing w:after="0"/>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(2)</w:t>
            </w:r>
          </w:p>
        </w:tc>
        <w:tc>
          <w:tcPr>
            <w:tcW w:w="2180" w:type="dxa"/>
            <w:vAlign w:val="bottom"/>
            <w:gridSpan w:val="2"/>
          </w:tcPr>
          <w:p>
            <w:pPr>
              <w:ind w:left="740"/>
              <w:spacing w:after="0"/>
              <w:rPr>
                <w:sz w:val="20"/>
                <w:szCs w:val="20"/>
                <w:color w:val="auto"/>
              </w:rPr>
            </w:pPr>
            <w:r>
              <w:rPr>
                <w:rFonts w:ascii="Arial" w:cs="Arial" w:eastAsia="Arial" w:hAnsi="Arial"/>
                <w:sz w:val="16"/>
                <w:szCs w:val="16"/>
                <w:color w:val="auto"/>
              </w:rPr>
              <w:t>1.71%</w:t>
            </w:r>
            <w:r>
              <w:rPr>
                <w:rFonts w:ascii="Arial" w:cs="Arial" w:eastAsia="Arial" w:hAnsi="Arial"/>
                <w:sz w:val="21"/>
                <w:szCs w:val="21"/>
                <w:color w:val="auto"/>
                <w:vertAlign w:val="superscript"/>
              </w:rPr>
              <w:t>(3)</w:t>
            </w:r>
          </w:p>
        </w:tc>
        <w:tc>
          <w:tcPr>
            <w:tcW w:w="100" w:type="dxa"/>
            <w:vAlign w:val="bottom"/>
          </w:tcPr>
          <w:p>
            <w:pPr>
              <w:spacing w:after="0"/>
              <w:rPr>
                <w:sz w:val="22"/>
                <w:szCs w:val="22"/>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6"/>
                <w:szCs w:val="16"/>
                <w:color w:val="auto"/>
              </w:rPr>
              <w:t>April 30, 2022</w:t>
            </w:r>
          </w:p>
        </w:tc>
        <w:tc>
          <w:tcPr>
            <w:tcW w:w="2320" w:type="dxa"/>
            <w:vAlign w:val="bottom"/>
          </w:tcPr>
          <w:p>
            <w:pPr>
              <w:jc w:val="center"/>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$150 million</w:t>
            </w:r>
          </w:p>
        </w:tc>
        <w:tc>
          <w:tcPr>
            <w:tcW w:w="2140" w:type="dxa"/>
            <w:vAlign w:val="bottom"/>
            <w:shd w:val="clear" w:color="auto" w:fill="CCEEFF"/>
          </w:tcPr>
          <w:p>
            <w:pPr>
              <w:jc w:val="center"/>
              <w:ind w:left="64"/>
              <w:spacing w:after="0" w:line="216" w:lineRule="exact"/>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(2)</w:t>
            </w:r>
          </w:p>
        </w:tc>
        <w:tc>
          <w:tcPr>
            <w:tcW w:w="2180" w:type="dxa"/>
            <w:vAlign w:val="bottom"/>
            <w:gridSpan w:val="2"/>
            <w:shd w:val="clear" w:color="auto" w:fill="CCEEFF"/>
          </w:tcPr>
          <w:p>
            <w:pPr>
              <w:ind w:left="740"/>
              <w:spacing w:after="0" w:line="216" w:lineRule="exact"/>
              <w:rPr>
                <w:sz w:val="20"/>
                <w:szCs w:val="20"/>
                <w:color w:val="auto"/>
              </w:rPr>
            </w:pPr>
            <w:r>
              <w:rPr>
                <w:rFonts w:ascii="Arial" w:cs="Arial" w:eastAsia="Arial" w:hAnsi="Arial"/>
                <w:sz w:val="16"/>
                <w:szCs w:val="16"/>
                <w:color w:val="auto"/>
              </w:rPr>
              <w:t>2.79%</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June 30, 2022</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16"/>
        </w:trPr>
        <w:tc>
          <w:tcPr>
            <w:tcW w:w="2040" w:type="dxa"/>
            <w:vAlign w:val="bottom"/>
          </w:tcPr>
          <w:p>
            <w:pPr>
              <w:jc w:val="center"/>
              <w:spacing w:after="0"/>
              <w:rPr>
                <w:sz w:val="20"/>
                <w:szCs w:val="20"/>
                <w:color w:val="auto"/>
              </w:rPr>
            </w:pPr>
            <w:r>
              <w:rPr>
                <w:rFonts w:ascii="Arial" w:cs="Arial" w:eastAsia="Arial" w:hAnsi="Arial"/>
                <w:sz w:val="16"/>
                <w:szCs w:val="16"/>
                <w:color w:val="auto"/>
              </w:rPr>
              <w:t>$250 million</w:t>
            </w:r>
          </w:p>
        </w:tc>
        <w:tc>
          <w:tcPr>
            <w:tcW w:w="2140" w:type="dxa"/>
            <w:vAlign w:val="bottom"/>
          </w:tcPr>
          <w:p>
            <w:pPr>
              <w:jc w:val="center"/>
              <w:ind w:left="64"/>
              <w:spacing w:after="0" w:line="216" w:lineRule="exact"/>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(2)</w:t>
            </w:r>
          </w:p>
        </w:tc>
        <w:tc>
          <w:tcPr>
            <w:tcW w:w="2180" w:type="dxa"/>
            <w:vAlign w:val="bottom"/>
            <w:gridSpan w:val="2"/>
          </w:tcPr>
          <w:p>
            <w:pPr>
              <w:ind w:left="740"/>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6"/>
                <w:szCs w:val="16"/>
                <w:color w:val="auto"/>
              </w:rPr>
              <w:t>June 30, 2023</w:t>
            </w:r>
          </w:p>
        </w:tc>
        <w:tc>
          <w:tcPr>
            <w:tcW w:w="2320" w:type="dxa"/>
            <w:vAlign w:val="bottom"/>
          </w:tcPr>
          <w:p>
            <w:pPr>
              <w:jc w:val="center"/>
              <w:spacing w:after="0"/>
              <w:rPr>
                <w:sz w:val="20"/>
                <w:szCs w:val="20"/>
                <w:color w:val="auto"/>
              </w:rPr>
            </w:pPr>
            <w:r>
              <w:rPr>
                <w:rFonts w:ascii="Arial" w:cs="Arial" w:eastAsia="Arial" w:hAnsi="Arial"/>
                <w:sz w:val="16"/>
                <w:szCs w:val="16"/>
                <w:color w:val="auto"/>
              </w:rPr>
              <w:t>June 30, 2026</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 million</w:t>
            </w:r>
          </w:p>
        </w:tc>
        <w:tc>
          <w:tcPr>
            <w:tcW w:w="2140" w:type="dxa"/>
            <w:vAlign w:val="bottom"/>
            <w:shd w:val="clear" w:color="auto" w:fill="CCEEFF"/>
          </w:tcPr>
          <w:p>
            <w:pPr>
              <w:jc w:val="center"/>
              <w:ind w:left="64"/>
              <w:spacing w:after="0" w:line="216" w:lineRule="exact"/>
              <w:rPr>
                <w:sz w:val="20"/>
                <w:szCs w:val="20"/>
                <w:color w:val="auto"/>
              </w:rPr>
            </w:pPr>
            <w:r>
              <w:rPr>
                <w:rFonts w:ascii="Arial" w:cs="Arial" w:eastAsia="Arial" w:hAnsi="Arial"/>
                <w:sz w:val="16"/>
                <w:szCs w:val="16"/>
                <w:color w:val="auto"/>
                <w:w w:val="96"/>
              </w:rPr>
              <w:t>1 month SOFR</w:t>
            </w:r>
            <w:r>
              <w:rPr>
                <w:rFonts w:ascii="Arial" w:cs="Arial" w:eastAsia="Arial" w:hAnsi="Arial"/>
                <w:sz w:val="21"/>
                <w:szCs w:val="21"/>
                <w:color w:val="auto"/>
                <w:w w:val="96"/>
                <w:vertAlign w:val="superscript"/>
              </w:rPr>
              <w:t>(2)</w:t>
            </w:r>
          </w:p>
        </w:tc>
        <w:tc>
          <w:tcPr>
            <w:tcW w:w="21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December 31, 2023</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w:t>
      </w:r>
    </w:p>
    <w:p>
      <w:pPr>
        <w:ind w:left="160" w:hanging="152"/>
        <w:spacing w:after="0" w:line="234" w:lineRule="auto"/>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Subject to a 0% floor.</w:t>
      </w:r>
    </w:p>
    <w:p>
      <w:pPr>
        <w:ind w:left="160" w:hanging="152"/>
        <w:spacing w:after="0" w:line="187" w:lineRule="auto"/>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Subject to a 0.5% floor.</w:t>
      </w:r>
    </w:p>
    <w:p>
      <w:pPr>
        <w:ind w:left="220" w:hanging="212"/>
        <w:spacing w:after="0"/>
        <w:tabs>
          <w:tab w:leader="none" w:pos="220" w:val="left"/>
        </w:tabs>
        <w:numPr>
          <w:ilvl w:val="0"/>
          <w:numId w:val="29"/>
        </w:numPr>
        <w:rPr>
          <w:rFonts w:ascii="Arial" w:cs="Arial" w:eastAsia="Arial" w:hAnsi="Arial"/>
          <w:sz w:val="9"/>
          <w:szCs w:val="9"/>
          <w:color w:val="auto"/>
        </w:rPr>
      </w:pPr>
      <w:r>
        <w:rPr>
          <w:rFonts w:ascii="Arial" w:cs="Arial" w:eastAsia="Arial" w:hAnsi="Arial"/>
          <w:sz w:val="14"/>
          <w:szCs w:val="14"/>
          <w:color w:val="auto"/>
        </w:rPr>
        <w:t>Fixed fee of 1.71% effective April 30, 2022, and expiring December 30, 2022, and 3.09% effective December 31, 2022, and expiring December 31, 2023.</w:t>
      </w:r>
    </w:p>
    <w:p>
      <w:pPr>
        <w:spacing w:after="0" w:line="14" w:lineRule="exact"/>
        <w:rPr>
          <w:rFonts w:ascii="Arial" w:cs="Arial" w:eastAsia="Arial" w:hAnsi="Arial"/>
          <w:sz w:val="9"/>
          <w:szCs w:val="9"/>
          <w:color w:val="auto"/>
        </w:rPr>
      </w:pPr>
    </w:p>
    <w:p>
      <w:pPr>
        <w:ind w:left="220" w:hanging="212"/>
        <w:spacing w:after="0" w:line="193" w:lineRule="auto"/>
        <w:tabs>
          <w:tab w:leader="none" w:pos="22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Fixed fee of 2.79% effective June 30, 2022, and expiring December 30, 2022, and 3.98% effective December 31, 2022, and expiring December 31, 2023.</w:t>
      </w:r>
    </w:p>
    <w:p>
      <w:pPr>
        <w:spacing w:after="0" w:line="8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2018, we entered into forward starting interest rate swaps to hedge the interest payments associated with $600 million of the then floating-rate Term Loan B related to the year 2021. In April 2022, we entered into an interest rate swap to hedge the interest payments associated with $200 million of the floating-rate 2022 Term Loan B-1 for the years 2022 and 2023. In June 2022, we entered into an interest rate swap to hedge the interest payments associated with $150 million of the floating-rate 2022 Term Loan B-1 for the years 2022 and 2023. In February 2023, we entered into a forward-starting interest rate swap to hedge the interest payments associated with $250 million of the floating-rate 2022 Term Loan B-1 for the year ended 2024. In June 2023, we entered into an interest rate swap to hedge the interest payments associated with $250 million of the floating-rate 2022 Term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84" w:name="page85"/>
    <w:bookmarkEnd w:id="84"/>
    <w:p>
      <w:pPr>
        <w:jc w:val="both"/>
        <w:spacing w:after="0" w:line="265" w:lineRule="auto"/>
        <w:rPr>
          <w:sz w:val="20"/>
          <w:szCs w:val="20"/>
          <w:color w:val="auto"/>
        </w:rPr>
      </w:pPr>
      <w:r>
        <w:rPr>
          <w:rFonts w:ascii="Arial" w:cs="Arial" w:eastAsia="Arial" w:hAnsi="Arial"/>
          <w:sz w:val="16"/>
          <w:szCs w:val="16"/>
          <w:color w:val="auto"/>
        </w:rPr>
        <w:t>Loan B-2 for the periods through June 2026. We designated these swaps as cash flow hedges. For the year ended December 31, 2023, we recognized a cash flow impact of $7 million related to our interest rate swaps, which is reported as cash provided by operating activities within our consolidated statements of cash flows. As of December 31, 2023, we estimate that $3 million in gains will be reclassified from other comprehensive (loss) income to earnings over the next 12 months.</w:t>
      </w:r>
    </w:p>
    <w:p>
      <w:pPr>
        <w:spacing w:after="0" w:line="7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Subsequent to December 31, 2023, on January 11, 2024, we entered into an interest rate swap to hedge interest payments associated with $250 million of the floating rate 2022 Term Loan B-1 related to the years 2024 and 2025. The total notional outstanding of $250 million became effective January 16, 2024.</w:t>
      </w:r>
    </w:p>
    <w:p>
      <w:pPr>
        <w:spacing w:after="0" w:line="2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fair values of our derivatives designated as hedging instruments as of December 31, 2023 and 2022 are as follows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4640" w:type="dxa"/>
            <w:vAlign w:val="bottom"/>
            <w:tcBorders>
              <w:bottom w:val="single" w:sz="8" w:color="auto"/>
            </w:tcBorders>
            <w:gridSpan w:val="2"/>
          </w:tcPr>
          <w:p>
            <w:pPr>
              <w:ind w:left="2700"/>
              <w:spacing w:after="0"/>
              <w:rPr>
                <w:sz w:val="20"/>
                <w:szCs w:val="20"/>
                <w:color w:val="auto"/>
              </w:rPr>
            </w:pPr>
            <w:r>
              <w:rPr>
                <w:rFonts w:ascii="Arial" w:cs="Arial" w:eastAsia="Arial" w:hAnsi="Arial"/>
                <w:sz w:val="13"/>
                <w:szCs w:val="13"/>
                <w:b w:val="1"/>
                <w:bCs w:val="1"/>
                <w:color w:val="auto"/>
              </w:rPr>
              <w:t>Derivative Assets (Liabilities)</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3"/>
        </w:trPr>
        <w:tc>
          <w:tcPr>
            <w:tcW w:w="4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Fair Value as of December 31,</w:t>
            </w:r>
          </w:p>
        </w:tc>
      </w:tr>
      <w:tr>
        <w:trPr>
          <w:trHeight w:val="17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Derivatives Designated as Hedging Instruments</w:t>
            </w:r>
          </w:p>
        </w:tc>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Consolidated Balance Sheet Location</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2022</w:t>
            </w:r>
          </w:p>
        </w:tc>
      </w:tr>
      <w:tr>
        <w:trPr>
          <w:trHeight w:val="211"/>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w w:val="99"/>
              </w:rPr>
              <w:t>2,413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4,905</w:t>
            </w:r>
          </w:p>
        </w:tc>
      </w:tr>
      <w:tr>
        <w:trPr>
          <w:trHeight w:val="215"/>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w:t>
            </w:r>
          </w:p>
        </w:tc>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left="366"/>
              <w:spacing w:after="0"/>
              <w:rPr>
                <w:sz w:val="20"/>
                <w:szCs w:val="20"/>
                <w:color w:val="auto"/>
              </w:rPr>
            </w:pPr>
            <w:r>
              <w:rPr>
                <w:rFonts w:ascii="Arial" w:cs="Arial" w:eastAsia="Arial" w:hAnsi="Arial"/>
                <w:sz w:val="16"/>
                <w:szCs w:val="16"/>
                <w:color w:val="auto"/>
                <w:w w:val="98"/>
              </w:rPr>
              <w:t>(4,129)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3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center"/>
              <w:ind w:left="366"/>
              <w:spacing w:after="0"/>
              <w:rPr>
                <w:sz w:val="20"/>
                <w:szCs w:val="20"/>
                <w:color w:val="auto"/>
              </w:rPr>
            </w:pPr>
            <w:r>
              <w:rPr>
                <w:rFonts w:ascii="Arial" w:cs="Arial" w:eastAsia="Arial" w:hAnsi="Arial"/>
                <w:sz w:val="16"/>
                <w:szCs w:val="16"/>
                <w:color w:val="auto"/>
                <w:w w:val="98"/>
              </w:rPr>
              <w:t>(1,716)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4,737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effects of derivative instruments, net of taxes, on OCI for the years ended December 31, 2023, 2022 and 2021 are as follows (in thousands):</w:t>
      </w:r>
    </w:p>
    <w:p>
      <w:pPr>
        <w:spacing w:after="0" w:line="201" w:lineRule="exact"/>
        <w:rPr>
          <w:sz w:val="20"/>
          <w:szCs w:val="20"/>
          <w:color w:val="auto"/>
        </w:rPr>
      </w:pPr>
    </w:p>
    <w:p>
      <w:pPr>
        <w:jc w:val="center"/>
        <w:ind w:left="6840"/>
        <w:spacing w:after="0"/>
        <w:rPr>
          <w:sz w:val="20"/>
          <w:szCs w:val="20"/>
          <w:color w:val="auto"/>
        </w:rPr>
      </w:pPr>
      <w:r>
        <w:rPr>
          <w:rFonts w:ascii="Arial" w:cs="Arial" w:eastAsia="Arial" w:hAnsi="Arial"/>
          <w:sz w:val="13"/>
          <w:szCs w:val="13"/>
          <w:b w:val="1"/>
          <w:bCs w:val="1"/>
          <w:color w:val="auto"/>
        </w:rPr>
        <w:t>Amount of (Losses) Gains</w:t>
      </w:r>
    </w:p>
    <w:p>
      <w:pPr>
        <w:jc w:val="center"/>
        <w:ind w:left="6840"/>
        <w:spacing w:after="0"/>
        <w:rPr>
          <w:sz w:val="20"/>
          <w:szCs w:val="20"/>
          <w:color w:val="auto"/>
        </w:rPr>
      </w:pPr>
      <w:r>
        <w:rPr>
          <w:rFonts w:ascii="Arial" w:cs="Arial" w:eastAsia="Arial" w:hAnsi="Arial"/>
          <w:sz w:val="13"/>
          <w:szCs w:val="13"/>
          <w:b w:val="1"/>
          <w:bCs w:val="1"/>
          <w:color w:val="auto"/>
        </w:rPr>
        <w:t>Recognized in OCI on Derivative,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11430</wp:posOffset>
            </wp:positionV>
            <wp:extent cx="27520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52090" cy="8890"/>
                    </a:xfrm>
                    <a:prstGeom prst="rect">
                      <a:avLst/>
                    </a:prstGeom>
                    <a:noFill/>
                  </pic:spPr>
                </pic:pic>
              </a:graphicData>
            </a:graphic>
          </wp:anchor>
        </w:drawing>
      </w:r>
    </w:p>
    <w:p>
      <w:pPr>
        <w:spacing w:after="0" w:line="8" w:lineRule="exact"/>
        <w:rPr>
          <w:sz w:val="20"/>
          <w:szCs w:val="20"/>
          <w:color w:val="auto"/>
        </w:rPr>
      </w:pPr>
    </w:p>
    <w:p>
      <w:pPr>
        <w:ind w:left="8280"/>
        <w:spacing w:after="0"/>
        <w:rPr>
          <w:sz w:val="20"/>
          <w:szCs w:val="20"/>
          <w:color w:val="auto"/>
        </w:rPr>
      </w:pPr>
      <w:r>
        <w:rPr>
          <w:rFonts w:ascii="Arial" w:cs="Arial" w:eastAsia="Arial" w:hAnsi="Arial"/>
          <w:sz w:val="13"/>
          <w:szCs w:val="13"/>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6840" w:type="dxa"/>
            <w:vAlign w:val="bottom"/>
            <w:gridSpan w:val="5"/>
          </w:tcPr>
          <w:p>
            <w:pPr>
              <w:ind w:left="20"/>
              <w:spacing w:after="0"/>
              <w:rPr>
                <w:sz w:val="20"/>
                <w:szCs w:val="20"/>
                <w:color w:val="auto"/>
              </w:rPr>
            </w:pPr>
            <w:r>
              <w:rPr>
                <w:rFonts w:ascii="Arial" w:cs="Arial" w:eastAsia="Arial" w:hAnsi="Arial"/>
                <w:sz w:val="13"/>
                <w:szCs w:val="13"/>
                <w:b w:val="1"/>
                <w:bCs w:val="1"/>
                <w:color w:val="auto"/>
              </w:rPr>
              <w:t>Derivatives in Cash Flow Hedging Relationships</w:t>
            </w: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68"/>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center"/>
              <w:ind w:left="385"/>
              <w:spacing w:after="0"/>
              <w:rPr>
                <w:sz w:val="20"/>
                <w:szCs w:val="20"/>
                <w:color w:val="auto"/>
              </w:rPr>
            </w:pPr>
            <w:r>
              <w:rPr>
                <w:rFonts w:ascii="Arial" w:cs="Arial" w:eastAsia="Arial" w:hAnsi="Arial"/>
                <w:sz w:val="16"/>
                <w:szCs w:val="16"/>
                <w:color w:val="auto"/>
                <w:w w:val="99"/>
              </w:rPr>
              <w:t>5,658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center"/>
              <w:ind w:left="385"/>
              <w:spacing w:after="0"/>
              <w:rPr>
                <w:sz w:val="20"/>
                <w:szCs w:val="20"/>
                <w:color w:val="auto"/>
              </w:rPr>
            </w:pPr>
            <w:r>
              <w:rPr>
                <w:rFonts w:ascii="Arial" w:cs="Arial" w:eastAsia="Arial" w:hAnsi="Arial"/>
                <w:sz w:val="16"/>
                <w:szCs w:val="16"/>
                <w:color w:val="auto"/>
                <w:w w:val="99"/>
              </w:rPr>
              <w:t>5,658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gridSpan w:val="11"/>
          </w:tcPr>
          <w:p>
            <w:pPr>
              <w:jc w:val="center"/>
              <w:ind w:right="205"/>
              <w:spacing w:after="0"/>
              <w:rPr>
                <w:sz w:val="20"/>
                <w:szCs w:val="20"/>
                <w:color w:val="auto"/>
              </w:rPr>
            </w:pPr>
            <w:r>
              <w:rPr>
                <w:rFonts w:ascii="Arial" w:cs="Arial" w:eastAsia="Arial" w:hAnsi="Arial"/>
                <w:sz w:val="13"/>
                <w:szCs w:val="13"/>
                <w:b w:val="1"/>
                <w:bCs w:val="1"/>
                <w:color w:val="auto"/>
                <w:w w:val="96"/>
              </w:rPr>
              <w:t>Amount of (Gains) Losses Reclassified from Accumulated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0"/>
          </w:tcPr>
          <w:p>
            <w:pPr>
              <w:jc w:val="center"/>
              <w:ind w:left="688"/>
              <w:spacing w:after="0"/>
              <w:rPr>
                <w:sz w:val="20"/>
                <w:szCs w:val="20"/>
                <w:color w:val="auto"/>
              </w:rPr>
            </w:pPr>
            <w:r>
              <w:rPr>
                <w:rFonts w:ascii="Arial" w:cs="Arial" w:eastAsia="Arial" w:hAnsi="Arial"/>
                <w:sz w:val="13"/>
                <w:szCs w:val="13"/>
                <w:b w:val="1"/>
                <w:bCs w:val="1"/>
                <w:color w:val="auto"/>
                <w:w w:val="97"/>
              </w:rPr>
              <w:t>OCI into Income, Effective Portion</w:t>
            </w: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center"/>
              <w:ind w:right="219"/>
              <w:spacing w:after="0"/>
              <w:rPr>
                <w:sz w:val="20"/>
                <w:szCs w:val="20"/>
                <w:color w:val="auto"/>
              </w:rPr>
            </w:pPr>
            <w:r>
              <w:rPr>
                <w:rFonts w:ascii="Arial" w:cs="Arial" w:eastAsia="Arial" w:hAnsi="Arial"/>
                <w:sz w:val="13"/>
                <w:szCs w:val="13"/>
                <w:b w:val="1"/>
                <w:bCs w:val="1"/>
                <w:color w:val="auto"/>
                <w:w w:val="96"/>
              </w:rPr>
              <w:t>Year Ended December 31,</w:t>
            </w: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20" w:type="dxa"/>
            <w:vAlign w:val="bottom"/>
            <w:gridSpan w:val="3"/>
          </w:tcPr>
          <w:p>
            <w:pPr>
              <w:ind w:left="20"/>
              <w:spacing w:after="0" w:line="105" w:lineRule="exact"/>
              <w:rPr>
                <w:sz w:val="20"/>
                <w:szCs w:val="20"/>
                <w:color w:val="auto"/>
              </w:rPr>
            </w:pPr>
            <w:r>
              <w:rPr>
                <w:rFonts w:ascii="Arial" w:cs="Arial" w:eastAsia="Arial" w:hAnsi="Arial"/>
                <w:sz w:val="12"/>
                <w:szCs w:val="12"/>
                <w:b w:val="1"/>
                <w:bCs w:val="1"/>
                <w:color w:val="auto"/>
              </w:rPr>
              <w:t>Derivatives in Cash Flow Hedging</w:t>
            </w:r>
          </w:p>
        </w:tc>
        <w:tc>
          <w:tcPr>
            <w:tcW w:w="4060" w:type="dxa"/>
            <w:vAlign w:val="bottom"/>
            <w:gridSpan w:val="3"/>
            <w:vMerge w:val="restart"/>
          </w:tcPr>
          <w:p>
            <w:pPr>
              <w:ind w:left="1180"/>
              <w:spacing w:after="0"/>
              <w:rPr>
                <w:sz w:val="20"/>
                <w:szCs w:val="20"/>
                <w:color w:val="auto"/>
              </w:rPr>
            </w:pPr>
            <w:r>
              <w:rPr>
                <w:rFonts w:ascii="Arial" w:cs="Arial" w:eastAsia="Arial" w:hAnsi="Arial"/>
                <w:sz w:val="13"/>
                <w:szCs w:val="13"/>
                <w:b w:val="1"/>
                <w:bCs w:val="1"/>
                <w:color w:val="auto"/>
              </w:rPr>
              <w:t>Income Statement Location</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right"/>
              <w:ind w:right="425"/>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vMerge w:val="restart"/>
          </w:tcPr>
          <w:p>
            <w:pPr>
              <w:jc w:val="right"/>
              <w:ind w:right="485"/>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820" w:type="dxa"/>
            <w:vAlign w:val="bottom"/>
            <w:gridSpan w:val="3"/>
          </w:tcPr>
          <w:p>
            <w:pPr>
              <w:ind w:left="20"/>
              <w:spacing w:after="0"/>
              <w:rPr>
                <w:sz w:val="20"/>
                <w:szCs w:val="20"/>
                <w:color w:val="auto"/>
              </w:rPr>
            </w:pPr>
            <w:r>
              <w:rPr>
                <w:rFonts w:ascii="Arial" w:cs="Arial" w:eastAsia="Arial" w:hAnsi="Arial"/>
                <w:sz w:val="13"/>
                <w:szCs w:val="13"/>
                <w:b w:val="1"/>
                <w:bCs w:val="1"/>
                <w:color w:val="auto"/>
              </w:rPr>
              <w:t>Relationships</w:t>
            </w:r>
          </w:p>
        </w:tc>
        <w:tc>
          <w:tcPr>
            <w:tcW w:w="40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(6,652)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gridSpan w:val="2"/>
            <w:shd w:val="clear" w:color="auto" w:fill="CCEEFF"/>
          </w:tcPr>
          <w:p>
            <w:pPr>
              <w:jc w:val="center"/>
              <w:ind w:left="405"/>
              <w:spacing w:after="0"/>
              <w:rPr>
                <w:sz w:val="20"/>
                <w:szCs w:val="20"/>
                <w:color w:val="auto"/>
              </w:rPr>
            </w:pPr>
            <w:r>
              <w:rPr>
                <w:rFonts w:ascii="Arial" w:cs="Arial" w:eastAsia="Arial" w:hAnsi="Arial"/>
                <w:sz w:val="16"/>
                <w:szCs w:val="16"/>
                <w:color w:val="auto"/>
              </w:rPr>
              <w:t>(1,082)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(6,652)</w:t>
            </w:r>
          </w:p>
        </w:tc>
        <w:tc>
          <w:tcPr>
            <w:tcW w:w="100" w:type="dxa"/>
            <w:vAlign w:val="bottom"/>
            <w:gridSpan w:val="2"/>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2"/>
          </w:tcPr>
          <w:p>
            <w:pPr>
              <w:jc w:val="center"/>
              <w:ind w:left="405"/>
              <w:spacing w:after="0"/>
              <w:rPr>
                <w:sz w:val="20"/>
                <w:szCs w:val="20"/>
                <w:color w:val="auto"/>
              </w:rPr>
            </w:pPr>
            <w:r>
              <w:rPr>
                <w:rFonts w:ascii="Arial" w:cs="Arial" w:eastAsia="Arial" w:hAnsi="Arial"/>
                <w:sz w:val="16"/>
                <w:szCs w:val="16"/>
                <w:color w:val="auto"/>
              </w:rPr>
              <w:t>(1,082)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Fair Value Measurements</w:t>
      </w:r>
    </w:p>
    <w:p>
      <w:pPr>
        <w:spacing w:after="0" w:line="12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1—Inputs are unadjusted quoted prices that are available in active markets for identical assets or liabilities.</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and Liabilities that are Measured at Fair Value on a Recurring Basis</w:t>
      </w:r>
    </w:p>
    <w:p>
      <w:pPr>
        <w:spacing w:after="0" w:line="111"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is estimated using a combined income and market-based valuation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Level 2 inputs, including credit ratings and forward interest rate yield curves obtained from independent pricing services.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5" w:name="page86"/>
    <w:bookmarkEnd w:id="85"/>
    <w:p>
      <w:pPr>
        <w:ind w:left="500"/>
        <w:spacing w:after="0"/>
        <w:rPr>
          <w:sz w:val="20"/>
          <w:szCs w:val="20"/>
          <w:color w:val="auto"/>
        </w:rPr>
      </w:pPr>
      <w:r>
        <w:rPr>
          <w:rFonts w:ascii="Arial" w:cs="Arial" w:eastAsia="Arial" w:hAnsi="Arial"/>
          <w:sz w:val="16"/>
          <w:szCs w:val="16"/>
          <w:i w:val="1"/>
          <w:iCs w:val="1"/>
          <w:color w:val="auto"/>
        </w:rPr>
        <w:t>Pension Plan Assets</w:t>
      </w:r>
      <w:r>
        <w:rPr>
          <w:rFonts w:ascii="Arial" w:cs="Arial" w:eastAsia="Arial" w:hAnsi="Arial"/>
          <w:sz w:val="16"/>
          <w:szCs w:val="16"/>
          <w:color w:val="auto"/>
        </w:rPr>
        <w:t>—See Note 17. Pension and Other Postretirement Benefit Plans, for fair value information on our pension plan assets.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i w:val="1"/>
          <w:iCs w:val="1"/>
          <w:color w:val="auto"/>
        </w:rPr>
        <w:t>Money market funds</w:t>
      </w:r>
      <w:r>
        <w:rPr>
          <w:rFonts w:ascii="Arial" w:cs="Arial" w:eastAsia="Arial" w:hAnsi="Arial"/>
          <w:sz w:val="16"/>
          <w:szCs w:val="16"/>
          <w:color w:val="auto"/>
        </w:rPr>
        <w:t>—Our valuation technique used to measure the fair values of our money market funds was derived from quoted market prices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active markets for these instruments that exist.</w:t>
      </w:r>
    </w:p>
    <w:p>
      <w:pPr>
        <w:spacing w:after="0" w:line="3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i w:val="1"/>
          <w:iCs w:val="1"/>
          <w:color w:val="auto"/>
        </w:rPr>
        <w:t>Time deposits</w:t>
      </w:r>
      <w:r>
        <w:rPr>
          <w:rFonts w:ascii="Arial" w:cs="Arial" w:eastAsia="Arial" w:hAnsi="Arial"/>
          <w:sz w:val="16"/>
          <w:szCs w:val="16"/>
          <w:color w:val="auto"/>
        </w:rPr>
        <w:t>—Our valuation technique used to measure the fair values of our time deposit instruments was derived from the following: non-binding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consensus prices that were corroborated by observable market data and quoted market prices for similar instruments.</w:t>
      </w:r>
    </w:p>
    <w:p>
      <w:pPr>
        <w:spacing w:after="0" w:line="3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Investment in securities—</w:t>
      </w:r>
      <w:r>
        <w:rPr>
          <w:rFonts w:ascii="Arial" w:cs="Arial" w:eastAsia="Arial" w:hAnsi="Arial"/>
          <w:sz w:val="16"/>
          <w:szCs w:val="16"/>
          <w:color w:val="auto"/>
        </w:rPr>
        <w:t>In May 2022, we acquired 8 million shares of Class A Common Stock, par value of $0.0001 per share, of Global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Travel Group, Inc. ("GBT") for an aggregate purchase price of $80 million, which is included in prepaid expenses and other current assets in our consolidated balance sheets. As of December 31, 2023, we continued to own these 8 million shares. The terms of these shares do not contain any restrictions that would impact our ability to sell the shares in the future. The fair value of our investment in GBT is based on its share price, a Level 1 input, as the stock is publicly traded on the New York Stock Exchange under the symbol GBTG.</w:t>
      </w:r>
    </w:p>
    <w:p>
      <w:pPr>
        <w:spacing w:after="0" w:line="64"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following tables present our assets (liabilities) that are required to be measured at fair value on a recurring basis as of December 31, 2023 and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2023</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0"/>
        </w:trPr>
        <w:tc>
          <w:tcPr>
            <w:tcW w:w="400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51,970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261,551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261,551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177,608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177,608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493,542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313,521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180,021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0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(4,129)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(4,129)</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17" w:lineRule="exact"/>
        <w:rPr>
          <w:sz w:val="20"/>
          <w:szCs w:val="20"/>
          <w:color w:val="auto"/>
        </w:rPr>
      </w:pPr>
    </w:p>
    <w:p>
      <w:pPr>
        <w:ind w:left="480" w:hanging="148"/>
        <w:spacing w:after="0"/>
        <w:tabs>
          <w:tab w:leader="none" w:pos="48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See Note 11. Derivatives for further detail.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2022</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197"/>
        </w:trPr>
        <w:tc>
          <w:tcPr>
            <w:tcW w:w="4000" w:type="dxa"/>
            <w:vAlign w:val="bottom"/>
            <w:tcBorders>
              <w:top w:val="single" w:sz="8" w:color="CCEEFF"/>
            </w:tcBorders>
            <w:shd w:val="clear" w:color="auto" w:fill="CCEEFF"/>
          </w:tcPr>
          <w:p>
            <w:pPr>
              <w:ind w:left="20"/>
              <w:spacing w:after="0" w:line="197"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4,905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4,905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54,303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153,252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153,252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444,835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444,835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657,295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207,555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449,740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0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17" w:lineRule="exact"/>
        <w:rPr>
          <w:sz w:val="20"/>
          <w:szCs w:val="20"/>
          <w:color w:val="auto"/>
        </w:rPr>
      </w:pPr>
    </w:p>
    <w:p>
      <w:pPr>
        <w:ind w:left="480" w:hanging="148"/>
        <w:spacing w:after="0"/>
        <w:tabs>
          <w:tab w:leader="none" w:pos="48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See Note 11. Derivatives for further detail.</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transfers between Levels 1 and 2 within the fair value hierarchy for the years ended December 31, 2023 and 2022.</w:t>
      </w:r>
    </w:p>
    <w:p>
      <w:pPr>
        <w:spacing w:after="0" w:line="113"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color w:val="auto"/>
        </w:rPr>
        <w:t>Unrealized losses recognized during the year ended December 31, 2023 and 2022 from our investments in securities totaled $2 million and $26 million, respectively, which are recorded to Other, net within our results of operations.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Financial Instruments</w:t>
      </w:r>
    </w:p>
    <w:p>
      <w:pPr>
        <w:spacing w:after="0" w:line="12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carrying value of our financial instruments including cash and cash equivalents, restricted cash and accounts receivable approximates their fair values due to the short term nature of these instruments. The fair values of our Exchangeable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86" w:name="page87"/>
    <w:bookmarkEnd w:id="86"/>
    <w:p>
      <w:pPr>
        <w:jc w:val="both"/>
        <w:spacing w:after="0" w:line="265" w:lineRule="auto"/>
        <w:rPr>
          <w:sz w:val="20"/>
          <w:szCs w:val="20"/>
          <w:color w:val="auto"/>
        </w:rPr>
      </w:pPr>
      <w:r>
        <w:rPr>
          <w:rFonts w:ascii="Arial" w:cs="Arial" w:eastAsia="Arial" w:hAnsi="Arial"/>
          <w:sz w:val="16"/>
          <w:szCs w:val="16"/>
          <w:color w:val="auto"/>
        </w:rPr>
        <w:t>Notes, senior secured notes due 2025 and 2027 and term loans under our Amended and Restated Credit Agreement are determined based on quoted market prices for a similar liability when traded as an asset in an active market, a Level 2 input. At December 31, 2023, the fair value of the Senior Secured Term Loan Due 2028 was determined using a valuation model that includes certain assumptions and Level 3 inputs. The outstanding principal balances of our AR Facility approximated its fair value as of December 31, 2023.</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fair value and carrying value of our senior notes and borrowings under our senior secured credit facilities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and 2022 (in thousands):</w:t>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5"/>
          </w:tcPr>
          <w:p>
            <w:pPr>
              <w:ind w:left="540"/>
              <w:spacing w:after="0"/>
              <w:rPr>
                <w:sz w:val="20"/>
                <w:szCs w:val="20"/>
                <w:color w:val="auto"/>
              </w:rPr>
            </w:pPr>
            <w:r>
              <w:rPr>
                <w:rFonts w:ascii="Arial" w:cs="Arial" w:eastAsia="Arial" w:hAnsi="Arial"/>
                <w:sz w:val="13"/>
                <w:szCs w:val="13"/>
                <w:b w:val="1"/>
                <w:bCs w:val="1"/>
                <w:color w:val="auto"/>
              </w:rPr>
              <w:t>As of December 31, 2023</w:t>
            </w:r>
          </w:p>
        </w:tc>
        <w:tc>
          <w:tcPr>
            <w:tcW w:w="280" w:type="dxa"/>
            <w:vAlign w:val="bottom"/>
          </w:tcPr>
          <w:p>
            <w:pPr>
              <w:spacing w:after="0"/>
              <w:rPr>
                <w:sz w:val="15"/>
                <w:szCs w:val="15"/>
                <w:color w:val="auto"/>
              </w:rPr>
            </w:pPr>
          </w:p>
        </w:tc>
        <w:tc>
          <w:tcPr>
            <w:tcW w:w="2860" w:type="dxa"/>
            <w:vAlign w:val="bottom"/>
            <w:gridSpan w:val="4"/>
          </w:tcPr>
          <w:p>
            <w:pPr>
              <w:jc w:val="right"/>
              <w:ind w:right="741"/>
              <w:spacing w:after="0"/>
              <w:rPr>
                <w:sz w:val="20"/>
                <w:szCs w:val="20"/>
                <w:color w:val="auto"/>
              </w:rPr>
            </w:pPr>
            <w:r>
              <w:rPr>
                <w:rFonts w:ascii="Arial" w:cs="Arial" w:eastAsia="Arial" w:hAnsi="Arial"/>
                <w:sz w:val="13"/>
                <w:szCs w:val="13"/>
                <w:b w:val="1"/>
                <w:bCs w:val="1"/>
                <w:color w:val="auto"/>
              </w:rPr>
              <w:t>As of December 31, 2022</w:t>
            </w:r>
          </w:p>
        </w:tc>
      </w:tr>
      <w:tr>
        <w:trPr>
          <w:trHeight w:val="176"/>
        </w:trPr>
        <w:tc>
          <w:tcPr>
            <w:tcW w:w="468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Financial Instrument</w:t>
            </w:r>
          </w:p>
        </w:tc>
        <w:tc>
          <w:tcPr>
            <w:tcW w:w="3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Fair Value</w:t>
            </w: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81"/>
              <w:spacing w:after="0" w:line="175" w:lineRule="exact"/>
              <w:rPr>
                <w:sz w:val="20"/>
                <w:szCs w:val="20"/>
                <w:color w:val="auto"/>
              </w:rPr>
            </w:pPr>
            <w:r>
              <w:rPr>
                <w:rFonts w:ascii="Arial" w:cs="Arial" w:eastAsia="Arial" w:hAnsi="Arial"/>
                <w:sz w:val="13"/>
                <w:szCs w:val="13"/>
                <w:b w:val="1"/>
                <w:bCs w:val="1"/>
                <w:color w:val="auto"/>
                <w:w w:val="99"/>
              </w:rPr>
              <w:t>Carrying Value</w:t>
            </w:r>
            <w:r>
              <w:rPr>
                <w:rFonts w:ascii="Arial" w:cs="Arial" w:eastAsia="Arial" w:hAnsi="Arial"/>
                <w:sz w:val="16"/>
                <w:szCs w:val="16"/>
                <w:b w:val="1"/>
                <w:bCs w:val="1"/>
                <w:color w:val="auto"/>
                <w:w w:val="99"/>
                <w:vertAlign w:val="superscript"/>
              </w:rPr>
              <w:t>(1)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81"/>
              <w:spacing w:after="0" w:line="175" w:lineRule="exact"/>
              <w:rPr>
                <w:sz w:val="20"/>
                <w:szCs w:val="20"/>
                <w:color w:val="auto"/>
              </w:rPr>
            </w:pPr>
            <w:r>
              <w:rPr>
                <w:rFonts w:ascii="Arial" w:cs="Arial" w:eastAsia="Arial" w:hAnsi="Arial"/>
                <w:sz w:val="13"/>
                <w:szCs w:val="13"/>
                <w:b w:val="1"/>
                <w:bCs w:val="1"/>
                <w:color w:val="auto"/>
                <w:w w:val="99"/>
              </w:rPr>
              <w:t>Carrying Value</w:t>
            </w:r>
            <w:r>
              <w:rPr>
                <w:rFonts w:ascii="Arial" w:cs="Arial" w:eastAsia="Arial" w:hAnsi="Arial"/>
                <w:sz w:val="16"/>
                <w:szCs w:val="16"/>
                <w:b w:val="1"/>
                <w:bCs w:val="1"/>
                <w:color w:val="auto"/>
                <w:w w:val="99"/>
                <w:vertAlign w:val="superscript"/>
              </w:rPr>
              <w:t>(1)</w:t>
            </w:r>
          </w:p>
        </w:tc>
      </w:tr>
      <w:tr>
        <w:trPr>
          <w:trHeight w:val="209"/>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 Term Loan B-1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344,973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391,366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362,872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397,147</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2021 Term Loan B-2</w:t>
            </w:r>
          </w:p>
        </w:tc>
        <w:tc>
          <w:tcPr>
            <w:tcW w:w="3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540,069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610,545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578,042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629,832</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Term Loan B-1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535,559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598,419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567,974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614,139</w:t>
            </w:r>
          </w:p>
        </w:tc>
      </w:tr>
      <w:tr>
        <w:trPr>
          <w:trHeight w:val="25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2022 Term Loan B-2</w:t>
            </w:r>
          </w:p>
        </w:tc>
        <w:tc>
          <w:tcPr>
            <w:tcW w:w="300" w:type="dxa"/>
            <w:vAlign w:val="bottom"/>
          </w:tcPr>
          <w:p>
            <w:pPr>
              <w:spacing w:after="0"/>
              <w:rPr>
                <w:sz w:val="22"/>
                <w:szCs w:val="22"/>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576,343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618,888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623,235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640,899</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Term Loan Due 2028</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726,582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732,901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9.25% senior secured notes due 2025</w:t>
            </w:r>
          </w:p>
        </w:tc>
        <w:tc>
          <w:tcPr>
            <w:tcW w:w="3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38,291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38,895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774,128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775,000</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7.375% senior secured notes due 2025</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60,496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813,539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850,000</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4.00% senior exchangeable notes due 2025</w:t>
            </w:r>
          </w:p>
        </w:tc>
        <w:tc>
          <w:tcPr>
            <w:tcW w:w="3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326,841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333,220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358,440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333,220</w:t>
            </w:r>
          </w:p>
        </w:tc>
      </w:tr>
      <w:tr>
        <w:trPr>
          <w:trHeight w:val="21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8.625% senior secured notes due 2027</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776,598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852,987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11.25% senior secured notes due 2027</w:t>
            </w:r>
          </w:p>
        </w:tc>
        <w:tc>
          <w:tcPr>
            <w:tcW w:w="30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545,024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546,384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572,058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544,770</w:t>
            </w:r>
          </w:p>
        </w:tc>
      </w:tr>
    </w:tbl>
    <w:p>
      <w:pPr>
        <w:spacing w:after="0" w:line="8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w:t>
      </w:r>
    </w:p>
    <w:p>
      <w:pPr>
        <w:spacing w:after="0" w:line="92"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Excludes net unamortized debt issuance costs.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that are Measured at Fair Value on a Nonrecurring Basis</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As described in Note 1. Summary of Business and Significant Accounting Policies, we assess goodwill and other intangible assets with indefinite lives for impairment annually or more frequently if indicators arise. We continually monitor events and changes in circumstances such as changes in market conditions, near and long-term demand and other relevant factors, that could indicate that the fair value of any one of our reporting units may more likely than not have fallen below its respective carrying amount. Although we have not identified any triggering events or changes in circumstances that would require us to perform a goodwill impairment test, periodically, we will perform a quantitative assessment in the absence of identifying triggering events, as part of the qualitative assessment. In 2023, we elected to perform a quantitative assessment. We did not record any goodwill impairment charges for the year ended December 31, 2023.</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Leases</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lease certain facilities under long-term operating leases. Operating lease assets are included in operating lease right-of-use (“ROU”) assets within other assets, net and operating lease liabilities are included in other accrued liabilities and other noncurrent liabilities in our consolidated balance sheets.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components of lease expense for the years ended December 31, 2023 and 2022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r>
      <w:tr>
        <w:trPr>
          <w:trHeight w:val="171"/>
        </w:trPr>
        <w:tc>
          <w:tcPr>
            <w:tcW w:w="70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2023</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08"/>
              <w:spacing w:after="0"/>
              <w:rPr>
                <w:sz w:val="20"/>
                <w:szCs w:val="20"/>
                <w:color w:val="auto"/>
              </w:rPr>
            </w:pPr>
            <w:r>
              <w:rPr>
                <w:rFonts w:ascii="Arial" w:cs="Arial" w:eastAsia="Arial" w:hAnsi="Arial"/>
                <w:sz w:val="13"/>
                <w:szCs w:val="13"/>
                <w:b w:val="1"/>
                <w:bCs w:val="1"/>
                <w:color w:val="auto"/>
              </w:rPr>
              <w:t>2022</w:t>
            </w: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24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21,588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supplemental cash flow information related to leases (in thousands):</w:t>
      </w:r>
    </w:p>
    <w:p>
      <w:pPr>
        <w:spacing w:after="0" w:line="163" w:lineRule="exact"/>
        <w:rPr>
          <w:sz w:val="20"/>
          <w:szCs w:val="20"/>
          <w:color w:val="auto"/>
        </w:rPr>
      </w:pPr>
    </w:p>
    <w:p>
      <w:pPr>
        <w:jc w:val="center"/>
        <w:ind w:left="70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19050</wp:posOffset>
            </wp:positionV>
            <wp:extent cx="26403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 w:lineRule="exact"/>
        <w:rPr>
          <w:sz w:val="20"/>
          <w:szCs w:val="20"/>
          <w:color w:val="auto"/>
        </w:rPr>
      </w:pPr>
    </w:p>
    <w:p>
      <w:pPr>
        <w:ind w:left="7960"/>
        <w:spacing w:after="0"/>
        <w:tabs>
          <w:tab w:leader="none" w:pos="1006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25" w:lineRule="exact"/>
        <w:rPr>
          <w:sz w:val="20"/>
          <w:szCs w:val="20"/>
          <w:color w:val="auto"/>
        </w:rPr>
      </w:pPr>
    </w:p>
    <w:p>
      <w:pPr>
        <w:ind w:left="140"/>
        <w:spacing w:after="0"/>
        <w:tabs>
          <w:tab w:leader="none" w:pos="7080" w:val="left"/>
          <w:tab w:leader="none" w:pos="8540" w:val="left"/>
          <w:tab w:leader="none" w:pos="9220" w:val="left"/>
          <w:tab w:leader="none" w:pos="10660" w:val="left"/>
        </w:tabs>
        <w:rPr>
          <w:sz w:val="20"/>
          <w:szCs w:val="20"/>
          <w:color w:val="auto"/>
        </w:rPr>
      </w:pPr>
      <w:r>
        <w:rPr>
          <w:rFonts w:ascii="Arial" w:cs="Arial" w:eastAsia="Arial" w:hAnsi="Arial"/>
          <w:sz w:val="16"/>
          <w:szCs w:val="16"/>
          <w:color w:val="auto"/>
        </w:rPr>
        <w:t>Operating cash flows used in operating leases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16,715</w:t>
        <w:tab/>
        <w:t>$</w:t>
      </w:r>
      <w:r>
        <w:rPr>
          <w:sz w:val="20"/>
          <w:szCs w:val="20"/>
          <w:color w:val="auto"/>
        </w:rPr>
        <w:tab/>
      </w:r>
      <w:r>
        <w:rPr>
          <w:rFonts w:ascii="Arial" w:cs="Arial" w:eastAsia="Arial" w:hAnsi="Arial"/>
          <w:sz w:val="15"/>
          <w:szCs w:val="15"/>
          <w:color w:val="auto"/>
        </w:rPr>
        <w:t>20,508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Right-of-use assets obtained in exchange for lease obligations:</w:t>
      </w:r>
    </w:p>
    <w:p>
      <w:pPr>
        <w:spacing w:after="0" w:line="32" w:lineRule="exact"/>
        <w:rPr>
          <w:sz w:val="20"/>
          <w:szCs w:val="20"/>
          <w:color w:val="auto"/>
        </w:rPr>
      </w:pPr>
    </w:p>
    <w:p>
      <w:pPr>
        <w:ind w:left="140"/>
        <w:spacing w:after="0"/>
        <w:tabs>
          <w:tab w:leader="none" w:pos="7080" w:val="left"/>
          <w:tab w:leader="none" w:pos="8620" w:val="left"/>
          <w:tab w:leader="none" w:pos="9220" w:val="left"/>
          <w:tab w:leader="none" w:pos="10740" w:val="left"/>
        </w:tabs>
        <w:rPr>
          <w:sz w:val="20"/>
          <w:szCs w:val="20"/>
          <w:color w:val="auto"/>
        </w:rPr>
      </w:pPr>
      <w:r>
        <w:rPr>
          <w:rFonts w:ascii="Arial" w:cs="Arial" w:eastAsia="Arial" w:hAnsi="Arial"/>
          <w:sz w:val="16"/>
          <w:szCs w:val="16"/>
          <w:color w:val="auto"/>
        </w:rPr>
        <w:t>Operating leases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1,221</w:t>
        <w:tab/>
        <w:t>$</w:t>
      </w:r>
      <w:r>
        <w:rPr>
          <w:sz w:val="20"/>
          <w:szCs w:val="20"/>
          <w:color w:val="auto"/>
        </w:rPr>
        <w:tab/>
      </w:r>
      <w:r>
        <w:rPr>
          <w:rFonts w:ascii="Arial" w:cs="Arial" w:eastAsia="Arial" w:hAnsi="Arial"/>
          <w:sz w:val="15"/>
          <w:szCs w:val="15"/>
          <w:color w:val="auto"/>
        </w:rPr>
        <w:t>4,676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7" w:name="page88"/>
    <w:bookmarkEnd w:id="87"/>
    <w:p>
      <w:pPr>
        <w:ind w:left="500"/>
        <w:spacing w:after="0"/>
        <w:rPr>
          <w:sz w:val="20"/>
          <w:szCs w:val="20"/>
          <w:color w:val="auto"/>
        </w:rPr>
      </w:pPr>
      <w:r>
        <w:rPr>
          <w:rFonts w:ascii="Arial" w:cs="Arial" w:eastAsia="Arial" w:hAnsi="Arial"/>
          <w:sz w:val="16"/>
          <w:szCs w:val="16"/>
          <w:color w:val="auto"/>
        </w:rPr>
        <w:t>The following table presents supplemental balance sheet information related to leases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3"/>
                <w:szCs w:val="13"/>
                <w:b w:val="1"/>
                <w:bCs w:val="1"/>
                <w:color w:val="auto"/>
              </w:rPr>
              <w:t>December 31,</w:t>
            </w: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84"/>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98"/>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1420" w:type="dxa"/>
            <w:vAlign w:val="bottom"/>
            <w:tcBorders>
              <w:bottom w:val="single" w:sz="8" w:color="auto"/>
            </w:tcBorders>
          </w:tcPr>
          <w:p>
            <w:pPr>
              <w:jc w:val="right"/>
              <w:ind w:right="1248"/>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69,895</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85,238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accrued liabilities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17,160</w:t>
            </w:r>
          </w:p>
        </w:tc>
        <w:tc>
          <w:tcPr>
            <w:tcW w:w="0" w:type="dxa"/>
            <w:vAlign w:val="bottom"/>
          </w:tcPr>
          <w:p>
            <w:pPr>
              <w:spacing w:after="0"/>
              <w:rPr>
                <w:sz w:val="1"/>
                <w:szCs w:val="1"/>
                <w:color w:val="auto"/>
              </w:rPr>
            </w:pPr>
          </w:p>
        </w:tc>
      </w:tr>
      <w:tr>
        <w:trPr>
          <w:trHeight w:val="215"/>
        </w:trPr>
        <w:tc>
          <w:tcPr>
            <w:tcW w:w="6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noncurrent liabilities</w:t>
            </w:r>
          </w:p>
        </w:tc>
        <w:tc>
          <w:tcPr>
            <w:tcW w:w="1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56,277</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68,068</w:t>
            </w:r>
          </w:p>
        </w:tc>
        <w:tc>
          <w:tcPr>
            <w:tcW w:w="0" w:type="dxa"/>
            <w:vAlign w:val="bottom"/>
          </w:tcPr>
          <w:p>
            <w:pPr>
              <w:spacing w:after="0"/>
              <w:rPr>
                <w:sz w:val="1"/>
                <w:szCs w:val="1"/>
                <w:color w:val="auto"/>
              </w:rPr>
            </w:pPr>
          </w:p>
        </w:tc>
      </w:tr>
      <w:tr>
        <w:trPr>
          <w:trHeight w:val="235"/>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lease liabilities</w:t>
            </w:r>
          </w:p>
        </w:tc>
        <w:tc>
          <w:tcPr>
            <w:tcW w:w="1420" w:type="dxa"/>
            <w:vAlign w:val="bottom"/>
            <w:tcBorders>
              <w:bottom w:val="single" w:sz="8" w:color="auto"/>
            </w:tcBorders>
            <w:shd w:val="clear" w:color="auto" w:fill="CCEEFF"/>
          </w:tcPr>
          <w:p>
            <w:pPr>
              <w:jc w:val="right"/>
              <w:ind w:right="1248"/>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72,400</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85,228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Arial" w:cs="Arial" w:eastAsia="Arial" w:hAnsi="Arial"/>
                <w:sz w:val="16"/>
                <w:szCs w:val="16"/>
                <w:color w:val="auto"/>
              </w:rPr>
              <w:t>The following table presents other supplemental information related to leases: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67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3"/>
                <w:szCs w:val="13"/>
                <w:b w:val="1"/>
                <w:bCs w:val="1"/>
                <w:color w:val="auto"/>
              </w:rPr>
              <w:t>December 31,</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24"/>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98"/>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 (in years)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6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11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We lease certain facilities under long term operating leases. Collectively, we lease approximately 800 thousand square feet of office space in 61 locations in 38 countries.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 line basis over the term of the lease.</w:t>
      </w:r>
    </w:p>
    <w:p>
      <w:pPr>
        <w:spacing w:after="0" w:line="6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leases have remaining minimum terms that range between one and nine years. Some of our leases include options to extend for up to ten additional years; others include options to terminate the agreement within three months. Future minimum lease payments under non-cancellable operating leases as of December 31, 2023 are as follows (in thousands):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Operating Leases</w:t>
            </w:r>
          </w:p>
        </w:tc>
      </w:tr>
      <w:tr>
        <w:trPr>
          <w:trHeight w:val="213"/>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16,720</w:t>
            </w:r>
          </w:p>
        </w:tc>
      </w:tr>
      <w:tr>
        <w:trPr>
          <w:trHeight w:val="215"/>
        </w:trPr>
        <w:tc>
          <w:tcPr>
            <w:tcW w:w="942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13,695</w:t>
            </w:r>
          </w:p>
        </w:tc>
      </w:tr>
      <w:tr>
        <w:trPr>
          <w:trHeight w:val="217"/>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12,331</w:t>
            </w:r>
          </w:p>
        </w:tc>
      </w:tr>
      <w:tr>
        <w:trPr>
          <w:trHeight w:val="215"/>
        </w:trPr>
        <w:tc>
          <w:tcPr>
            <w:tcW w:w="942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9,141</w:t>
            </w:r>
          </w:p>
        </w:tc>
      </w:tr>
      <w:tr>
        <w:trPr>
          <w:trHeight w:val="217"/>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10,722</w:t>
            </w:r>
          </w:p>
        </w:tc>
      </w:tr>
      <w:tr>
        <w:trPr>
          <w:trHeight w:val="215"/>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29,872</w:t>
            </w:r>
          </w:p>
        </w:tc>
      </w:tr>
      <w:tr>
        <w:trPr>
          <w:trHeight w:val="210"/>
        </w:trPr>
        <w:tc>
          <w:tcPr>
            <w:tcW w:w="9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92,481</w:t>
            </w:r>
          </w:p>
        </w:tc>
      </w:tr>
      <w:tr>
        <w:trPr>
          <w:trHeight w:val="215"/>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Imputed Interest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(20,081)</w:t>
            </w:r>
          </w:p>
        </w:tc>
      </w:tr>
      <w:tr>
        <w:trPr>
          <w:trHeight w:val="235"/>
        </w:trPr>
        <w:tc>
          <w:tcPr>
            <w:tcW w:w="9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72,400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Stock and Stockholders’ Equity</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Preferred Stock</w:t>
      </w:r>
    </w:p>
    <w:p>
      <w:pPr>
        <w:spacing w:after="0" w:line="33"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6"/>
          <w:szCs w:val="16"/>
          <w:color w:val="auto"/>
        </w:rPr>
        <w:t>On August 24, 2020, we completed an offering of 3,340,000 shares of our 6.50% Series A Mandatory Convertible Preferred Stock (the "Preferred Stock"), which generated net proceeds of approximately $323 million for use as general corporate purposes. During the year ended December 31, 2021, a certain holder elected to convert 50,000 shares of preferred stock to 595,240 shares of common stock, leaving 3,290,000 shares outstanding. On September 1, 2023, the mandatory conversion date, each outstanding share of Preferred Stock was automatically converted into shares of our common stock at a rate of 14.2857 of common stock per share of Preferred Stock. The number of shares issued at conversion was approximately 47 million shares.</w:t>
      </w:r>
    </w:p>
    <w:p>
      <w:pPr>
        <w:spacing w:after="0" w:line="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Preferred Stock accumulated cumulative dividends at a rate per annum equal to 6.50% of the liquidation preference of $100 per share (equivalent to $6.50 annually per share) payable in cash or, subject to certain limitations, by delivery of shares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6"/>
          <w:szCs w:val="16"/>
          <w:color w:val="auto"/>
        </w:rPr>
        <w:t>of our common stock or any combination of cash and shares of our common stock, at our election; provided, however, that any undeclared and unpaid dividends would have continued to accumulate.</w:t>
      </w:r>
    </w:p>
    <w:p>
      <w:pPr>
        <w:spacing w:after="0" w:line="6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accrued $14 million and $21 million of preferred stock dividends in our consolidated results of operations for the year ended December 31, 2023 and 2022, respectively. During the year ended December 31, 2023 and 2022, we paid cash dividends on our preferred stock of $16 million and $21 million, respectively.</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For the years ended December 31, 2023, 2022 and 2021 we did not repurchase any shares pursuant to the Share Repurchase Program. On March 16, 2020, we announced the suspension of share repurchases under the Share Repurchase Program in conjunction with certain cash management measures we undertook as a result of the market conditions caused by COVID-19. As of December 31, 2023, the Share Repurchase Program remains suspended and approximately $287 million remains authorized for repurchases.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Exchangeable Notes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On April 17, 2020, we issued $345 million aggregate principal amount of Exchangeable Notes. </w:t>
      </w:r>
      <w:r>
        <w:rPr>
          <w:rFonts w:ascii="Arial" w:cs="Arial" w:eastAsia="Arial" w:hAnsi="Arial"/>
          <w:sz w:val="16"/>
          <w:szCs w:val="16"/>
          <w:color w:val="212529"/>
        </w:rPr>
        <w:t>Under the terms of indenture, the Exchangeable Notes</w:t>
      </w:r>
      <w:r>
        <w:rPr>
          <w:rFonts w:ascii="Arial" w:cs="Arial" w:eastAsia="Arial" w:hAnsi="Arial"/>
          <w:sz w:val="16"/>
          <w:szCs w:val="16"/>
          <w:color w:val="auto"/>
        </w:rPr>
        <w:t xml:space="preserve"> </w:t>
      </w:r>
      <w:r>
        <w:rPr>
          <w:rFonts w:ascii="Arial" w:cs="Arial" w:eastAsia="Arial" w:hAnsi="Arial"/>
          <w:sz w:val="16"/>
          <w:szCs w:val="16"/>
          <w:color w:val="212529"/>
        </w:rPr>
        <w:t xml:space="preserve">are exchangeable into our common stock under specified circumstances, at our election. As of </w:t>
      </w:r>
      <w:r>
        <w:rPr>
          <w:rFonts w:ascii="Arial" w:cs="Arial" w:eastAsia="Arial" w:hAnsi="Arial"/>
          <w:sz w:val="16"/>
          <w:szCs w:val="16"/>
          <w:color w:val="000000"/>
        </w:rPr>
        <w:t>December 31, 2023, we have $333 million aggregate</w:t>
      </w:r>
      <w:r>
        <w:rPr>
          <w:rFonts w:ascii="Arial" w:cs="Arial" w:eastAsia="Arial" w:hAnsi="Arial"/>
          <w:sz w:val="16"/>
          <w:szCs w:val="16"/>
          <w:color w:val="212529"/>
        </w:rPr>
        <w:t xml:space="preserve"> </w:t>
      </w:r>
      <w:r>
        <w:rPr>
          <w:rFonts w:ascii="Arial" w:cs="Arial" w:eastAsia="Arial" w:hAnsi="Arial"/>
          <w:sz w:val="16"/>
          <w:szCs w:val="16"/>
          <w:color w:val="000000"/>
        </w:rPr>
        <w:t>principal amount of Exchangeable Notes outstanding. See Note 10. Debt for further details. Until the notes mature, we expect to settle the principal amount of the outstanding Exchangeable Notes in shares of our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Equity-Based Awards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As of December 31, 2023, our outstanding equity-based compensation plans and agreements include the Sovereign Holdings, Inc. 2012 Management Equity Incentive Plan (“Sovereign 2012 MEIP”), the Sabre Corporation 2014 Omnibus Incentive Compensation Plan (the “2014 Omnibus Plan”), the Sabre Corporation 2016 Omnibus Incentive Compensation Plan (the “2016 Omnibus Plan”), the Sabre Corporation 2019 Omnibus Incentive Compensation Plan (the "2019 Omnibus Plan"), the 2019 Director Equity Compensation Plan (the "2019 Director Plan"), the Sabre Corporation 2021 Omnibus Incentive Compensation Plan (the "2021 Omnibus Plan"), the 2022 Director Equity Compensation Plan (the "2022 Director Plan") and the Sabre Corporation 2023 Omnibus Incentive Compensation Plan (the "2023 Omnibus Plan"). Our 2023 Omnibus Plan serves as a successor to the 2021 Omnibus Plan, the 2019 Omnibus Plan, the 2016 Omnibus Plan, the 2014 Omnibus Plan, and Sovereign 2012 MEIP and provides for the issuance of stock options, restricted shares, restricted stock units (“RSUs”), performance-based RSU awards (“PSUs”), cash incentive compensation and other stock-based awards. Our 2019 Director Plan and 2022 Director Plan provide for the issuance of RSUs, Deferred Stock Units ("DSUs"), and stock options to non-employee Directors. Outstanding awards under all plans continue to be subject to the terms and conditions of their respective plan.</w:t>
      </w:r>
    </w:p>
    <w:p>
      <w:pPr>
        <w:spacing w:after="0" w:line="7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initially reserved 14,000,000 shares of our common stock for issuance under our 2023 Omnibus Plan. We added 13,791,761 shares that were reserved but not issued under the Sovereign Holdings, Inc. Management Equity Incentive Plan (“Sovereign MEIP”), Sovereign 2012 MEIP, 2014 Omnibus, 2016 Omnibus Plans, 2019 Omnibus Plan and 2021 Omnibus Plan to the 2023 Omnibus Plan reserves, for a total of 27,791,761 authorized shares of common stock for issuance under the 2023 Omnibus Plan. Additionally, we initially reserved 830,000 shares of our common stock for issuance under our 2022 Director Plan and added 169,808 shares that were reserved but not issued under the 2019 Director Plan. Time-based options granted under the 2019, 2016, and 2014 Omnibus Plans prior to 2020 generally vest over a four year period with 25% vesting at the end of year one and the remaining vesting quarterly thereafter. Time-based options granted under the 2023 Omnibus plan, 2021 Omnibus plan and the 2019 Omnibus Plan after 2020 vest over a three-year period, vesting in equal annual installments. Options granted prior to fiscal year 2020 vested over a four-year period. Options granted are exercisable for up to 10 years. RSUs generally vest over a four year period with 25% vesting annually. PSUs granted prior to 2020 generally vest over a four year period with 25% vesting annually. During 2020, 2021, 2022 and 2023, we granted PSUs that vest over a three year period in equal annual installments, as well as PSUs that cliff vest at the end of one, two, or three years, depending on the terms of the grant. Vesting of PSUs is dependent upon the achievement of certain company-based performance measures. Stock-based compensation expense for all awards totaled $52 million, $83 million and $121 million for the years ended December 31, 2023, 2022 and 2021, respectively.</w:t>
      </w:r>
    </w:p>
    <w:p>
      <w:pPr>
        <w:spacing w:after="0" w:line="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fair value of the stock options granted was estimated at the date of grant using the Black-Scholes option pricing model. For further details on these assumptions, see Note 1. Summary of Business and Significant Accounting Policies. No stock options were granted during the year ended December 31, 2023 and 2022. The following table summarizes the weighted-average assumptions used in 2021:</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9" w:name="page90"/>
    <w:bookmarkEnd w:id="89"/>
    <w:tbl>
      <w:tblPr>
        <w:tblLayout w:type="fixed"/>
        <w:tblInd w:w="100" w:type="dxa"/>
        <w:tblCellMar>
          <w:top w:w="0" w:type="dxa"/>
          <w:left w:w="0" w:type="dxa"/>
          <w:bottom w:w="0" w:type="dxa"/>
          <w:right w:w="0" w:type="dxa"/>
        </w:tblCellMar>
      </w:tblPr>
      <w:tr>
        <w:trPr>
          <w:trHeight w:val="176"/>
        </w:trPr>
        <w:tc>
          <w:tcPr>
            <w:tcW w:w="8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Year Ended December 31,</w:t>
            </w:r>
          </w:p>
        </w:tc>
      </w:tr>
      <w:tr>
        <w:trPr>
          <w:trHeight w:val="183"/>
        </w:trPr>
        <w:tc>
          <w:tcPr>
            <w:tcW w:w="8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1024"/>
              <w:spacing w:after="0"/>
              <w:rPr>
                <w:sz w:val="20"/>
                <w:szCs w:val="20"/>
                <w:color w:val="auto"/>
              </w:rPr>
            </w:pPr>
            <w:r>
              <w:rPr>
                <w:rFonts w:ascii="Arial" w:cs="Arial" w:eastAsia="Arial" w:hAnsi="Arial"/>
                <w:sz w:val="13"/>
                <w:szCs w:val="13"/>
                <w:b w:val="1"/>
                <w:bCs w:val="1"/>
                <w:color w:val="auto"/>
              </w:rPr>
              <w:t>2021</w:t>
            </w:r>
          </w:p>
        </w:tc>
      </w:tr>
      <w:tr>
        <w:trPr>
          <w:trHeight w:val="214"/>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Exercise price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11.81</w:t>
            </w:r>
          </w:p>
        </w:tc>
      </w:tr>
      <w:tr>
        <w:trPr>
          <w:trHeight w:val="215"/>
        </w:trPr>
        <w:tc>
          <w:tcPr>
            <w:tcW w:w="8540" w:type="dxa"/>
            <w:vAlign w:val="bottom"/>
            <w:gridSpan w:val="2"/>
          </w:tcPr>
          <w:p>
            <w:pPr>
              <w:ind w:left="20"/>
              <w:spacing w:after="0"/>
              <w:rPr>
                <w:sz w:val="20"/>
                <w:szCs w:val="20"/>
                <w:color w:val="auto"/>
              </w:rPr>
            </w:pPr>
            <w:r>
              <w:rPr>
                <w:rFonts w:ascii="Arial" w:cs="Arial" w:eastAsia="Arial" w:hAnsi="Arial"/>
                <w:sz w:val="16"/>
                <w:szCs w:val="16"/>
                <w:color w:val="auto"/>
              </w:rPr>
              <w:t>Average risk-free interest rate</w:t>
            </w:r>
          </w:p>
        </w:tc>
        <w:tc>
          <w:tcPr>
            <w:tcW w:w="3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0.67 %</w:t>
            </w:r>
          </w:p>
        </w:tc>
      </w:tr>
      <w:tr>
        <w:trPr>
          <w:trHeight w:val="217"/>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3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6.00</w:t>
            </w:r>
          </w:p>
        </w:tc>
      </w:tr>
      <w:tr>
        <w:trPr>
          <w:trHeight w:val="215"/>
        </w:trPr>
        <w:tc>
          <w:tcPr>
            <w:tcW w:w="854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54.95 %</w:t>
            </w:r>
          </w:p>
        </w:tc>
      </w:tr>
      <w:tr>
        <w:trPr>
          <w:trHeight w:val="217"/>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30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188" w:lineRule="exact"/>
        <w:rPr>
          <w:sz w:val="20"/>
          <w:szCs w:val="20"/>
          <w:color w:val="auto"/>
        </w:rPr>
      </w:pPr>
    </w:p>
    <w:p>
      <w:pPr>
        <w:ind w:right="340" w:firstLine="486"/>
        <w:spacing w:after="0" w:line="286" w:lineRule="auto"/>
        <w:rPr>
          <w:sz w:val="20"/>
          <w:szCs w:val="20"/>
          <w:color w:val="auto"/>
        </w:rPr>
      </w:pPr>
      <w:r>
        <w:rPr>
          <w:rFonts w:ascii="Arial" w:cs="Arial" w:eastAsia="Arial" w:hAnsi="Arial"/>
          <w:sz w:val="16"/>
          <w:szCs w:val="16"/>
          <w:color w:val="auto"/>
        </w:rPr>
        <w:t>The following table summarizes the stock option award activities under our outstanding equity-based compensation plans and agreements for the year ended December 31,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Weighted-Average</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177"/>
              <w:spacing w:after="0" w:line="131" w:lineRule="exact"/>
              <w:rPr>
                <w:sz w:val="20"/>
                <w:szCs w:val="20"/>
                <w:color w:val="auto"/>
              </w:rPr>
            </w:pPr>
            <w:r>
              <w:rPr>
                <w:rFonts w:ascii="Arial" w:cs="Arial" w:eastAsia="Arial" w:hAnsi="Arial"/>
                <w:sz w:val="13"/>
                <w:szCs w:val="13"/>
                <w:b w:val="1"/>
                <w:bCs w:val="1"/>
                <w:color w:val="auto"/>
                <w:w w:val="96"/>
              </w:rPr>
              <w:t>Remaining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8"/>
              <w:spacing w:after="0" w:line="131" w:lineRule="exact"/>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6"/>
        </w:trPr>
        <w:tc>
          <w:tcPr>
            <w:tcW w:w="5620" w:type="dxa"/>
            <w:vAlign w:val="bottom"/>
          </w:tcPr>
          <w:p>
            <w:pPr>
              <w:spacing w:after="0"/>
              <w:rPr>
                <w:sz w:val="10"/>
                <w:szCs w:val="10"/>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Exercise Price</w:t>
            </w:r>
          </w:p>
        </w:tc>
        <w:tc>
          <w:tcPr>
            <w:tcW w:w="1000" w:type="dxa"/>
            <w:vAlign w:val="bottom"/>
          </w:tcPr>
          <w:p>
            <w:pPr>
              <w:jc w:val="center"/>
              <w:ind w:left="177"/>
              <w:spacing w:after="0" w:line="126" w:lineRule="exact"/>
              <w:rPr>
                <w:sz w:val="20"/>
                <w:szCs w:val="20"/>
                <w:color w:val="auto"/>
              </w:rPr>
            </w:pPr>
            <w:r>
              <w:rPr>
                <w:rFonts w:ascii="Arial" w:cs="Arial" w:eastAsia="Arial" w:hAnsi="Arial"/>
                <w:sz w:val="13"/>
                <w:szCs w:val="13"/>
                <w:b w:val="1"/>
                <w:bCs w:val="1"/>
                <w:color w:val="auto"/>
                <w:w w:val="94"/>
              </w:rPr>
              <w:t>Contractual</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center"/>
              <w:ind w:right="88"/>
              <w:spacing w:after="0" w:line="126" w:lineRule="exact"/>
              <w:rPr>
                <w:sz w:val="20"/>
                <w:szCs w:val="20"/>
                <w:color w:val="auto"/>
              </w:rPr>
            </w:pPr>
            <w:r>
              <w:rPr>
                <w:rFonts w:ascii="Arial" w:cs="Arial" w:eastAsia="Arial" w:hAnsi="Arial"/>
                <w:sz w:val="13"/>
                <w:szCs w:val="13"/>
                <w:b w:val="1"/>
                <w:bCs w:val="1"/>
                <w:color w:val="auto"/>
                <w:w w:val="96"/>
              </w:rPr>
              <w:t>Intrinsic Value</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Term (years)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08"/>
              <w:spacing w:after="0" w:line="175" w:lineRule="exact"/>
              <w:rPr>
                <w:sz w:val="20"/>
                <w:szCs w:val="20"/>
                <w:color w:val="auto"/>
              </w:rPr>
            </w:pPr>
            <w:r>
              <w:rPr>
                <w:rFonts w:ascii="Arial" w:cs="Arial" w:eastAsia="Arial" w:hAnsi="Arial"/>
                <w:sz w:val="13"/>
                <w:szCs w:val="13"/>
                <w:b w:val="1"/>
                <w:bCs w:val="1"/>
                <w:color w:val="auto"/>
                <w:w w:val="94"/>
              </w:rPr>
              <w:t xml:space="preserve">(in thousands) </w:t>
            </w:r>
            <w:r>
              <w:rPr>
                <w:rFonts w:ascii="Arial" w:cs="Arial" w:eastAsia="Arial" w:hAnsi="Arial"/>
                <w:sz w:val="16"/>
                <w:szCs w:val="16"/>
                <w:b w:val="1"/>
                <w:bCs w:val="1"/>
                <w:color w:val="auto"/>
                <w:w w:val="94"/>
                <w:vertAlign w:val="superscript"/>
              </w:rPr>
              <w:t>(1)</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2,635,556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13.64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6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00" w:type="dxa"/>
            <w:vAlign w:val="bottom"/>
          </w:tcPr>
          <w:p>
            <w:pPr>
              <w:jc w:val="right"/>
              <w:spacing w:after="0"/>
              <w:rPr>
                <w:sz w:val="20"/>
                <w:szCs w:val="20"/>
                <w:color w:val="auto"/>
              </w:rPr>
            </w:pPr>
            <w:r>
              <w:rPr>
                <w:rFonts w:ascii="Arial" w:cs="Arial" w:eastAsia="Arial" w:hAnsi="Arial"/>
                <w:sz w:val="16"/>
                <w:szCs w:val="16"/>
                <w:color w:val="auto"/>
              </w:rPr>
              <w:t>(25,131)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ind w:left="620"/>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(862,670)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20"/>
              <w:spacing w:after="0"/>
              <w:rPr>
                <w:sz w:val="20"/>
                <w:szCs w:val="20"/>
                <w:color w:val="auto"/>
              </w:rPr>
            </w:pPr>
            <w:r>
              <w:rPr>
                <w:rFonts w:ascii="Arial" w:cs="Arial" w:eastAsia="Arial" w:hAnsi="Arial"/>
                <w:sz w:val="16"/>
                <w:szCs w:val="16"/>
                <w:color w:val="auto"/>
              </w:rPr>
              <w:t>Outstanding at December 31, 2023</w:t>
            </w: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1,747,755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exercisable at December 31, 2023</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1,747,755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21" w:lineRule="exact"/>
        <w:rPr>
          <w:sz w:val="20"/>
          <w:szCs w:val="20"/>
          <w:color w:val="auto"/>
        </w:rPr>
      </w:pPr>
    </w:p>
    <w:p>
      <w:pPr>
        <w:ind w:left="340" w:right="280" w:hanging="332"/>
        <w:spacing w:after="0" w:line="210" w:lineRule="auto"/>
        <w:tabs>
          <w:tab w:leader="none" w:pos="333" w:val="left"/>
        </w:tabs>
        <w:numPr>
          <w:ilvl w:val="0"/>
          <w:numId w:val="33"/>
        </w:numPr>
        <w:rPr>
          <w:rFonts w:ascii="Arial" w:cs="Arial" w:eastAsia="Arial" w:hAnsi="Arial"/>
          <w:sz w:val="21"/>
          <w:szCs w:val="21"/>
          <w:color w:val="auto"/>
          <w:vertAlign w:val="superscript"/>
        </w:rPr>
      </w:pPr>
      <w:r>
        <w:rPr>
          <w:rFonts w:ascii="Arial" w:cs="Arial" w:eastAsia="Arial" w:hAnsi="Arial"/>
          <w:sz w:val="14"/>
          <w:szCs w:val="14"/>
          <w:color w:val="auto"/>
        </w:rPr>
        <w:t>Aggregate intrinsic value is calculated as the difference between the exercise price of the underlying stock options awards and the closing price of our common stock of $4.40 and $6.18 on December 31, 2023 and 2022, respectively. If the aggregate intrinsic value is negative, it is assigned a nil value.</w:t>
      </w:r>
    </w:p>
    <w:p>
      <w:pPr>
        <w:spacing w:after="0" w:line="19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There were no options exercised during the year ended December 31, 2023, and the total intrinsic value of stock options exercised was immaterial for the years ended December 31, 2022 and 2021. There were no options granted during the year ended December 31, 2023 and 2022, and the weighted-average fair values of options granted during the year ended December 31, 2021 was $6.01. As of December 31, 2023, there was no unrecognized compensation expense associated with stock options.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activities for our RSUs for the year ended December 31, 2023:</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26"/>
        </w:trPr>
        <w:tc>
          <w:tcPr>
            <w:tcW w:w="7820" w:type="dxa"/>
            <w:vAlign w:val="bottom"/>
          </w:tcPr>
          <w:p>
            <w:pPr>
              <w:spacing w:after="0"/>
              <w:rPr>
                <w:sz w:val="10"/>
                <w:szCs w:val="10"/>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Quantity</w:t>
            </w:r>
          </w:p>
        </w:tc>
        <w:tc>
          <w:tcPr>
            <w:tcW w:w="200" w:type="dxa"/>
            <w:vAlign w:val="bottom"/>
          </w:tcPr>
          <w:p>
            <w:pPr>
              <w:spacing w:after="0"/>
              <w:rPr>
                <w:sz w:val="10"/>
                <w:szCs w:val="10"/>
                <w:color w:val="auto"/>
              </w:rPr>
            </w:pPr>
          </w:p>
        </w:tc>
        <w:tc>
          <w:tcPr>
            <w:tcW w:w="1520" w:type="dxa"/>
            <w:vAlign w:val="bottom"/>
          </w:tcPr>
          <w:p>
            <w:pPr>
              <w:jc w:val="center"/>
              <w:ind w:right="126"/>
              <w:spacing w:after="0" w:line="126"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74"/>
        </w:trPr>
        <w:tc>
          <w:tcPr>
            <w:tcW w:w="78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11"/>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2022</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10,710,075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15"/>
        </w:trPr>
        <w:tc>
          <w:tcPr>
            <w:tcW w:w="78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ind w:right="2"/>
              <w:spacing w:after="0"/>
              <w:rPr>
                <w:sz w:val="20"/>
                <w:szCs w:val="20"/>
                <w:color w:val="auto"/>
              </w:rPr>
            </w:pPr>
            <w:r>
              <w:rPr>
                <w:rFonts w:ascii="Arial" w:cs="Arial" w:eastAsia="Arial" w:hAnsi="Arial"/>
                <w:sz w:val="16"/>
                <w:szCs w:val="16"/>
                <w:color w:val="auto"/>
              </w:rPr>
              <w:t>17,102,726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(4,279,551)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(2,948,055)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2023</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20,585,195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total fair value of RSUs vested, as of their respective vesting dates, was $51 million, $68 million, and $62 million during the years ended December 31, 2023, 2022 and 2021, respectively. As of December 31, 2023, approximately $67 million in unrecognized compensation expense associated with RSUs will be recognized over a weighted average period of 2.7 years.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activities for our PSUs for the year ended December 31, 2023:</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46"/>
              <w:spacing w:after="0"/>
              <w:rPr>
                <w:sz w:val="20"/>
                <w:szCs w:val="20"/>
                <w:color w:val="auto"/>
              </w:rPr>
            </w:pPr>
            <w:r>
              <w:rPr>
                <w:rFonts w:ascii="Arial" w:cs="Arial" w:eastAsia="Arial" w:hAnsi="Arial"/>
                <w:sz w:val="13"/>
                <w:szCs w:val="13"/>
                <w:b w:val="1"/>
                <w:bCs w:val="1"/>
                <w:color w:val="auto"/>
                <w:w w:val="96"/>
              </w:rPr>
              <w:t>Weighted-Average</w:t>
            </w:r>
          </w:p>
        </w:tc>
        <w:tc>
          <w:tcPr>
            <w:tcW w:w="0" w:type="dxa"/>
            <w:vAlign w:val="bottom"/>
          </w:tcPr>
          <w:p>
            <w:pPr>
              <w:spacing w:after="0"/>
              <w:rPr>
                <w:sz w:val="1"/>
                <w:szCs w:val="1"/>
                <w:color w:val="auto"/>
              </w:rPr>
            </w:pPr>
          </w:p>
        </w:tc>
      </w:tr>
      <w:tr>
        <w:trPr>
          <w:trHeight w:val="126"/>
        </w:trPr>
        <w:tc>
          <w:tcPr>
            <w:tcW w:w="7820" w:type="dxa"/>
            <w:vAlign w:val="bottom"/>
          </w:tcPr>
          <w:p>
            <w:pPr>
              <w:spacing w:after="0"/>
              <w:rPr>
                <w:sz w:val="10"/>
                <w:szCs w:val="10"/>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Quantity</w:t>
            </w:r>
          </w:p>
        </w:tc>
        <w:tc>
          <w:tcPr>
            <w:tcW w:w="200" w:type="dxa"/>
            <w:vAlign w:val="bottom"/>
          </w:tcPr>
          <w:p>
            <w:pPr>
              <w:spacing w:after="0"/>
              <w:rPr>
                <w:sz w:val="10"/>
                <w:szCs w:val="10"/>
                <w:color w:val="auto"/>
              </w:rPr>
            </w:pPr>
          </w:p>
        </w:tc>
        <w:tc>
          <w:tcPr>
            <w:tcW w:w="1520" w:type="dxa"/>
            <w:vAlign w:val="bottom"/>
          </w:tcPr>
          <w:p>
            <w:pPr>
              <w:jc w:val="center"/>
              <w:ind w:right="126"/>
              <w:spacing w:after="0" w:line="126"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74"/>
        </w:trPr>
        <w:tc>
          <w:tcPr>
            <w:tcW w:w="78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2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11"/>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2022</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3,439,728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5"/>
        </w:trPr>
        <w:tc>
          <w:tcPr>
            <w:tcW w:w="78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ind w:right="2"/>
              <w:spacing w:after="0"/>
              <w:rPr>
                <w:sz w:val="20"/>
                <w:szCs w:val="20"/>
                <w:color w:val="auto"/>
              </w:rPr>
            </w:pPr>
            <w:r>
              <w:rPr>
                <w:rFonts w:ascii="Arial" w:cs="Arial" w:eastAsia="Arial" w:hAnsi="Arial"/>
                <w:sz w:val="16"/>
                <w:szCs w:val="16"/>
                <w:color w:val="auto"/>
              </w:rPr>
              <w:t>3,757,560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(920,813)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(405,861)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at December 31, 2023</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5,870,614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total fair value of PSUs vested, as of their respective vesting dates, was $19 million during each of the years ended December 31, 2023 and 2022, and $15 million during the year ended December 31, 2021. The recognition of compensation</w:t>
      </w:r>
    </w:p>
    <w:p>
      <w:pPr>
        <w:sectPr>
          <w:pgSz w:w="11900" w:h="16838" w:orient="portrait"/>
          <w:cols w:equalWidth="0" w:num="1">
            <w:col w:w="11240"/>
          </w:cols>
          <w:pgMar w:left="320" w:top="1067"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90" w:name="page91"/>
    <w:bookmarkEnd w:id="90"/>
    <w:p>
      <w:pPr>
        <w:jc w:val="both"/>
        <w:spacing w:after="0" w:line="265" w:lineRule="auto"/>
        <w:rPr>
          <w:sz w:val="20"/>
          <w:szCs w:val="20"/>
          <w:color w:val="auto"/>
        </w:rPr>
      </w:pPr>
      <w:r>
        <w:rPr>
          <w:rFonts w:ascii="Arial" w:cs="Arial" w:eastAsia="Arial" w:hAnsi="Arial"/>
          <w:sz w:val="16"/>
          <w:szCs w:val="16"/>
          <w:color w:val="auto"/>
        </w:rPr>
        <w:t>expense associated with PSUs is contingent upon the achievement of annual company-based performance measures and for 2022 and 2023 grants a total shareholder return modifier. During the years ended December 31, 2023, 2022 and 2021, we assessed the probability of achieving the performance measures associated with PSU awards each reporting period and, if there was an adjustment, recorded the cumulative effect of the adjustment in that respective reporting period. As of December 31, 2023, unrecognized compensation expense associated with PSUs expected to vest totaled $7 million and $3 million for the annual measurement periods ending December 31, 2024 and 2025,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Earnings Per Share</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The following table reconciles the numerators and denominators used in the computations of basic and diluted earnings per share from continuing operations (in thousands, except per share data):</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40"/>
              <w:spacing w:after="0"/>
              <w:rPr>
                <w:sz w:val="20"/>
                <w:szCs w:val="20"/>
                <w:color w:val="auto"/>
              </w:rPr>
            </w:pPr>
            <w:r>
              <w:rPr>
                <w:rFonts w:ascii="Arial" w:cs="Arial" w:eastAsia="Arial" w:hAnsi="Arial"/>
                <w:sz w:val="16"/>
                <w:szCs w:val="16"/>
                <w:color w:val="auto"/>
              </w:rPr>
              <w:t>Loss from 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(528,248)</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(432,099)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(923,775)</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(loss) income attributable to non-controlling interests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Preferred stock dividends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21,385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21,602</w:t>
            </w:r>
          </w:p>
        </w:tc>
        <w:tc>
          <w:tcPr>
            <w:tcW w:w="0" w:type="dxa"/>
            <w:vAlign w:val="bottom"/>
          </w:tcPr>
          <w:p>
            <w:pPr>
              <w:spacing w:after="0"/>
              <w:rPr>
                <w:sz w:val="1"/>
                <w:szCs w:val="1"/>
                <w:color w:val="auto"/>
              </w:rPr>
            </w:pPr>
          </w:p>
        </w:tc>
      </w:tr>
      <w:tr>
        <w:trPr>
          <w:trHeight w:val="235"/>
        </w:trPr>
        <w:tc>
          <w:tcPr>
            <w:tcW w:w="6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loss from continuing operations available to common stockholders, basic and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(542,173)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(456,154)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(947,539)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Denominator: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weighted-average common shares outstanding</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320,922</w:t>
            </w:r>
          </w:p>
        </w:tc>
        <w:tc>
          <w:tcPr>
            <w:tcW w:w="0" w:type="dxa"/>
            <w:vAlign w:val="bottom"/>
          </w:tcPr>
          <w:p>
            <w:pPr>
              <w:spacing w:after="0"/>
              <w:rPr>
                <w:sz w:val="1"/>
                <w:szCs w:val="1"/>
                <w:color w:val="auto"/>
              </w:rPr>
            </w:pPr>
          </w:p>
        </w:tc>
      </w:tr>
      <w:tr>
        <w:trPr>
          <w:trHeight w:val="215"/>
        </w:trPr>
        <w:tc>
          <w:tcPr>
            <w:tcW w:w="6960" w:type="dxa"/>
            <w:vAlign w:val="bottom"/>
          </w:tcPr>
          <w:p>
            <w:pPr>
              <w:ind w:left="240"/>
              <w:spacing w:after="0"/>
              <w:rPr>
                <w:sz w:val="20"/>
                <w:szCs w:val="20"/>
                <w:color w:val="auto"/>
              </w:rPr>
            </w:pPr>
            <w:r>
              <w:rPr>
                <w:rFonts w:ascii="Arial" w:cs="Arial" w:eastAsia="Arial" w:hAnsi="Arial"/>
                <w:sz w:val="16"/>
                <w:szCs w:val="16"/>
                <w:color w:val="auto"/>
              </w:rPr>
              <w:t>Diluted weighted-average common shares outstanding</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346,567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326,742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320,922</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from continuing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(1.56)</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Basic earnings per share is computed by dividing net loss from continuing operations available to common stockholders by the weighted-average number of common shares outstanding during each period. Diluted earnings per share is computed by dividing net loss from continuing operations available to common stockholders by the weighted-average number of common shares outstanding plus the effect of all dilutive common stock equivalents during each period. The diluted weighted-average common shares outstanding calculation excludes 3 million, 1 million and 4 million of dilutive stock options and restricted stock awards for the years ended December 31, 2023, 2022 and 2021, respectively, as their effect would be anti-dilutive given the net loss incurred in those periods. The calculation of diluted weighted-average shares excludes the impact of 6 million, 4 million, and 2 million for the years ended December 31, 2023, 2022 and 2021, respectively, of anti-dilutive common stock equivalents.</w:t>
      </w:r>
    </w:p>
    <w:p>
      <w:pPr>
        <w:spacing w:after="0" w:line="8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have used the if-converted method for calculating any potential dilutive effect of the Exchangeable Notes on our diluted net income per share. Under the if-converted method, the Exchangeable Notes are assumed to be converted at the beginning of the period and the resulting common shares are included in the denominator of the diluted earnings per share calculation for the entire period being presented and interest expense, net of tax, recorded in connection with the Exchangeable Notes is added back to the numerator, only in the periods in which such effect is dilutive. The approximately 42 million resulting common shares related to the Exchangeable Notes are not included in the dilutive weighted-average common shares outstanding calculation for each of the years ended December 31, 2023, 2022 and 2021, respectively, as their effect would be anti-dilutive given the net loss incurred in those periods.</w:t>
      </w:r>
    </w:p>
    <w:p>
      <w:pPr>
        <w:spacing w:after="0" w:line="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Likewise, the potential dilutive effect of our Preferred Stock outstanding during the period was calculated using the if-converted method assuming the conversion as of the earliest period reported or at the date of issuance, if later. The resulting common shares are included in the denominator of the diluted earnings per share calculation for the entire period being presented and preferred stock dividends are added back to the numerator, only in the periods in which such effect is dilutive. Approximately 39 million resulting common shares related to the Preferred Stock are not included in the dilutive weighted-average common shares outstanding calculation for each of the years ended December 31, 2022 and 2021, respectively, as their effect would be anti-dilutive given the net loss incurred in those periods. On September 1, 2023, the mandatory conversion date, each outstanding share of Preferred Stock was automatically converted into approximately 47 million shares of our common stock. See Note 14. Stock and Stockholders’ Equity for further details.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Pension and Other Postretirement Benefit Plans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sponsor the Sabre GLBL Inc. 401(k) Savings Plan (“401(k) Plan”), which is a tax qualified defined contribution plan that allows tax-deferred savings by eligible employees to provide funds for their retirement. We make a matching contribution equal to 100% of each pre-tax dollar contributed by the participant on the first 6% of eligible compensation. We recognized expenses related to the 401(k) Plan of approximately $17 million for the year ended December 31, 2023 and $18 million for each of the years ended December 31, 2022 and 2021.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1" w:name="page92"/>
    <w:bookmarkEnd w:id="91"/>
    <w:p>
      <w:pPr>
        <w:jc w:val="both"/>
        <w:ind w:firstLine="486"/>
        <w:spacing w:after="0" w:line="261" w:lineRule="auto"/>
        <w:rPr>
          <w:sz w:val="20"/>
          <w:szCs w:val="20"/>
          <w:color w:val="auto"/>
        </w:rPr>
      </w:pPr>
      <w:r>
        <w:rPr>
          <w:rFonts w:ascii="Arial" w:cs="Arial" w:eastAsia="Arial" w:hAnsi="Arial"/>
          <w:sz w:val="16"/>
          <w:szCs w:val="16"/>
          <w:color w:val="auto"/>
        </w:rPr>
        <w:t>We sponsor the Sabre GLBL Inc. Legacy Pension Plan (“LPP”), which is a tax qualified defined benefit pension plan for employees meeting certain eligibility requirements. The LPP was amended to freeze pension benefit accruals as of December 31, 2005, and as a result, no additional pension benefits have been accrued since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postretirement benefit plans for certain employees in Canada and other jurisdictions.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a reconciliation of the changes in the LPP’s benefit obligations and fair value of assets during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and 2022, and the unfunded status as of December 31, 2023 and 2022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Year Ended December 31,</w:t>
            </w:r>
          </w:p>
        </w:tc>
      </w:tr>
      <w:tr>
        <w:trPr>
          <w:trHeight w:val="196"/>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2022</w:t>
            </w:r>
          </w:p>
        </w:tc>
      </w:tr>
      <w:tr>
        <w:trPr>
          <w:trHeight w:val="200"/>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Change in benefit obligation: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000" w:type="dxa"/>
            <w:vAlign w:val="bottom"/>
          </w:tcPr>
          <w:p>
            <w:pPr>
              <w:ind w:left="160"/>
              <w:spacing w:after="0"/>
              <w:rPr>
                <w:sz w:val="20"/>
                <w:szCs w:val="20"/>
                <w:color w:val="auto"/>
              </w:rPr>
            </w:pPr>
            <w:r>
              <w:rPr>
                <w:rFonts w:ascii="Arial" w:cs="Arial" w:eastAsia="Arial" w:hAnsi="Arial"/>
                <w:sz w:val="16"/>
                <w:szCs w:val="16"/>
                <w:color w:val="auto"/>
              </w:rPr>
              <w:t>Benefit obligation at January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(297,763)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(417,959)</w:t>
            </w:r>
          </w:p>
        </w:tc>
      </w:tr>
      <w:tr>
        <w:trPr>
          <w:trHeight w:val="217"/>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cost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(11,901)</w:t>
            </w:r>
          </w:p>
        </w:tc>
      </w:tr>
      <w:tr>
        <w:trPr>
          <w:trHeight w:val="215"/>
        </w:trPr>
        <w:tc>
          <w:tcPr>
            <w:tcW w:w="8000" w:type="dxa"/>
            <w:vAlign w:val="bottom"/>
          </w:tcPr>
          <w:p>
            <w:pPr>
              <w:ind w:left="340"/>
              <w:spacing w:after="0"/>
              <w:rPr>
                <w:sz w:val="20"/>
                <w:szCs w:val="20"/>
                <w:color w:val="auto"/>
              </w:rPr>
            </w:pPr>
            <w:r>
              <w:rPr>
                <w:rFonts w:ascii="Arial" w:cs="Arial" w:eastAsia="Arial" w:hAnsi="Arial"/>
                <w:sz w:val="16"/>
                <w:szCs w:val="16"/>
                <w:color w:val="auto"/>
              </w:rPr>
              <w:t>Actuarial (loss) gain,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97,123</w:t>
            </w:r>
          </w:p>
        </w:tc>
      </w:tr>
      <w:tr>
        <w:trPr>
          <w:trHeight w:val="217"/>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Benefits paid</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19,055</w:t>
            </w:r>
          </w:p>
        </w:tc>
      </w:tr>
      <w:tr>
        <w:trPr>
          <w:trHeight w:val="215"/>
        </w:trPr>
        <w:tc>
          <w:tcPr>
            <w:tcW w:w="8000" w:type="dxa"/>
            <w:vAlign w:val="bottom"/>
          </w:tcPr>
          <w:p>
            <w:pPr>
              <w:ind w:left="340"/>
              <w:spacing w:after="0"/>
              <w:rPr>
                <w:sz w:val="20"/>
                <w:szCs w:val="20"/>
                <w:color w:val="auto"/>
              </w:rPr>
            </w:pPr>
            <w:r>
              <w:rPr>
                <w:rFonts w:ascii="Arial" w:cs="Arial" w:eastAsia="Arial" w:hAnsi="Arial"/>
                <w:sz w:val="16"/>
                <w:szCs w:val="16"/>
                <w:color w:val="auto"/>
              </w:rPr>
              <w:t>Lump sum settlement</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15,919</w:t>
            </w:r>
          </w:p>
        </w:tc>
      </w:tr>
      <w:tr>
        <w:trPr>
          <w:trHeight w:val="210"/>
        </w:trPr>
        <w:tc>
          <w:tcPr>
            <w:tcW w:w="8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Benefit obligation at December 31</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(292,212)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(297,763)</w:t>
            </w:r>
          </w:p>
        </w:tc>
      </w:tr>
      <w:tr>
        <w:trPr>
          <w:trHeight w:val="195"/>
        </w:trPr>
        <w:tc>
          <w:tcPr>
            <w:tcW w:w="8000" w:type="dxa"/>
            <w:vAlign w:val="bottom"/>
          </w:tcPr>
          <w:p>
            <w:pPr>
              <w:spacing w:after="0"/>
              <w:rPr>
                <w:sz w:val="20"/>
                <w:szCs w:val="20"/>
                <w:color w:val="auto"/>
              </w:rPr>
            </w:pPr>
            <w:r>
              <w:rPr>
                <w:rFonts w:ascii="Arial" w:cs="Arial" w:eastAsia="Arial" w:hAnsi="Arial"/>
                <w:sz w:val="16"/>
                <w:szCs w:val="16"/>
                <w:color w:val="auto"/>
              </w:rPr>
              <w:t>Change in plan assets: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8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Fair value of assets at January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214,574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333,791</w:t>
            </w:r>
          </w:p>
        </w:tc>
      </w:tr>
      <w:tr>
        <w:trPr>
          <w:trHeight w:val="215"/>
        </w:trPr>
        <w:tc>
          <w:tcPr>
            <w:tcW w:w="8000" w:type="dxa"/>
            <w:vAlign w:val="bottom"/>
          </w:tcPr>
          <w:p>
            <w:pPr>
              <w:ind w:left="340"/>
              <w:spacing w:after="0"/>
              <w:rPr>
                <w:sz w:val="20"/>
                <w:szCs w:val="20"/>
                <w:color w:val="auto"/>
              </w:rPr>
            </w:pPr>
            <w:r>
              <w:rPr>
                <w:rFonts w:ascii="Arial" w:cs="Arial" w:eastAsia="Arial" w:hAnsi="Arial"/>
                <w:sz w:val="16"/>
                <w:szCs w:val="16"/>
                <w:color w:val="auto"/>
              </w:rPr>
              <w:t>Actual return on plan assets</w:t>
            </w: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19,193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(84,243)</w:t>
            </w:r>
          </w:p>
        </w:tc>
      </w:tr>
      <w:tr>
        <w:trPr>
          <w:trHeight w:val="217"/>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Employer contributions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00" w:type="dxa"/>
            <w:vAlign w:val="bottom"/>
          </w:tcPr>
          <w:p>
            <w:pPr>
              <w:ind w:left="340"/>
              <w:spacing w:after="0"/>
              <w:rPr>
                <w:sz w:val="20"/>
                <w:szCs w:val="20"/>
                <w:color w:val="auto"/>
              </w:rPr>
            </w:pPr>
            <w:r>
              <w:rPr>
                <w:rFonts w:ascii="Arial" w:cs="Arial" w:eastAsia="Arial" w:hAnsi="Arial"/>
                <w:sz w:val="16"/>
                <w:szCs w:val="16"/>
                <w:color w:val="auto"/>
              </w:rPr>
              <w:t>Benefits paid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(19,055)</w:t>
            </w:r>
          </w:p>
        </w:tc>
      </w:tr>
      <w:tr>
        <w:trPr>
          <w:trHeight w:val="217"/>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Lump sum settlement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(15,919)</w:t>
            </w:r>
          </w:p>
        </w:tc>
      </w:tr>
      <w:tr>
        <w:trPr>
          <w:trHeight w:val="209"/>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Fair value of assets at December 31</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218,861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214,574</w:t>
            </w:r>
          </w:p>
        </w:tc>
      </w:tr>
      <w:tr>
        <w:trPr>
          <w:trHeight w:val="235"/>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Unfunded status at December 31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(83,189)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actuarial loss, net of $6 million for the year ended December 31, 2023 and the actuarial gain, net of $97 million for the year ended December 31, 2022, are attributable to decreases and increases in the discount rate for each respective year. During the year ended December 31, 2022, lump sum settlements occurred within our defined benefit pension plan which resulted in a loss of $7 million, recorded to Other, net. There were no settlement losses during the year ended December 31, 2023.</w:t>
      </w:r>
    </w:p>
    <w:p>
      <w:pPr>
        <w:spacing w:after="0" w:line="65"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The net benefit obligation of $73 million and $83 million as of December 31, 2023 and 2022, respectively, is included in other noncurrent liabilities in our consolidated balance sheets.</w:t>
      </w:r>
    </w:p>
    <w:p>
      <w:pPr>
        <w:spacing w:after="0" w:line="33"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color w:val="auto"/>
        </w:rPr>
        <w:t>The amounts recognized in accumulated other comprehensive loss associated with the LPP, net of deferred taxes of $38 million as of December 31, 2023 and 2022, respectively,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actuarial loss</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Prior service credit</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6,234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Pension settlement</w:t>
            </w:r>
          </w:p>
        </w:tc>
        <w:tc>
          <w:tcPr>
            <w:tcW w:w="38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28,241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38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(79,227)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40" w:type="dxa"/>
            <w:vAlign w:val="bottom"/>
            <w:vMerge w:val="restart"/>
          </w:tcPr>
          <w:p>
            <w:pPr>
              <w:jc w:val="right"/>
              <w:ind w:right="2239"/>
              <w:spacing w:after="0"/>
              <w:rPr>
                <w:sz w:val="20"/>
                <w:szCs w:val="20"/>
                <w:color w:val="auto"/>
              </w:rPr>
            </w:pPr>
            <w:r>
              <w:rPr>
                <w:rFonts w:ascii="Arial" w:cs="Arial" w:eastAsia="Arial" w:hAnsi="Arial"/>
                <w:sz w:val="16"/>
                <w:szCs w:val="16"/>
                <w:color w:val="auto"/>
              </w:rPr>
              <w:t>90</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2" w:name="page93"/>
    <w:bookmarkEnd w:id="92"/>
    <w:p>
      <w:pPr>
        <w:ind w:firstLine="486"/>
        <w:spacing w:after="0" w:line="286" w:lineRule="auto"/>
        <w:rPr>
          <w:sz w:val="20"/>
          <w:szCs w:val="20"/>
          <w:color w:val="auto"/>
        </w:rPr>
      </w:pPr>
      <w:r>
        <w:rPr>
          <w:rFonts w:ascii="Arial" w:cs="Arial" w:eastAsia="Arial" w:hAnsi="Arial"/>
          <w:sz w:val="16"/>
          <w:szCs w:val="16"/>
          <w:color w:val="auto"/>
        </w:rPr>
        <w:t>The following table provides the components of net periodic benefit costs associated with the LPP and the principal assumptions used in the measurement of the LPP benefit obligations and net benefit costs for the three years ended December 31, 2023, 2022 and 2021 (in thousands):</w:t>
      </w: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10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r>
      <w:tr>
        <w:trPr>
          <w:trHeight w:val="214"/>
        </w:trPr>
        <w:tc>
          <w:tcPr>
            <w:tcW w:w="674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Interest cost</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16,151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11,901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11,822</w:t>
            </w:r>
          </w:p>
        </w:tc>
      </w:tr>
      <w:tr>
        <w:trPr>
          <w:trHeight w:val="216"/>
        </w:trPr>
        <w:tc>
          <w:tcPr>
            <w:tcW w:w="6740" w:type="dxa"/>
            <w:vAlign w:val="bottom"/>
          </w:tcPr>
          <w:p>
            <w:pPr>
              <w:ind w:left="20"/>
              <w:spacing w:after="0" w:line="216" w:lineRule="exact"/>
              <w:rPr>
                <w:sz w:val="20"/>
                <w:szCs w:val="20"/>
                <w:color w:val="auto"/>
              </w:rPr>
            </w:pPr>
            <w:r>
              <w:rPr>
                <w:rFonts w:ascii="Arial" w:cs="Arial" w:eastAsia="Arial" w:hAnsi="Arial"/>
                <w:sz w:val="16"/>
                <w:szCs w:val="16"/>
                <w:color w:val="auto"/>
              </w:rPr>
              <w:t>Expected return on plan assets</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(17,429)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(14,131)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(14,334)</w:t>
            </w:r>
          </w:p>
        </w:tc>
      </w:tr>
      <w:tr>
        <w:trPr>
          <w:trHeight w:val="216"/>
        </w:trPr>
        <w:tc>
          <w:tcPr>
            <w:tcW w:w="6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Amortization of prior service credit</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(1,432)</w:t>
            </w:r>
          </w:p>
        </w:tc>
      </w:tr>
      <w:tr>
        <w:trPr>
          <w:trHeight w:val="216"/>
        </w:trPr>
        <w:tc>
          <w:tcPr>
            <w:tcW w:w="67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Amortization of actuarial loss</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2,302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6,484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7,985</w:t>
            </w:r>
          </w:p>
        </w:tc>
      </w:tr>
      <w:tr>
        <w:trPr>
          <w:trHeight w:val="20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periodic benefit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4,041</w:t>
            </w:r>
          </w:p>
        </w:tc>
      </w:tr>
      <w:tr>
        <w:trPr>
          <w:trHeight w:val="216"/>
        </w:trPr>
        <w:tc>
          <w:tcPr>
            <w:tcW w:w="6740" w:type="dxa"/>
            <w:vAlign w:val="bottom"/>
          </w:tcPr>
          <w:p>
            <w:pPr>
              <w:ind w:left="180"/>
              <w:spacing w:after="0" w:line="216" w:lineRule="exact"/>
              <w:rPr>
                <w:sz w:val="20"/>
                <w:szCs w:val="20"/>
                <w:color w:val="auto"/>
              </w:rPr>
            </w:pPr>
            <w:r>
              <w:rPr>
                <w:rFonts w:ascii="Arial" w:cs="Arial" w:eastAsia="Arial" w:hAnsi="Arial"/>
                <w:sz w:val="16"/>
                <w:szCs w:val="16"/>
                <w:color w:val="auto"/>
              </w:rPr>
              <w:t>Settlement charge</w:t>
            </w:r>
            <w:r>
              <w:rPr>
                <w:rFonts w:ascii="Arial" w:cs="Arial" w:eastAsia="Arial" w:hAnsi="Arial"/>
                <w:sz w:val="21"/>
                <w:szCs w:val="21"/>
                <w:color w:val="auto"/>
                <w:vertAlign w:val="superscript"/>
              </w:rPr>
              <w:t>(1)</w:t>
            </w:r>
          </w:p>
        </w:tc>
        <w:tc>
          <w:tcPr>
            <w:tcW w:w="3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6,707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7,529</w:t>
            </w:r>
          </w:p>
        </w:tc>
      </w:tr>
      <w:tr>
        <w:trPr>
          <w:trHeight w:val="209"/>
        </w:trPr>
        <w:tc>
          <w:tcPr>
            <w:tcW w:w="6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(benefit) cost</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(408)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9,528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11,570</w:t>
            </w: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Weighted-average discount rate used to measure benefit obligations</w:t>
            </w:r>
          </w:p>
        </w:tc>
        <w:tc>
          <w:tcPr>
            <w:tcW w:w="2380" w:type="dxa"/>
            <w:vAlign w:val="bottom"/>
          </w:tcPr>
          <w:p>
            <w:pPr>
              <w:jc w:val="right"/>
              <w:ind w:right="359"/>
              <w:spacing w:after="0"/>
              <w:rPr>
                <w:sz w:val="20"/>
                <w:szCs w:val="20"/>
                <w:color w:val="auto"/>
              </w:rPr>
            </w:pPr>
            <w:r>
              <w:rPr>
                <w:rFonts w:ascii="Arial" w:cs="Arial" w:eastAsia="Arial" w:hAnsi="Arial"/>
                <w:sz w:val="16"/>
                <w:szCs w:val="16"/>
                <w:color w:val="auto"/>
              </w:rPr>
              <w:t>5.38 %</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5.72 %</w:t>
            </w:r>
          </w:p>
        </w:tc>
        <w:tc>
          <w:tcPr>
            <w:tcW w:w="980" w:type="dxa"/>
            <w:vAlign w:val="bottom"/>
          </w:tcPr>
          <w:p>
            <w:pPr>
              <w:jc w:val="right"/>
              <w:spacing w:after="0"/>
              <w:rPr>
                <w:sz w:val="20"/>
                <w:szCs w:val="20"/>
                <w:color w:val="auto"/>
              </w:rPr>
            </w:pPr>
            <w:r>
              <w:rPr>
                <w:rFonts w:ascii="Arial" w:cs="Arial" w:eastAsia="Arial" w:hAnsi="Arial"/>
                <w:sz w:val="16"/>
                <w:szCs w:val="16"/>
                <w:color w:val="auto"/>
              </w:rPr>
              <w:t>2.97 %</w:t>
            </w: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assumptions used to determine net benefit cost:</w:t>
            </w:r>
          </w:p>
        </w:tc>
        <w:tc>
          <w:tcPr>
            <w:tcW w:w="2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360" w:type="dxa"/>
            <w:vAlign w:val="bottom"/>
          </w:tcPr>
          <w:p>
            <w:pPr>
              <w:ind w:left="340"/>
              <w:spacing w:after="0" w:line="216" w:lineRule="exact"/>
              <w:rPr>
                <w:sz w:val="20"/>
                <w:szCs w:val="20"/>
                <w:color w:val="auto"/>
              </w:rPr>
            </w:pPr>
            <w:r>
              <w:rPr>
                <w:rFonts w:ascii="Arial" w:cs="Arial" w:eastAsia="Arial" w:hAnsi="Arial"/>
                <w:sz w:val="16"/>
                <w:szCs w:val="16"/>
                <w:color w:val="auto"/>
              </w:rPr>
              <w:t>Discount rate</w:t>
            </w:r>
            <w:r>
              <w:rPr>
                <w:rFonts w:ascii="Arial" w:cs="Arial" w:eastAsia="Arial" w:hAnsi="Arial"/>
                <w:sz w:val="21"/>
                <w:szCs w:val="21"/>
                <w:color w:val="auto"/>
                <w:vertAlign w:val="superscript"/>
              </w:rPr>
              <w:t>(2)</w:t>
            </w:r>
          </w:p>
        </w:tc>
        <w:tc>
          <w:tcPr>
            <w:tcW w:w="2380" w:type="dxa"/>
            <w:vAlign w:val="bottom"/>
          </w:tcPr>
          <w:p>
            <w:pPr>
              <w:jc w:val="right"/>
              <w:ind w:right="359"/>
              <w:spacing w:after="0"/>
              <w:rPr>
                <w:sz w:val="20"/>
                <w:szCs w:val="20"/>
                <w:color w:val="auto"/>
              </w:rPr>
            </w:pPr>
            <w:r>
              <w:rPr>
                <w:rFonts w:ascii="Arial" w:cs="Arial" w:eastAsia="Arial" w:hAnsi="Arial"/>
                <w:sz w:val="16"/>
                <w:szCs w:val="16"/>
                <w:color w:val="auto"/>
              </w:rPr>
              <w:t>5.72 %</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2.97 %</w:t>
            </w:r>
          </w:p>
        </w:tc>
        <w:tc>
          <w:tcPr>
            <w:tcW w:w="980" w:type="dxa"/>
            <w:vAlign w:val="bottom"/>
          </w:tcPr>
          <w:p>
            <w:pPr>
              <w:jc w:val="right"/>
              <w:spacing w:after="0"/>
              <w:rPr>
                <w:sz w:val="20"/>
                <w:szCs w:val="20"/>
                <w:color w:val="auto"/>
              </w:rPr>
            </w:pPr>
            <w:r>
              <w:rPr>
                <w:rFonts w:ascii="Arial" w:cs="Arial" w:eastAsia="Arial" w:hAnsi="Arial"/>
                <w:sz w:val="16"/>
                <w:szCs w:val="16"/>
                <w:color w:val="auto"/>
              </w:rPr>
              <w:t>2.60 %</w:t>
            </w:r>
          </w:p>
        </w:tc>
      </w:tr>
      <w:tr>
        <w:trPr>
          <w:trHeight w:val="216"/>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Expected return on plan assets</w:t>
            </w:r>
          </w:p>
        </w:tc>
        <w:tc>
          <w:tcPr>
            <w:tcW w:w="2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6.90 %</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5.00 %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line="50"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Other, net on our consolidated statement of operations.</w:t>
      </w:r>
    </w:p>
    <w:p>
      <w:pPr>
        <w:spacing w:after="0" w:line="53" w:lineRule="exact"/>
        <w:rPr>
          <w:rFonts w:ascii="Arial" w:cs="Arial" w:eastAsia="Arial" w:hAnsi="Arial"/>
          <w:sz w:val="18"/>
          <w:szCs w:val="18"/>
          <w:color w:val="auto"/>
          <w:vertAlign w:val="superscript"/>
        </w:rPr>
      </w:pPr>
    </w:p>
    <w:p>
      <w:pPr>
        <w:ind w:left="660" w:hanging="652"/>
        <w:spacing w:after="0" w:line="222" w:lineRule="auto"/>
        <w:tabs>
          <w:tab w:leader="none" w:pos="183"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Discount rates are as of January 1 of the respective years. Due to settlements during 2022 and 2021, additional discount rates assumed are as follows: June 30, 2021: 2.89%, September 30, 2021: 2.96%, and December 31, 2022: 5.72%.</w:t>
      </w:r>
    </w:p>
    <w:p>
      <w:pPr>
        <w:spacing w:after="0" w:line="184"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following table provides the pre-tax amounts recognized in other comprehensive loss, including the amortization of the actuarial loss and prior service credit, associated with the LPP for the years ended December 31, 2023, 2022 and 2021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Obligations Recognized in</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1"/>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loss (gain)</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(37,258)</w:t>
            </w:r>
          </w:p>
        </w:tc>
        <w:tc>
          <w:tcPr>
            <w:tcW w:w="0" w:type="dxa"/>
            <w:vAlign w:val="bottom"/>
          </w:tcPr>
          <w:p>
            <w:pPr>
              <w:spacing w:after="0"/>
              <w:rPr>
                <w:sz w:val="1"/>
                <w:szCs w:val="1"/>
                <w:color w:val="auto"/>
              </w:rPr>
            </w:pP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Pension settlement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(7,529)</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loss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0" w:type="dxa"/>
            <w:vAlign w:val="bottom"/>
          </w:tcPr>
          <w:p>
            <w:pPr>
              <w:spacing w:after="0"/>
              <w:rPr>
                <w:sz w:val="1"/>
                <w:szCs w:val="1"/>
                <w:color w:val="auto"/>
              </w:rPr>
            </w:pPr>
          </w:p>
        </w:tc>
      </w:tr>
      <w:tr>
        <w:trPr>
          <w:trHeight w:val="21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recognized in other comprehensive loss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(51,340)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recognized in net periodic benefit cost and other comprehensive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80" w:type="dxa"/>
            <w:vAlign w:val="bottom"/>
            <w:vMerge w:val="continue"/>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3,909</w:t>
            </w:r>
          </w:p>
        </w:tc>
        <w:tc>
          <w:tcPr>
            <w:tcW w:w="12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16"/>
                <w:szCs w:val="16"/>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(39,771)</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 term returns with acceptable levels of investment risk. Fair values of the applicable assets are determined as follows:</w:t>
      </w:r>
    </w:p>
    <w:p>
      <w:pPr>
        <w:spacing w:after="0" w:line="27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Mutual Fund</w:t>
      </w:r>
      <w:r>
        <w:rPr>
          <w:rFonts w:ascii="Arial" w:cs="Arial" w:eastAsia="Arial" w:hAnsi="Arial"/>
          <w:sz w:val="16"/>
          <w:szCs w:val="16"/>
          <w:color w:val="auto"/>
        </w:rPr>
        <w:t>—The fair value of our mutual funds are estimated by using market quotes as of the last day of the period.</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i w:val="1"/>
          <w:iCs w:val="1"/>
          <w:color w:val="auto"/>
        </w:rPr>
        <w:t>Common Collective Trusts</w:t>
      </w:r>
      <w:r>
        <w:rPr>
          <w:rFonts w:ascii="Arial" w:cs="Arial" w:eastAsia="Arial" w:hAnsi="Arial"/>
          <w:sz w:val="16"/>
          <w:szCs w:val="16"/>
          <w:color w:val="auto"/>
        </w:rPr>
        <w:t>—The fair value of our common collective trusts are estimated by using market quotes as of the last day of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quoted prices for similar securities and quoted prices in non-active markets.</w:t>
      </w:r>
    </w:p>
    <w:p>
      <w:pPr>
        <w:spacing w:after="0" w:line="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—The fair value of our real estate funds are derived from the fair value of the underlying real estate assets held by the funds. These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are initially valued at cost and are reviewed periodically utilizing available market data to determine if the assets held should be adjusted.</w:t>
      </w:r>
    </w:p>
    <w:p>
      <w:pPr>
        <w:spacing w:after="0" w:line="61"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40% global equities, 15% real estate assets, 15% diversified credit and 28% liability hedging assets, and 2% cash. It is recognized that the investment management of the LPP assets has a direct effect on the achievement of its goal. As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defined in Note 12. Fair Value Measurements, the following tables present the fair value of the LPP assets as of December 31, 2023 and 2022:</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3"/>
                <w:szCs w:val="13"/>
                <w:b w:val="1"/>
                <w:bCs w:val="1"/>
                <w:color w:val="auto"/>
                <w:w w:val="99"/>
              </w:rPr>
              <w:t>Fair Value Measurements at December 31, 2023</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07"/>
              <w:spacing w:after="0" w:line="128" w:lineRule="exact"/>
              <w:rPr>
                <w:sz w:val="20"/>
                <w:szCs w:val="20"/>
                <w:color w:val="auto"/>
              </w:rPr>
            </w:pPr>
            <w:r>
              <w:rPr>
                <w:rFonts w:ascii="Arial" w:cs="Arial" w:eastAsia="Arial" w:hAnsi="Arial"/>
                <w:sz w:val="13"/>
                <w:szCs w:val="13"/>
                <w:b w:val="1"/>
                <w:bCs w:val="1"/>
                <w:color w:val="auto"/>
                <w:w w:val="96"/>
              </w:rPr>
              <w:t>Quoted Prices in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400"/>
              <w:spacing w:after="0" w:line="128"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1"/>
                <w:szCs w:val="11"/>
                <w:color w:val="auto"/>
              </w:rPr>
            </w:pPr>
          </w:p>
        </w:tc>
        <w:tc>
          <w:tcPr>
            <w:tcW w:w="122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96"/>
              </w:rPr>
              <w:t>Significant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center"/>
              <w:ind w:right="127"/>
              <w:spacing w:after="0" w:line="126" w:lineRule="exact"/>
              <w:rPr>
                <w:sz w:val="20"/>
                <w:szCs w:val="20"/>
                <w:color w:val="auto"/>
              </w:rPr>
            </w:pPr>
            <w:r>
              <w:rPr>
                <w:rFonts w:ascii="Arial" w:cs="Arial" w:eastAsia="Arial" w:hAnsi="Arial"/>
                <w:sz w:val="13"/>
                <w:szCs w:val="13"/>
                <w:b w:val="1"/>
                <w:bCs w:val="1"/>
                <w:color w:val="auto"/>
                <w:w w:val="97"/>
              </w:rPr>
              <w:t>Active Markets for</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400"/>
              <w:spacing w:after="0" w:line="126"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22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7"/>
              </w:rPr>
              <w:t>Unobservable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center"/>
              <w:ind w:right="107"/>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2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7"/>
              </w:rPr>
              <w:t>Inputs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441"/>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right="127"/>
              <w:spacing w:after="0"/>
              <w:rPr>
                <w:sz w:val="20"/>
                <w:szCs w:val="20"/>
                <w:color w:val="auto"/>
              </w:rPr>
            </w:pPr>
            <w:r>
              <w:rPr>
                <w:rFonts w:ascii="Arial" w:cs="Arial" w:eastAsia="Arial" w:hAnsi="Arial"/>
                <w:sz w:val="13"/>
                <w:szCs w:val="13"/>
                <w:b w:val="1"/>
                <w:bCs w:val="1"/>
                <w:color w:val="auto"/>
                <w:w w:val="94"/>
              </w:rPr>
              <w:t>(Level 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(Level 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collective trusts: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Arial" w:cs="Arial" w:eastAsia="Arial" w:hAnsi="Arial"/>
                <w:sz w:val="16"/>
                <w:szCs w:val="16"/>
                <w:color w:val="auto"/>
              </w:rPr>
              <w:t>Foreign equity securities</w:t>
            </w:r>
          </w:p>
        </w:tc>
        <w:tc>
          <w:tcPr>
            <w:tcW w:w="18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
              <w:spacing w:after="0"/>
              <w:rPr>
                <w:sz w:val="20"/>
                <w:szCs w:val="20"/>
                <w:color w:val="auto"/>
              </w:rPr>
            </w:pPr>
            <w:r>
              <w:rPr>
                <w:rFonts w:ascii="Arial" w:cs="Arial" w:eastAsia="Arial" w:hAnsi="Arial"/>
                <w:sz w:val="16"/>
                <w:szCs w:val="16"/>
                <w:color w:val="auto"/>
              </w:rPr>
              <w:t>141,272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141,272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equity securities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42,270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Arial" w:cs="Arial" w:eastAsia="Arial" w:hAnsi="Arial"/>
                <w:sz w:val="16"/>
                <w:szCs w:val="16"/>
                <w:color w:val="auto"/>
              </w:rPr>
              <w:t>Real estate</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26,873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26,873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Money market mutual fund</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2,750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Limited partnership interest:</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Real estate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6"/>
                <w:szCs w:val="16"/>
                <w:color w:val="auto"/>
              </w:rPr>
              <w:t>2,750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6"/>
                <w:szCs w:val="16"/>
                <w:color w:val="auto"/>
              </w:rPr>
              <w:t>183,542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32,569</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218,861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3"/>
                <w:szCs w:val="13"/>
                <w:b w:val="1"/>
                <w:bCs w:val="1"/>
                <w:color w:val="auto"/>
                <w:w w:val="99"/>
              </w:rPr>
              <w:t>Fair Value Measurements at December 31, 2022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center"/>
              <w:ind w:right="107"/>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2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27"/>
              <w:spacing w:after="0" w:line="131" w:lineRule="exact"/>
              <w:rPr>
                <w:sz w:val="20"/>
                <w:szCs w:val="20"/>
                <w:color w:val="auto"/>
              </w:rPr>
            </w:pPr>
            <w:r>
              <w:rPr>
                <w:rFonts w:ascii="Arial" w:cs="Arial" w:eastAsia="Arial" w:hAnsi="Arial"/>
                <w:sz w:val="13"/>
                <w:szCs w:val="13"/>
                <w:b w:val="1"/>
                <w:bCs w:val="1"/>
                <w:color w:val="auto"/>
                <w:w w:val="97"/>
              </w:rPr>
              <w:t>Active Markets for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31" w:lineRule="exact"/>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1"/>
                <w:szCs w:val="11"/>
                <w:color w:val="auto"/>
              </w:rPr>
            </w:pPr>
          </w:p>
        </w:tc>
        <w:tc>
          <w:tcPr>
            <w:tcW w:w="12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Unobservable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center"/>
              <w:ind w:right="107"/>
              <w:spacing w:after="0" w:line="126" w:lineRule="exact"/>
              <w:rPr>
                <w:sz w:val="20"/>
                <w:szCs w:val="20"/>
                <w:color w:val="auto"/>
              </w:rPr>
            </w:pPr>
            <w:r>
              <w:rPr>
                <w:rFonts w:ascii="Arial" w:cs="Arial" w:eastAsia="Arial" w:hAnsi="Arial"/>
                <w:sz w:val="13"/>
                <w:szCs w:val="13"/>
                <w:b w:val="1"/>
                <w:bCs w:val="1"/>
                <w:color w:val="auto"/>
                <w:w w:val="96"/>
              </w:rPr>
              <w:t>Identical Assets</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380"/>
              <w:spacing w:after="0" w:line="126"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22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Inputs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421"/>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right="127"/>
              <w:spacing w:after="0"/>
              <w:rPr>
                <w:sz w:val="20"/>
                <w:szCs w:val="20"/>
                <w:color w:val="auto"/>
              </w:rPr>
            </w:pPr>
            <w:r>
              <w:rPr>
                <w:rFonts w:ascii="Arial" w:cs="Arial" w:eastAsia="Arial" w:hAnsi="Arial"/>
                <w:sz w:val="13"/>
                <w:szCs w:val="13"/>
                <w:b w:val="1"/>
                <w:bCs w:val="1"/>
                <w:color w:val="auto"/>
                <w:w w:val="94"/>
              </w:rPr>
              <w:t>(Level 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(Level 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collective trusts:</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Foreign equity securities</w:t>
            </w:r>
          </w:p>
        </w:tc>
        <w:tc>
          <w:tcPr>
            <w:tcW w:w="18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176,163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176,163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U.S. equity securities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gridSpan w:val="3"/>
          </w:tcPr>
          <w:p>
            <w:pPr>
              <w:ind w:left="20"/>
              <w:spacing w:after="0"/>
              <w:rPr>
                <w:sz w:val="20"/>
                <w:szCs w:val="20"/>
                <w:color w:val="auto"/>
              </w:rPr>
            </w:pPr>
            <w:r>
              <w:rPr>
                <w:rFonts w:ascii="Arial" w:cs="Arial" w:eastAsia="Arial" w:hAnsi="Arial"/>
                <w:sz w:val="16"/>
                <w:szCs w:val="16"/>
                <w:color w:val="auto"/>
              </w:rPr>
              <w:t>Money market mutual fund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Limited partnership interest: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6"/>
                <w:szCs w:val="16"/>
                <w:color w:val="auto"/>
              </w:rPr>
              <w:t>Real estate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7,290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assets at fair value</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202,340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7,290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214,574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20" w:type="dxa"/>
            <w:vAlign w:val="bottom"/>
          </w:tcPr>
          <w:p>
            <w:pPr>
              <w:spacing w:after="0"/>
              <w:rPr>
                <w:sz w:val="24"/>
                <w:szCs w:val="24"/>
                <w:color w:val="auto"/>
              </w:rPr>
            </w:pPr>
          </w:p>
        </w:tc>
        <w:tc>
          <w:tcPr>
            <w:tcW w:w="9640" w:type="dxa"/>
            <w:vAlign w:val="bottom"/>
            <w:gridSpan w:val="11"/>
          </w:tcPr>
          <w:p>
            <w:pPr>
              <w:jc w:val="center"/>
              <w:ind w:left="39"/>
              <w:spacing w:after="0"/>
              <w:rPr>
                <w:sz w:val="20"/>
                <w:szCs w:val="20"/>
                <w:color w:val="auto"/>
              </w:rPr>
            </w:pPr>
            <w:r>
              <w:rPr>
                <w:rFonts w:ascii="Arial" w:cs="Arial" w:eastAsia="Arial" w:hAnsi="Arial"/>
                <w:sz w:val="16"/>
                <w:szCs w:val="16"/>
                <w:color w:val="auto"/>
              </w:rPr>
              <w:t>The following table provides a rollforward of plan assets valued using significant unobservable inputs (level 3),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Real Estate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Ending balance at December 31, 2021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Net distributions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Redemptions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Advisory fee</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investment income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Unrealized gain</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realized gain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gridSpan w:val="3"/>
          </w:tcPr>
          <w:p>
            <w:pPr>
              <w:spacing w:after="0"/>
              <w:rPr>
                <w:sz w:val="20"/>
                <w:szCs w:val="20"/>
                <w:color w:val="auto"/>
              </w:rPr>
            </w:pPr>
            <w:r>
              <w:rPr>
                <w:rFonts w:ascii="Arial" w:cs="Arial" w:eastAsia="Arial" w:hAnsi="Arial"/>
                <w:sz w:val="16"/>
                <w:szCs w:val="16"/>
                <w:color w:val="auto"/>
              </w:rPr>
              <w:t>Ending balance at December 31, 2022</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Contributions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Net distributions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Redemptions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Advisory fee</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investment income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Unrealized loss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realized gain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gridSpan w:val="3"/>
          </w:tcPr>
          <w:p>
            <w:pPr>
              <w:spacing w:after="0"/>
              <w:rPr>
                <w:sz w:val="20"/>
                <w:szCs w:val="20"/>
                <w:color w:val="auto"/>
              </w:rPr>
            </w:pPr>
            <w:r>
              <w:rPr>
                <w:rFonts w:ascii="Arial" w:cs="Arial" w:eastAsia="Arial" w:hAnsi="Arial"/>
                <w:sz w:val="16"/>
                <w:szCs w:val="16"/>
                <w:color w:val="auto"/>
              </w:rPr>
              <w:t>Ending balance at December 31, 2023</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32,569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contributed $13 million to fund our defined benefit pension plans during the year ended December 31, 2023. We did not contribute to fund our defined benefit pension plans during the year ended December 31, 2022. Annual contributions to our defined benefit pension plans in the United States, Canada, and other jurisdictions are based on several factors that may vary from year to year. Our funding practice is to contribute the minimum required contribution as defined by law while also maintaining an 80% funded status as defined by the Pension Protection Act of 2006. Thus, past contributions are not always indicative of future contributions. Based on current assumptions, we expect to make a contribution of up to $14 million to our defined benefit pension plans in 2024.</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4" w:name="page95"/>
    <w:bookmarkEnd w:id="94"/>
    <w:p>
      <w:pPr>
        <w:jc w:val="both"/>
        <w:ind w:firstLine="486"/>
        <w:spacing w:after="0" w:line="275" w:lineRule="auto"/>
        <w:rPr>
          <w:sz w:val="20"/>
          <w:szCs w:val="20"/>
          <w:color w:val="auto"/>
        </w:rPr>
      </w:pPr>
      <w:r>
        <w:rPr>
          <w:rFonts w:ascii="Arial" w:cs="Arial" w:eastAsia="Arial" w:hAnsi="Arial"/>
          <w:sz w:val="16"/>
          <w:szCs w:val="16"/>
          <w:color w:val="auto"/>
        </w:rPr>
        <w:t>The expected long term rate of return on plan assets for each measurement date was selected after giving consideration to historical returns on plan assets, assessments of expected long term inflation and market returns for each asset class and the target asset allocation strategy. We do not anticipate the return of any plan assets to us in 2024.</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expect the LPP to make the following estimated future benefit payments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8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Amount</w:t>
            </w:r>
          </w:p>
        </w:tc>
      </w:tr>
      <w:tr>
        <w:trPr>
          <w:trHeight w:val="21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26,052</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2025</w:t>
            </w:r>
          </w:p>
        </w:tc>
        <w:tc>
          <w:tcPr>
            <w:tcW w:w="3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29,231</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28,124</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2027</w:t>
            </w:r>
          </w:p>
        </w:tc>
        <w:tc>
          <w:tcPr>
            <w:tcW w:w="3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29,793</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30,654</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2029-2033</w:t>
            </w:r>
          </w:p>
        </w:tc>
        <w:tc>
          <w:tcPr>
            <w:tcW w:w="3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120,431</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380"/>
        <w:spacing w:after="0"/>
        <w:rPr>
          <w:sz w:val="20"/>
          <w:szCs w:val="20"/>
          <w:color w:val="auto"/>
        </w:rPr>
      </w:pPr>
      <w:r>
        <w:rPr>
          <w:rFonts w:ascii="Arial" w:cs="Arial" w:eastAsia="Arial" w:hAnsi="Arial"/>
          <w:sz w:val="16"/>
          <w:szCs w:val="16"/>
          <w:b w:val="1"/>
          <w:bCs w:val="1"/>
          <w:color w:val="auto"/>
        </w:rPr>
        <w:t>18. Commitments and Contingencies</w:t>
      </w:r>
    </w:p>
    <w:p>
      <w:pPr>
        <w:spacing w:after="0" w:line="127" w:lineRule="exact"/>
        <w:rPr>
          <w:sz w:val="20"/>
          <w:szCs w:val="20"/>
          <w:color w:val="auto"/>
        </w:rPr>
      </w:pPr>
    </w:p>
    <w:p>
      <w:pPr>
        <w:jc w:val="center"/>
        <w:ind w:right="8400"/>
        <w:spacing w:after="0"/>
        <w:rPr>
          <w:sz w:val="20"/>
          <w:szCs w:val="20"/>
          <w:color w:val="auto"/>
        </w:rPr>
      </w:pPr>
      <w:r>
        <w:rPr>
          <w:rFonts w:ascii="Arial" w:cs="Arial" w:eastAsia="Arial" w:hAnsi="Arial"/>
          <w:sz w:val="16"/>
          <w:szCs w:val="16"/>
          <w:b w:val="1"/>
          <w:bCs w:val="1"/>
          <w:color w:val="auto"/>
        </w:rPr>
        <w:t>Purchase Commitments</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the ordinary course of business, we make various commitments in connection with the purchase of goods and services from specific suppliers. We have outstanding commitments of approximately $2.4 billion. These purchase commitments extend through 2030.</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Legal Proceedings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While certain legal proceedings and related indemnification obligations to which we are a party specify the amounts claimed, these amounts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amount of the accrual may change in the future due to new information or developments in each matter or changes in approach such as a change in settlement strategy in dealing with these matters.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Antitrust Litigation and Investigations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US Airways Antitrust Litigation</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April 2011, US Airways filed suit against us in federal court in the Southern District of New York, alleging violations of the Sherman Act Section 1 (anticompetitive agreements) and Section 2 (monopolization). The complaint was filed fewer than two months after we entered into a new distribution agreement with US Airways. In September 2011, the court dismissed all claims relating to Section 2. The surviving claims included claims brought under Section 1 of the Sherman Act, relating to our contracts with US Airways, that US Airways claimed contain anticompetitive provisions, and an alleged conspiracy with the other GDSs, allegedly to maintain the industry structure and not to compete for content. We strongly deny all of the allegations made by US Airways.</w:t>
      </w:r>
    </w:p>
    <w:p>
      <w:pPr>
        <w:spacing w:after="0" w:line="8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Sabre filed summary judgment motions in April 2014. In January 2015, the court issued an order granting Sabre's summary judgment motions in part, eliminating a majority of US Airways' alleged damages and rejecting its request for injunctive relief to bar Sabre from enforcing certain provisions in our contracts. In September 2015, the court also dismissed US Airways' claim for declaratory relief. In February 2017, US Airways sought reconsideration of the court's opinion dismissing the claim for declaratory relief, which the court denied in March 2017. US Airways estimated its damages in a range of $317 million to $482 million (before trebling), depending on certain assumptions; this quantification was substantially reduced following the court’s summary judgment ruling described above.</w:t>
      </w:r>
    </w:p>
    <w:p>
      <w:pPr>
        <w:spacing w:after="0" w:line="6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trial on the remaining claims commenced in October 2016. In December 2016, the jury issued a verdict in favor of US Airways with respect to its claim under Section 1 of the Sherman Act regarding Sabre's contract with US Airways and awarded it $5 million in single damages. The jury rejected US Airways' claim alleging a conspiracy with the other GDSs.</w:t>
      </w:r>
    </w:p>
    <w:p>
      <w:pPr>
        <w:spacing w:after="0" w:line="5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Based on the jury’s verdict, in March 2017 the court entered final judgment in favor of US Airways in the amount of $15 million, which is three times the jury’s award of $5 million as required by the Sherman Act. As a result of the jury's verdict, US Airways was also entitled to receive reasonable attorneys’ fees and costs under the Sherman Act. As such, it filed a motion seeking approximately $125 million in attorneys’ fees and costs, an amount that we strongly disputed. In January 2018, the court denied US Airways' motion seeking attorneys' fees and costs, without prejudice.</w:t>
      </w:r>
    </w:p>
    <w:p>
      <w:pPr>
        <w:spacing w:after="0" w:line="7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In the fourth quarter of 2016, we accrued a loss of $32 million, which represented the court's final judgment of $15 million, plus our estimate of $17 million for US Airways' reasonable attorneys’ fees, expenses and costs.</w:t>
      </w:r>
    </w:p>
    <w:p>
      <w:pPr>
        <w:spacing w:after="0" w:line="6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In April 2017, we filed an appeal with the United States Court of Appeals for the Second Circuit seeking a reversal of the judgment. US Airways also filed a counter-appeal challenging earlier court orders, including the above-referenced dismissal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5" w:name="page96"/>
    <w:bookmarkEnd w:id="95"/>
    <w:p>
      <w:pPr>
        <w:jc w:val="both"/>
        <w:spacing w:after="0" w:line="275" w:lineRule="auto"/>
        <w:rPr>
          <w:sz w:val="20"/>
          <w:szCs w:val="20"/>
          <w:color w:val="auto"/>
        </w:rPr>
      </w:pPr>
      <w:r>
        <w:rPr>
          <w:rFonts w:ascii="Arial" w:cs="Arial" w:eastAsia="Arial" w:hAnsi="Arial"/>
          <w:sz w:val="16"/>
          <w:szCs w:val="16"/>
          <w:color w:val="auto"/>
        </w:rPr>
        <w:t>or summary judgment orders as to portions of its claims and damages. In connection with this appeal, we posted an appellate bond equal to the aggregate amount of the $15 million judgment entered plus interest, which stayed the judgment pending the appeal. The Second Circuit heard oral arguments on this matter in December 2018.</w:t>
      </w:r>
    </w:p>
    <w:p>
      <w:pPr>
        <w:spacing w:after="0" w:line="56"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6"/>
          <w:szCs w:val="16"/>
          <w:color w:val="auto"/>
        </w:rPr>
        <w:t>In September 2019, the Second Circuit issued its Order and Opinion in which it vacated the judgment with respect to US Airways’ claim under Section 1, reversed the trial court’s dismissal of US Airways’ claims relating to Section 2, and remanded the case to district court for a new trial. In addition, the Second Circuit affirmed the trial court’s ruling limiting US Airways’ damages. The judgment in our favor on US Airways' conspiracy claim remained intact. The lawsuit was remanded to federal court in the Southern District of New York for further proceedings consistent with the Second Circuit's Order and Opinion.</w:t>
      </w:r>
    </w:p>
    <w:p>
      <w:pPr>
        <w:spacing w:after="0" w:line="2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 retrial began in April 2022. US Airways quantified its damages for the retrial in a range of $204 million to $299 million (before trebling), based on its payments of GDS booking fees to Sabre, alleged lost profits, and certain other assumptions. In May 2022, the jury rejected US Airways’ claim under Section 1 of the Sherman Act, finding that Sabre’s contractual terms were not anticompetitive, and found in favor of US Airways with respect to its monopolization claim for the period from 2007 to 2012 under Section 2 of the Sherman Act. The jury, however, only awarded US Airways $1.00 in single damages. Based on the jury’s verdict, in June 2022 the court entered final judgment in favor of US Airways in the amount of $3.00, which is three times the jury’s award of $1.00 as required by the Sherman Act. We have paid US Airways $3.05 to satisfy this portion of the judgment. Neither party has filed an appeal, and the period to file a timely appeal has passed.</w:t>
      </w:r>
    </w:p>
    <w:p>
      <w:pPr>
        <w:spacing w:after="0" w:line="8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addition, the court’s entry of judgment regarding the monopolization claim under Section 2 of the Sherman Act entitles US Airways to receive reasonable attorneys’ fees and costs under the Sherman Act. The court referred the issue of the attorneys' fees and costs to a magistrate judge. The magistrate issued a recommendation, which the court has adopted in full, that US Airways is entitled to a reasonable attorneys' fees award, but that the award is subject to a reduction to reflect their nominal recovery. In June 2023, US Airways filed a motion seeking approximately $139 million in attorneys' fees and costs, an amount that we strongly dispute. On February 6, 2024, the court issued an order denying US Airways' motion for attorneys' fees and costs without prejudice to renewal. The court further ordered that US Airways may refile its motion when and if settlement negotiations break down and after US Airways files a letter advising the court of its intent to renew the motion. During the quarter ended September 30, 2022, we accrued an estimated loss of $15 million in selling, general and administrative expenses for these attorneys' fees and costs, which did not have a significant effect on our results of operations for 2022; this amount is within our estimated range of outcomes based on our review of US Airways’ motion. The ultimate amount that we may be required to pay to US Airways may be greater or less than the amount recorded and, if greater, could adversely affect our results of operations. We have incurred and will incur significant fees, costs and expenses as long as the lawsuit continues.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Income Tax Litigation</w:t>
      </w:r>
    </w:p>
    <w:p>
      <w:pPr>
        <w:spacing w:after="0" w:line="1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We were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The DIT later issued further tax assessments for assessment years ending March 2000 through March 2006. The DIT has continued to issue tax assessments on a similar basis for subsequent years; however, the tax assessments for assessment years ending March 2007 and later are not material. We appealed the tax assessments for assessment years ending March 1998 through March 2006 and the Indian Commissioner of Income Tax Appeals returned a mixed verdict. We filed further appeals with the Income Tax Appellate Tribunal (“ITAT”). On June 19, 2009 and July 10, 2009, the ITAT ruled in our favor, stating that no income would be chargeable to tax for assessment years ending March 1998 and March 1999, and from March 2000 through March 2006. The DIT appealed those decisions to the Delhi High Court, which found in our favor on July 19, 2010. The DIT appealed the decision to the Supreme Court of India which upheld the Delhi High Court ruling on April 19, 2023. We have appealed the tax assessments for the assessment years ended March 2013 to March 2018 and March 2021 with the ITAT and no trial date has been set for these subsequent years.</w:t>
      </w:r>
    </w:p>
    <w:p>
      <w:pPr>
        <w:spacing w:after="0" w:line="9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addition, Sabre Asia Pacific Pte Ltd (“SAPPL”)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Bombay High Court and our case is pending before that court; the High Court dismissed the case for assessment years ending March 2001 through March 2004. The DIT also assessed taxes on a similar basis plus some additional issues for assessment years ending March 2006 through March 2015 and March 2018 through March 2020 and appeals for assessment years ending March 2006 through March 2016 and March 2018 through March 2020 are pending before the ITAT or the High Court depending on the year.</w:t>
      </w:r>
    </w:p>
    <w:p>
      <w:pPr>
        <w:spacing w:after="0" w:line="6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If the DIT were to fully prevail on every claim against us, including SAPPL, and other group companies, we could be subject to taxes, interest and penalties of approximately $23 million as of December 31, 2023.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more likely than not and therefore have not made any provisions or recorded any liability for the potential resolution of any of these claims.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6" w:name="page97"/>
    <w:bookmarkEnd w:id="96"/>
    <w:p>
      <w:pPr>
        <w:ind w:left="500"/>
        <w:spacing w:after="0"/>
        <w:rPr>
          <w:sz w:val="20"/>
          <w:szCs w:val="20"/>
          <w:color w:val="auto"/>
        </w:rPr>
      </w:pPr>
      <w:r>
        <w:rPr>
          <w:rFonts w:ascii="Arial" w:cs="Arial" w:eastAsia="Arial" w:hAnsi="Arial"/>
          <w:sz w:val="16"/>
          <w:szCs w:val="16"/>
          <w:b w:val="1"/>
          <w:bCs w:val="1"/>
          <w:i w:val="1"/>
          <w:iCs w:val="1"/>
          <w:color w:val="auto"/>
        </w:rPr>
        <w:t>Indian Service Tax Litigation</w:t>
      </w:r>
    </w:p>
    <w:p>
      <w:pPr>
        <w:spacing w:after="0" w:line="1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SAPPL's Indian subsidiary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We do not believe that an adverse outcome is probable and therefore have not made any provisions or recorded any liability for the potential resolution of any of these claims.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Litigation Relating to Routine Proceedings</w:t>
      </w:r>
    </w:p>
    <w:p>
      <w:pPr>
        <w:spacing w:after="0" w:line="11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Other</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Tax Matters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operate in numerous jurisdictions in which taxing authorities may challenge our position with respect to income and non-income based taxes. We routinely receive inquiries and may also from time to time receive challenges or assessments from these taxing authorities. With respect to non-income based taxes, we recognize liabilities when we determine it is probable that amounts will be owed to the taxing authorities and such amounts are estimable. For example, in most countries we pay and collect Value Added Tax (“VAT”) when procuring goods and services, or providing services, within the normal course of business. VAT receivables are established in jurisdictions where VAT paid exceeds VAT collected and are recoverable through the filing of refund claims. These receivables have inherent audit and collection risks unique to the specific jurisdictions that evaluate our refund claims. We intend to vigorously defend our positions against any claims that are not insignificant, including through litigation when necessary. During the year ended December 31, 2023 we accrued $11 million associated with these other tax matters in selling, general and administrative expense. We will continue to monitor and update this estimate as additional information becomes available. We may incur expenses in future periods related to such matters, including litigation costs and possible pre-payment of a portion of any assessed tax amount to defend our position, and if our positions are ultimately rejected, it could have a material impact to our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Segment Information</w:t>
      </w:r>
    </w:p>
    <w:p>
      <w:pPr>
        <w:spacing w:after="0" w:line="113"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Our reportable segments are based upon our internal organizational structure; the manner in which our operations are managed; the criteria used by our President, who is our Chief Operating Decision Maker ("CODM"), to evaluate segment performance; the availability of separate financial information; and overall materiality considerations.</w:t>
      </w:r>
    </w:p>
    <w:p>
      <w:pPr>
        <w:spacing w:after="0" w:line="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operate our business and present our results through two business segments (i) Travel Solutions, our global travel solutions for travel suppliers and travel buyers, including a broad portfolio of software technology products and solutions for airlines, and (ii) Hospitality Solutions, an extensive suite of software solutions for hoteliers.</w:t>
      </w:r>
    </w:p>
    <w:p>
      <w:pPr>
        <w:spacing w:after="0" w:line="7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Our CODM utilizes Adjusted Operating Income (Loss), which is not a recognized term under GAAP, as the measure of profitability to evaluate performance of our segments and allocate resources. Our use of Adjusted Operating Income (Loss) has limitations as an analytical tool, and should not be considered in isolation or as a substitute for analysis of our results as reported under GAAP.</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define Adjusted Operating Income (Loss) as operating loss adjusted for equity method income (loss), impairment and related charges, acquisition-related amortization, restructuring and other costs, acquisition-related costs, litigation costs, net, and stock-based compensation.</w:t>
      </w:r>
    </w:p>
    <w:p>
      <w:pPr>
        <w:spacing w:after="0" w:line="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CODM does not review total assets by segment as operating evaluations and resource allocation decisions are not made on the basis of total assets by segment.</w:t>
      </w:r>
    </w:p>
    <w:p>
      <w:pPr>
        <w:spacing w:after="0" w:line="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Certain costs associated with our technology organization are allocated to the segments based on the segments' usage of resources. Benefit expenses, facility and lease costs and associated depreciation expense are allocated to the segments based on headcount. Unallocated corporate costs include certain shared expenses such as accounting, finance, human resources, legal, corporate systems, amortization of acquired intangible assets, impairment and related charges, stock-based compensation, restructuring charges, legal reserves and other items not identifiable with one of our segments.</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account for significant intersegment transactions as if the transactions were with third parties, that is, at estimated current market prices. The majority of the intersegment revenues and cost of revenues are fees charged by Travel Solutions to Hospitality Solutions for hotel stays booked through our GDS.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Segment information for the years ended December 31, 2023, 2022 and 2021 is as follows (in thousands):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97" w:name="page98"/>
    <w:bookmarkEnd w:id="97"/>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0"/>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Travel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2,642,077</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2,311,275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1,503,539</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Hospitality Solutions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202,628</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Eliminations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(17,292)</w:t>
            </w:r>
          </w:p>
        </w:tc>
        <w:tc>
          <w:tcPr>
            <w:tcW w:w="0" w:type="dxa"/>
            <w:vAlign w:val="bottom"/>
          </w:tcPr>
          <w:p>
            <w:pPr>
              <w:spacing w:after="0"/>
              <w:rPr>
                <w:sz w:val="1"/>
                <w:szCs w:val="1"/>
                <w:color w:val="auto"/>
              </w:rPr>
            </w:pPr>
          </w:p>
        </w:tc>
      </w:tr>
      <w:tr>
        <w:trPr>
          <w:trHeight w:val="235"/>
        </w:trPr>
        <w:tc>
          <w:tcPr>
            <w:tcW w:w="6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2,907,738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2,537,015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1,688,875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line="203" w:lineRule="exact"/>
              <w:rPr>
                <w:sz w:val="20"/>
                <w:szCs w:val="20"/>
                <w:color w:val="auto"/>
              </w:rPr>
            </w:pPr>
            <w:r>
              <w:rPr>
                <w:rFonts w:ascii="Arial" w:cs="Arial" w:eastAsia="Arial" w:hAnsi="Arial"/>
                <w:sz w:val="16"/>
                <w:szCs w:val="16"/>
                <w:color w:val="auto"/>
              </w:rPr>
              <w:t>Adjusted Operating Income (Loss)</w:t>
            </w:r>
            <w:r>
              <w:rPr>
                <w:rFonts w:ascii="Arial" w:cs="Arial" w:eastAsia="Arial" w:hAnsi="Arial"/>
                <w:sz w:val="21"/>
                <w:szCs w:val="21"/>
                <w:color w:val="auto"/>
                <w:vertAlign w:val="superscript"/>
              </w:rPr>
              <w:t>(a)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Travel Solutions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474,969</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(222,679)</w:t>
            </w: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Hospitality Solutions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(39,806)</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(234,976)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(196,832)</w:t>
            </w:r>
          </w:p>
        </w:tc>
        <w:tc>
          <w:tcPr>
            <w:tcW w:w="0" w:type="dxa"/>
            <w:vAlign w:val="bottom"/>
          </w:tcPr>
          <w:p>
            <w:pPr>
              <w:spacing w:after="0"/>
              <w:rPr>
                <w:sz w:val="1"/>
                <w:szCs w:val="1"/>
                <w:color w:val="auto"/>
              </w:rPr>
            </w:pPr>
          </w:p>
        </w:tc>
      </w:tr>
      <w:tr>
        <w:trPr>
          <w:trHeight w:val="209"/>
        </w:trPr>
        <w:tc>
          <w:tcPr>
            <w:tcW w:w="6960" w:type="dxa"/>
            <w:vAlign w:val="bottom"/>
          </w:tcPr>
          <w:p>
            <w:pPr>
              <w:ind w:left="46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228,707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(68,042)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(459,317)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Travel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83,214</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110,513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170,673</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Hospitality Solutions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24,498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26,354</w:t>
            </w:r>
          </w:p>
        </w:tc>
        <w:tc>
          <w:tcPr>
            <w:tcW w:w="0" w:type="dxa"/>
            <w:vAlign w:val="bottom"/>
          </w:tcPr>
          <w:p>
            <w:pPr>
              <w:spacing w:after="0"/>
              <w:rPr>
                <w:sz w:val="1"/>
                <w:szCs w:val="1"/>
                <w:color w:val="auto"/>
              </w:rPr>
            </w:pPr>
          </w:p>
        </w:tc>
      </w:tr>
      <w:tr>
        <w:trPr>
          <w:trHeight w:val="209"/>
        </w:trPr>
        <w:tc>
          <w:tcPr>
            <w:tcW w:w="6960" w:type="dxa"/>
            <w:vAlign w:val="bottom"/>
          </w:tcPr>
          <w:p>
            <w:pPr>
              <w:ind w:left="460"/>
              <w:spacing w:after="0"/>
              <w:rPr>
                <w:sz w:val="20"/>
                <w:szCs w:val="20"/>
                <w:color w:val="auto"/>
              </w:rPr>
            </w:pPr>
            <w:r>
              <w:rPr>
                <w:rFonts w:ascii="Arial" w:cs="Arial" w:eastAsia="Arial" w:hAnsi="Arial"/>
                <w:sz w:val="16"/>
                <w:szCs w:val="16"/>
                <w:color w:val="auto"/>
              </w:rPr>
              <w:t>Total segments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107,712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132,298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197,027</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65,158</w:t>
            </w:r>
          </w:p>
        </w:tc>
        <w:tc>
          <w:tcPr>
            <w:tcW w:w="0" w:type="dxa"/>
            <w:vAlign w:val="bottom"/>
          </w:tcPr>
          <w:p>
            <w:pPr>
              <w:spacing w:after="0"/>
              <w:rPr>
                <w:sz w:val="1"/>
                <w:szCs w:val="1"/>
                <w:color w:val="auto"/>
              </w:rPr>
            </w:pPr>
          </w:p>
        </w:tc>
      </w:tr>
      <w:tr>
        <w:trPr>
          <w:trHeight w:val="210"/>
        </w:trPr>
        <w:tc>
          <w:tcPr>
            <w:tcW w:w="6960" w:type="dxa"/>
            <w:vAlign w:val="bottom"/>
          </w:tcPr>
          <w:p>
            <w:pPr>
              <w:ind w:left="46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148,676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262,185</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Travel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61,100</w:t>
            </w:r>
          </w:p>
        </w:tc>
        <w:tc>
          <w:tcPr>
            <w:tcW w:w="44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40,396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25,128</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Hospitality Solutions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9"/>
        </w:trPr>
        <w:tc>
          <w:tcPr>
            <w:tcW w:w="6960" w:type="dxa"/>
            <w:vAlign w:val="bottom"/>
          </w:tcPr>
          <w:p>
            <w:pPr>
              <w:ind w:left="460"/>
              <w:spacing w:after="0"/>
              <w:rPr>
                <w:sz w:val="20"/>
                <w:szCs w:val="20"/>
                <w:color w:val="auto"/>
              </w:rPr>
            </w:pPr>
            <w:r>
              <w:rPr>
                <w:rFonts w:ascii="Arial" w:cs="Arial" w:eastAsia="Arial" w:hAnsi="Arial"/>
                <w:sz w:val="16"/>
                <w:szCs w:val="16"/>
                <w:color w:val="auto"/>
              </w:rPr>
              <w:t>Total segments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67,872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46,407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25,352</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28,950</w:t>
            </w:r>
          </w:p>
        </w:tc>
        <w:tc>
          <w:tcPr>
            <w:tcW w:w="0" w:type="dxa"/>
            <w:vAlign w:val="bottom"/>
          </w:tcPr>
          <w:p>
            <w:pPr>
              <w:spacing w:after="0"/>
              <w:rPr>
                <w:sz w:val="1"/>
                <w:szCs w:val="1"/>
                <w:color w:val="auto"/>
              </w:rPr>
            </w:pPr>
          </w:p>
        </w:tc>
      </w:tr>
      <w:tr>
        <w:trPr>
          <w:trHeight w:val="209"/>
        </w:trPr>
        <w:tc>
          <w:tcPr>
            <w:tcW w:w="6960" w:type="dxa"/>
            <w:vAlign w:val="bottom"/>
          </w:tcPr>
          <w:p>
            <w:pPr>
              <w:ind w:left="46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87,423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right="260" w:hanging="332"/>
        <w:spacing w:after="0" w:line="286"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table sets forth the reconciliation of operating income (loss) in our consolidated statements of operations to Adjusted Operating Income (Loss)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9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37"/>
        </w:trPr>
        <w:tc>
          <w:tcPr>
            <w:tcW w:w="69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r>
      <w:tr>
        <w:trPr>
          <w:trHeight w:val="213"/>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(665,487)</w:t>
            </w: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Add back:</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income (loss)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6"/>
        </w:trPr>
        <w:tc>
          <w:tcPr>
            <w:tcW w:w="6960" w:type="dxa"/>
            <w:vAlign w:val="bottom"/>
          </w:tcPr>
          <w:p>
            <w:pPr>
              <w:ind w:left="220"/>
              <w:spacing w:after="0" w:line="216" w:lineRule="exact"/>
              <w:rPr>
                <w:sz w:val="20"/>
                <w:szCs w:val="20"/>
                <w:color w:val="auto"/>
              </w:rPr>
            </w:pPr>
            <w:r>
              <w:rPr>
                <w:rFonts w:ascii="Arial" w:cs="Arial" w:eastAsia="Arial" w:hAnsi="Arial"/>
                <w:sz w:val="16"/>
                <w:szCs w:val="16"/>
                <w:color w:val="auto"/>
              </w:rPr>
              <w:t>Impairment and related charges</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69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51,254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64,144</w:t>
            </w:r>
          </w:p>
        </w:tc>
      </w:tr>
      <w:tr>
        <w:trPr>
          <w:trHeight w:val="216"/>
        </w:trPr>
        <w:tc>
          <w:tcPr>
            <w:tcW w:w="6960" w:type="dxa"/>
            <w:vAlign w:val="bottom"/>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(3)</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72,096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14,500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(7,608)</w:t>
            </w:r>
          </w:p>
        </w:tc>
      </w:tr>
      <w:tr>
        <w:trPr>
          <w:trHeight w:val="216"/>
        </w:trPr>
        <w:tc>
          <w:tcPr>
            <w:tcW w:w="69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6,744</w:t>
            </w:r>
          </w:p>
        </w:tc>
      </w:tr>
      <w:tr>
        <w:trPr>
          <w:trHeight w:val="216"/>
        </w:trPr>
        <w:tc>
          <w:tcPr>
            <w:tcW w:w="6960" w:type="dxa"/>
            <w:vAlign w:val="bottom"/>
          </w:tcPr>
          <w:p>
            <w:pPr>
              <w:ind w:left="22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(5)</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31,706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22,262</w:t>
            </w: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52,015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82,872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120,892</w:t>
            </w: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Adjusted Operating Income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228,707</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(68,042)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(459,317)</w:t>
            </w:r>
          </w:p>
        </w:tc>
      </w:tr>
      <w:tr>
        <w:trPr>
          <w:trHeight w:val="21"/>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1"/>
          <w:szCs w:val="11"/>
          <w:color w:val="auto"/>
        </w:rPr>
      </w:pPr>
      <w:r>
        <w:rPr>
          <w:rFonts w:ascii="Arial" w:cs="Arial" w:eastAsia="Arial" w:hAnsi="Arial"/>
          <w:sz w:val="13"/>
          <w:szCs w:val="13"/>
          <w:color w:val="auto"/>
        </w:rPr>
        <w:t>Impairment and related charges in 2022 represents a $5 million impairment charge associated with the impact of regulatory changes in Russia on the future recoverability of certain assets.</w:t>
      </w:r>
    </w:p>
    <w:p>
      <w:pPr>
        <w:spacing w:after="0" w:line="11" w:lineRule="exact"/>
        <w:rPr>
          <w:rFonts w:ascii="Arial" w:cs="Arial" w:eastAsia="Arial" w:hAnsi="Arial"/>
          <w:sz w:val="11"/>
          <w:szCs w:val="11"/>
          <w:color w:val="auto"/>
        </w:rPr>
      </w:pPr>
    </w:p>
    <w:p>
      <w:pPr>
        <w:ind w:left="320" w:hanging="312"/>
        <w:spacing w:after="0"/>
        <w:tabs>
          <w:tab w:leader="none" w:pos="320" w:val="left"/>
        </w:tabs>
        <w:numPr>
          <w:ilvl w:val="0"/>
          <w:numId w:val="36"/>
        </w:numPr>
        <w:rPr>
          <w:rFonts w:ascii="Arial" w:cs="Arial" w:eastAsia="Arial" w:hAnsi="Arial"/>
          <w:sz w:val="11"/>
          <w:szCs w:val="11"/>
          <w:color w:val="auto"/>
        </w:rPr>
      </w:pPr>
      <w:r>
        <w:rPr>
          <w:rFonts w:ascii="Arial" w:cs="Arial" w:eastAsia="Arial" w:hAnsi="Arial"/>
          <w:sz w:val="13"/>
          <w:szCs w:val="13"/>
          <w:color w:val="auto"/>
        </w:rPr>
        <w:t>Acquisition-related amortization represents amortization of intangible assets from the take-private transaction in 2007 as well as intangibles associated with acquisitions since that date.</w:t>
      </w:r>
    </w:p>
    <w:p>
      <w:pPr>
        <w:jc w:val="both"/>
        <w:ind w:left="340" w:hanging="332"/>
        <w:spacing w:after="0" w:line="245" w:lineRule="auto"/>
        <w:tabs>
          <w:tab w:leader="none" w:pos="337" w:val="left"/>
        </w:tabs>
        <w:numPr>
          <w:ilvl w:val="0"/>
          <w:numId w:val="36"/>
        </w:numPr>
        <w:rPr>
          <w:rFonts w:ascii="Arial" w:cs="Arial" w:eastAsia="Arial" w:hAnsi="Arial"/>
          <w:sz w:val="11"/>
          <w:szCs w:val="11"/>
          <w:color w:val="auto"/>
        </w:rPr>
      </w:pPr>
      <w:r>
        <w:rPr>
          <w:rFonts w:ascii="Arial" w:cs="Arial" w:eastAsia="Arial" w:hAnsi="Arial"/>
          <w:sz w:val="13"/>
          <w:szCs w:val="13"/>
          <w:color w:val="auto"/>
        </w:rPr>
        <w:t>Restructuring and other costs in 2023 primarily represents charges associated with our cost reduction plan implemented in the second quarter of 2023. See Note 5. Restructuring Activities to our consolidated financial statements. During 2022, charges, and adjustments to those charges, were recorded associated with planning and implementing business restructuring activities, including costs associated with third party consultants advising on our business structure and strategy.</w:t>
      </w:r>
    </w:p>
    <w:p>
      <w:pPr>
        <w:spacing w:after="0" w:line="1" w:lineRule="exact"/>
        <w:rPr>
          <w:rFonts w:ascii="Arial" w:cs="Arial" w:eastAsia="Arial" w:hAnsi="Arial"/>
          <w:sz w:val="11"/>
          <w:szCs w:val="11"/>
          <w:color w:val="auto"/>
        </w:rPr>
      </w:pPr>
    </w:p>
    <w:p>
      <w:pPr>
        <w:ind w:left="320" w:hanging="312"/>
        <w:spacing w:after="0"/>
        <w:tabs>
          <w:tab w:leader="none" w:pos="320" w:val="left"/>
        </w:tabs>
        <w:numPr>
          <w:ilvl w:val="0"/>
          <w:numId w:val="36"/>
        </w:numPr>
        <w:rPr>
          <w:rFonts w:ascii="Arial" w:cs="Arial" w:eastAsia="Arial" w:hAnsi="Arial"/>
          <w:sz w:val="11"/>
          <w:szCs w:val="11"/>
          <w:color w:val="auto"/>
        </w:rPr>
      </w:pPr>
      <w:r>
        <w:rPr>
          <w:rFonts w:ascii="Arial" w:cs="Arial" w:eastAsia="Arial" w:hAnsi="Arial"/>
          <w:sz w:val="13"/>
          <w:szCs w:val="13"/>
          <w:color w:val="auto"/>
        </w:rPr>
        <w:t>Acquisition-related costs represent fees and expenses incurred associated with acquisition and disposition related activities.</w:t>
      </w:r>
    </w:p>
    <w:p>
      <w:pPr>
        <w:ind w:left="340" w:hanging="332"/>
        <w:spacing w:after="0" w:line="245" w:lineRule="auto"/>
        <w:tabs>
          <w:tab w:leader="none" w:pos="337" w:val="left"/>
        </w:tabs>
        <w:numPr>
          <w:ilvl w:val="0"/>
          <w:numId w:val="36"/>
        </w:numPr>
        <w:rPr>
          <w:rFonts w:ascii="Arial" w:cs="Arial" w:eastAsia="Arial" w:hAnsi="Arial"/>
          <w:sz w:val="11"/>
          <w:szCs w:val="11"/>
          <w:color w:val="auto"/>
        </w:rPr>
      </w:pPr>
      <w:r>
        <w:rPr>
          <w:rFonts w:ascii="Arial" w:cs="Arial" w:eastAsia="Arial" w:hAnsi="Arial"/>
          <w:sz w:val="13"/>
          <w:szCs w:val="13"/>
          <w:color w:val="auto"/>
        </w:rPr>
        <w:t>Litigation costs, net represent charges associated with antitrust litigation and other foreign non-income tax contingency matters. See Note 18. Commitments and Contingencies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98" w:name="page99"/>
    <w:bookmarkEnd w:id="98"/>
    <w:p>
      <w:pPr>
        <w:jc w:val="both"/>
        <w:ind w:firstLine="486"/>
        <w:spacing w:after="0" w:line="259"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For Travel Solutions, we generate revenue from our distribution activities through transaction fees for bookings on our GDS, and from our IT solutions through recurring usage-based fees for the use of our SaaS and hosted systems, as well as upfront fees and professional services fees. For Hospitality Solutions, we generate revenue from recurring usage-based fees for the use of our SaaS and hosted systems, as well as upfront fees and professional services fees. Transaction-based revenue accounted for approximately 86%, 83% and 72% of our Travel Solutions revenue for each of the years ended December 31, 2023, 2022 and 2021, respectively. Transaction-based revenue accounted for approximately 74%, 76% and 72% of our Hospitality Solutions revenue for each of the years ended December 31, 2023, 2022 and 2021, respectively. All equity method income relates to Travel Solutions.</w:t>
      </w:r>
    </w:p>
    <w:p>
      <w:pPr>
        <w:spacing w:after="0" w:line="13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revenues and long-lived assets, excluding goodwill and intangible assets, by geographic region are summarized below. Distribution revenue for the Travel Solutions business is attributed to countries based on the location of the travel supplier and IT Solutions revenue is based on the location of the customer. For Hospitality Solutions, revenue is attributed to countries based on the location of the customer. The majority of our revenues and long-lived assets are derived from the United States, Europe, and Asia-Pacific ("APAC") as follows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09"/>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2021</w:t>
            </w: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1,093,429</w:t>
            </w: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958,927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734,568</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627,772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341,862</w:t>
            </w: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APAC</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501,539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335,056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184,075</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722,613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615,260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428,370</w:t>
            </w:r>
          </w:p>
        </w:tc>
      </w:tr>
      <w:tr>
        <w:trPr>
          <w:trHeight w:val="209"/>
        </w:trPr>
        <w:tc>
          <w:tcPr>
            <w:tcW w:w="6960" w:type="dxa"/>
            <w:vAlign w:val="bottom"/>
          </w:tcPr>
          <w:p>
            <w:pPr>
              <w:jc w:val="center"/>
              <w:ind w:right="5619"/>
              <w:spacing w:after="0"/>
              <w:rPr>
                <w:sz w:val="20"/>
                <w:szCs w:val="20"/>
                <w:color w:val="auto"/>
              </w:rPr>
            </w:pPr>
            <w:r>
              <w:rPr>
                <w:rFonts w:ascii="Arial" w:cs="Arial" w:eastAsia="Arial" w:hAnsi="Arial"/>
                <w:sz w:val="16"/>
                <w:szCs w:val="16"/>
                <w:color w:val="auto"/>
                <w:w w:val="95"/>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2,907,738</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2,537,015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1,688,875</w:t>
            </w:r>
          </w:p>
        </w:tc>
      </w:tr>
      <w:tr>
        <w:trPr>
          <w:trHeight w:val="21"/>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341"/>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As of December 31,</w:t>
            </w:r>
          </w:p>
        </w:tc>
      </w:tr>
      <w:tr>
        <w:trPr>
          <w:trHeight w:val="209"/>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2022</w:t>
            </w:r>
          </w:p>
        </w:tc>
      </w:tr>
      <w:tr>
        <w:trPr>
          <w:trHeight w:val="213"/>
        </w:trPr>
        <w:tc>
          <w:tcPr>
            <w:tcW w:w="6960" w:type="dxa"/>
            <w:vAlign w:val="bottom"/>
            <w:shd w:val="clear" w:color="auto" w:fill="CCEEFF"/>
          </w:tcPr>
          <w:p>
            <w:pPr>
              <w:jc w:val="center"/>
              <w:ind w:right="5619"/>
              <w:spacing w:after="0"/>
              <w:rPr>
                <w:sz w:val="20"/>
                <w:szCs w:val="20"/>
                <w:color w:val="auto"/>
              </w:rPr>
            </w:pPr>
            <w:r>
              <w:rPr>
                <w:rFonts w:ascii="Arial" w:cs="Arial" w:eastAsia="Arial" w:hAnsi="Arial"/>
                <w:sz w:val="16"/>
                <w:szCs w:val="16"/>
                <w:color w:val="auto"/>
              </w:rPr>
              <w:t>Long-lived assets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266,196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266,752</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Europe</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25,704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28,349</w:t>
            </w:r>
          </w:p>
        </w:tc>
      </w:tr>
      <w:tr>
        <w:trPr>
          <w:trHeight w:val="215"/>
        </w:trPr>
        <w:tc>
          <w:tcPr>
            <w:tcW w:w="6960" w:type="dxa"/>
            <w:vAlign w:val="bottom"/>
          </w:tcPr>
          <w:p>
            <w:pPr>
              <w:ind w:left="200"/>
              <w:spacing w:after="0"/>
              <w:rPr>
                <w:sz w:val="20"/>
                <w:szCs w:val="20"/>
                <w:color w:val="auto"/>
              </w:rPr>
            </w:pPr>
            <w:r>
              <w:rPr>
                <w:rFonts w:ascii="Arial" w:cs="Arial" w:eastAsia="Arial" w:hAnsi="Arial"/>
                <w:sz w:val="16"/>
                <w:szCs w:val="16"/>
                <w:color w:val="auto"/>
              </w:rPr>
              <w:t>APAC</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5,145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9,184</w:t>
            </w:r>
          </w:p>
        </w:tc>
      </w:tr>
      <w:tr>
        <w:trPr>
          <w:trHeight w:val="217"/>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Other</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6,526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10,372</w:t>
            </w:r>
          </w:p>
        </w:tc>
      </w:tr>
      <w:tr>
        <w:trPr>
          <w:trHeight w:val="209"/>
        </w:trPr>
        <w:tc>
          <w:tcPr>
            <w:tcW w:w="6960" w:type="dxa"/>
            <w:vAlign w:val="bottom"/>
          </w:tcPr>
          <w:p>
            <w:pPr>
              <w:jc w:val="center"/>
              <w:ind w:right="5619"/>
              <w:spacing w:after="0"/>
              <w:rPr>
                <w:sz w:val="20"/>
                <w:szCs w:val="20"/>
                <w:color w:val="auto"/>
              </w:rPr>
            </w:pPr>
            <w:r>
              <w:rPr>
                <w:rFonts w:ascii="Arial" w:cs="Arial" w:eastAsia="Arial" w:hAnsi="Arial"/>
                <w:sz w:val="16"/>
                <w:szCs w:val="16"/>
                <w:color w:val="auto"/>
                <w:w w:val="95"/>
              </w:rPr>
              <w:t>Total</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303,571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314,657</w:t>
            </w:r>
          </w:p>
        </w:tc>
      </w:tr>
      <w:tr>
        <w:trPr>
          <w:trHeight w:val="21"/>
        </w:trPr>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9.</w:t>
        <w:tab/>
        <w:t>CHANGES IN AND DISAGREEMENTS WITH ACCOUNTANTS ON ACCOUNTING AND FINANCIAL DISCLOSURE</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Disclosure Controls and Procedures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the design and operation of our disclosure controls and procedures (as defined in Exchange Act Rule 13a-15(e)) as of the end of the period covered by this report. Based on that evaluation, the Chief Executive Officer and Chief Financial Officer have concluded that, as of the end of the period covered by this report, our disclosure controls and procedures are effective.</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Under the supervision and with the participation of our management, including the Chief Executive Officer and Chief Financial Officer, we have conducted an evaluation of the effectiveness of our internal control over financial reporting based on criteria established in the framework in Internal Control —Integrated Framework issued by the Committee of Sponsoring Organizations of the Treadway Commission (2013 framework). Based on our evaluation, we concluded that our internal control over financial reporting is effective as of December 31, 2023.</w:t>
      </w:r>
    </w:p>
    <w:p>
      <w:pPr>
        <w:spacing w:after="0" w:line="6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Our independent registered public accounting firm, Ernst &amp; Young LLP, has issued an attestation report on the effectiveness of our internal control over financial reporting as of December 31, 2023, which is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this Annual Report on Form 10-K.</w:t>
      </w:r>
    </w:p>
    <w:p>
      <w:pPr>
        <w:spacing w:after="0" w:line="6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99" w:name="page100"/>
    <w:bookmarkEnd w:id="99"/>
    <w:p>
      <w:pPr>
        <w:ind w:left="50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11"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In March of 2023, we completed the implementation of a new billing system that affected our control environment over a considerable portion of our revenue. There were no other changes in our internal control over financial reporting (as this term is defined in Exchange Act Rule 13a-15(f)) during the most recent fiscal quarter that have materially affected, or are reasonably likely to materially affect, our internal control over financial reporting.</w:t>
      </w:r>
    </w:p>
    <w:p>
      <w:pPr>
        <w:spacing w:after="0" w:line="28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9B.</w:t>
        <w:tab/>
        <w:t>OTHER INFORMATION</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Securities Trading Arrangements</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During the three months ended December 31,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PART III</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10.</w:t>
        <w:tab/>
        <w:t>DIRECTORS, EXECUTIVE OFFICERS AND CORPORATE GOVERNANCE</w:t>
      </w:r>
    </w:p>
    <w:p>
      <w:pPr>
        <w:spacing w:after="0" w:line="12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information set forth under the following headings of our definitive Proxy Statement for our 2024 annual meeting of stockholders (the “2024 Proxy Statement”) is incorporated in this Item 10 by reference:</w:t>
      </w:r>
    </w:p>
    <w:p>
      <w:pPr>
        <w:spacing w:after="0" w:line="61" w:lineRule="exact"/>
        <w:rPr>
          <w:sz w:val="20"/>
          <w:szCs w:val="20"/>
          <w:color w:val="auto"/>
        </w:rPr>
      </w:pPr>
    </w:p>
    <w:p>
      <w:pPr>
        <w:ind w:left="820" w:hanging="326"/>
        <w:spacing w:after="0" w:line="286" w:lineRule="auto"/>
        <w:tabs>
          <w:tab w:leader="none" w:pos="80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Information Regarding Nominees for Director” under “Proposal 1. Election of Directors,” which identifies our directors and nominees for our Board of Directors.</w:t>
      </w:r>
    </w:p>
    <w:p>
      <w:pPr>
        <w:spacing w:after="0" w:line="47" w:lineRule="exact"/>
        <w:rPr>
          <w:rFonts w:ascii="Arial" w:cs="Arial" w:eastAsia="Arial" w:hAnsi="Arial"/>
          <w:sz w:val="16"/>
          <w:szCs w:val="16"/>
          <w:color w:val="auto"/>
        </w:rPr>
      </w:pPr>
    </w:p>
    <w:p>
      <w:pPr>
        <w:ind w:left="800" w:hanging="306"/>
        <w:spacing w:after="0"/>
        <w:tabs>
          <w:tab w:leader="none" w:pos="8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information—Delinquent Section 16(a) Reports.”</w:t>
      </w:r>
    </w:p>
    <w:p>
      <w:pPr>
        <w:spacing w:after="0" w:line="126" w:lineRule="exact"/>
        <w:rPr>
          <w:rFonts w:ascii="Arial" w:cs="Arial" w:eastAsia="Arial" w:hAnsi="Arial"/>
          <w:sz w:val="16"/>
          <w:szCs w:val="16"/>
          <w:color w:val="auto"/>
        </w:rPr>
      </w:pPr>
    </w:p>
    <w:p>
      <w:pPr>
        <w:ind w:left="820" w:right="20" w:hanging="326"/>
        <w:spacing w:after="0" w:line="286" w:lineRule="auto"/>
        <w:tabs>
          <w:tab w:leader="none" w:pos="80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“Corporate Governance—Other Corporate Governance Practices and Matters—Code of Business Ethics,” which describes our Code of Business Ethics.</w:t>
      </w:r>
    </w:p>
    <w:p>
      <w:pPr>
        <w:spacing w:after="0" w:line="61" w:lineRule="exact"/>
        <w:rPr>
          <w:rFonts w:ascii="Arial" w:cs="Arial" w:eastAsia="Arial" w:hAnsi="Arial"/>
          <w:sz w:val="16"/>
          <w:szCs w:val="16"/>
          <w:color w:val="auto"/>
        </w:rPr>
      </w:pPr>
    </w:p>
    <w:p>
      <w:pPr>
        <w:jc w:val="both"/>
        <w:ind w:left="820" w:hanging="326"/>
        <w:spacing w:after="0" w:line="266" w:lineRule="auto"/>
        <w:tabs>
          <w:tab w:leader="none" w:pos="80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“Corporate Governance—Stockholder Nominations for Directors” and "Other Information—Proxy Access Nominations and Annual Meeting Advance Notice Requirements" which describe the procedures by which stockholders may nominate candidates for election to our Board of Directors.</w:t>
      </w:r>
    </w:p>
    <w:p>
      <w:pPr>
        <w:spacing w:after="0" w:line="76"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“Corporate Governance—Board Committees—Audit Committee," which identifies members of the Audit Committee of our Board of Directors and audit committee financial experts.</w:t>
      </w:r>
    </w:p>
    <w:p>
      <w:pPr>
        <w:spacing w:after="0" w:line="15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 xml:space="preserve">Information regarding our executive officers is reported under the caption “Information About Our Executive Officers” in </w:t>
      </w:r>
      <w:r>
        <w:rPr>
          <w:rFonts w:ascii="Arial" w:cs="Arial" w:eastAsia="Arial" w:hAnsi="Arial"/>
          <w:sz w:val="16"/>
          <w:szCs w:val="16"/>
          <w:u w:val="single" w:color="auto"/>
          <w:color w:val="0000FF"/>
        </w:rPr>
        <w:t>Part I</w:t>
      </w:r>
      <w:r>
        <w:rPr>
          <w:rFonts w:ascii="Arial" w:cs="Arial" w:eastAsia="Arial" w:hAnsi="Arial"/>
          <w:sz w:val="16"/>
          <w:szCs w:val="16"/>
          <w:color w:val="auto"/>
        </w:rPr>
        <w:t xml:space="preserve"> of this Annual Report on Form 10-K.</w:t>
      </w:r>
    </w:p>
    <w:p>
      <w:pPr>
        <w:spacing w:after="0" w:line="24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The information set forth under the headings “Compensation Discussion and Analysis,” “Executive Compensation,” “Proposal 1. Election of Directors —Director Compensation Program” and “Corporate Governance—Compensation Committee Interlocks and Insider Participation” of the 2024 Proxy Statement is incorporated in this Item 11 by reference.</w:t>
      </w:r>
    </w:p>
    <w:p>
      <w:pPr>
        <w:spacing w:after="0" w:line="29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STOCKHOLDER MATTERS</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The information set forth under the heading “Security Ownership of Certain Beneficial Owners and Management” of the 2024 Proxy Statement is incorporated in this Item 12 by reference.</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Compensation Plan Information</w:t>
      </w:r>
    </w:p>
    <w:p>
      <w:pPr>
        <w:spacing w:after="0" w:line="11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following table gives information about our common stock that may be issued upon the exercise of options, warrants and rights under all of our equity compensation plans as of December 31, 2023.</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Number of securities to be</w:t>
            </w:r>
          </w:p>
        </w:tc>
        <w:tc>
          <w:tcPr>
            <w:tcW w:w="100" w:type="dxa"/>
            <w:vAlign w:val="bottom"/>
          </w:tcPr>
          <w:p>
            <w:pPr>
              <w:spacing w:after="0"/>
              <w:rPr>
                <w:sz w:val="12"/>
                <w:szCs w:val="12"/>
                <w:color w:val="auto"/>
              </w:rPr>
            </w:pPr>
          </w:p>
        </w:tc>
        <w:tc>
          <w:tcPr>
            <w:tcW w:w="1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Weighted average exercise</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7"/>
              </w:rPr>
              <w:t>Number of securities</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remaining available for future</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issued upon exercise of</w:t>
            </w:r>
          </w:p>
        </w:tc>
        <w:tc>
          <w:tcPr>
            <w:tcW w:w="19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price of outstanding options</w:t>
            </w:r>
          </w:p>
        </w:tc>
        <w:tc>
          <w:tcPr>
            <w:tcW w:w="1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issuance under equity</w:t>
            </w:r>
          </w:p>
        </w:tc>
        <w:tc>
          <w:tcPr>
            <w:tcW w:w="0" w:type="dxa"/>
            <w:vAlign w:val="bottom"/>
          </w:tcPr>
          <w:p>
            <w:pPr>
              <w:spacing w:after="0"/>
              <w:rPr>
                <w:sz w:val="1"/>
                <w:szCs w:val="1"/>
                <w:color w:val="auto"/>
              </w:rPr>
            </w:pPr>
          </w:p>
        </w:tc>
      </w:tr>
      <w:tr>
        <w:trPr>
          <w:trHeight w:val="174"/>
        </w:trPr>
        <w:tc>
          <w:tcPr>
            <w:tcW w:w="550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outstanding options (a)</w:t>
            </w:r>
          </w:p>
        </w:tc>
        <w:tc>
          <w:tcPr>
            <w:tcW w:w="100" w:type="dxa"/>
            <w:vAlign w:val="bottom"/>
          </w:tcPr>
          <w:p>
            <w:pPr>
              <w:spacing w:after="0"/>
              <w:rPr>
                <w:sz w:val="15"/>
                <w:szCs w:val="15"/>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(b)</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6"/>
              </w:rPr>
              <w:t>compensation plans (c)</w:t>
            </w:r>
          </w:p>
        </w:tc>
        <w:tc>
          <w:tcPr>
            <w:tcW w:w="0" w:type="dxa"/>
            <w:vAlign w:val="bottom"/>
          </w:tcPr>
          <w:p>
            <w:pPr>
              <w:spacing w:after="0"/>
              <w:rPr>
                <w:sz w:val="1"/>
                <w:szCs w:val="1"/>
                <w:color w:val="auto"/>
              </w:rPr>
            </w:pPr>
          </w:p>
        </w:tc>
      </w:tr>
      <w:tr>
        <w:trPr>
          <w:trHeight w:val="211"/>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stockholders</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28,388,434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12.20</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9,410,406</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07" w:lineRule="exact"/>
        <w:rPr>
          <w:sz w:val="20"/>
          <w:szCs w:val="20"/>
          <w:color w:val="auto"/>
        </w:rPr>
      </w:pPr>
    </w:p>
    <w:p>
      <w:pPr>
        <w:jc w:val="both"/>
        <w:ind w:left="340" w:hanging="332"/>
        <w:spacing w:after="0" w:line="272"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shares of common stock to be issued upon the exercise of outstanding options under our 2023 Omnibus Plan, 2022 Director Plan, 2021 Omnibus Plan, 2019 Omnibus Plan, 2019 Director Plan, 2016 Omnibus Plan, 2014 Omnibus Plan and the Sovereign 2012 MEIP. Also includes 26,640,679 restricted share units under our 2023 Omnibus Plan, 2021 Omnibus Plan, 2019 Omnibus Plan, 2016 Omnibus Plan, and 2014 Omnibus Plan (including shares that may be issued pursuant to outstanding performance-based restricted share units, assuming the target award is met; actual shares may vary, depending on actual performance. Performance-based restricted share units granted prior to 2022 reflect the current expected payout of 125%).</w:t>
      </w:r>
    </w:p>
    <w:p>
      <w:pPr>
        <w:spacing w:after="0" w:line="5"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restricted share units which do not have an exercise price.</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securities reflected in column (a).</w:t>
      </w:r>
    </w:p>
    <w:p>
      <w:pPr>
        <w:spacing w:after="0" w:line="11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 xml:space="preserve">Sabre Corporation 2023 Omnibus Incentive Compensation Plan. </w:t>
      </w:r>
      <w:r>
        <w:rPr>
          <w:rFonts w:ascii="Arial" w:cs="Arial" w:eastAsia="Arial" w:hAnsi="Arial"/>
          <w:sz w:val="16"/>
          <w:szCs w:val="16"/>
          <w:color w:val="auto"/>
        </w:rPr>
        <w:t>The 2023 Omnibus Plan serves as a successor to the 2021 Omnibus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issuance of stock options, restricted shares, restricted stock units ("RSUs") performance-based RSU awards ("PSUs"), cash incentive compensation and other stock-based awards.</w:t>
      </w:r>
    </w:p>
    <w:p>
      <w:pPr>
        <w:spacing w:after="0" w:line="5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i w:val="1"/>
          <w:iCs w:val="1"/>
          <w:color w:val="auto"/>
        </w:rPr>
        <w:t>Sabre Corporation 2022 Director Plan</w:t>
      </w:r>
      <w:r>
        <w:rPr>
          <w:rFonts w:ascii="Arial" w:cs="Arial" w:eastAsia="Arial" w:hAnsi="Arial"/>
          <w:sz w:val="16"/>
          <w:szCs w:val="16"/>
          <w:color w:val="auto"/>
        </w:rPr>
        <w:t>. The 2022 Director Plan serves as a successor to the 2019 Director Plan and provides for the issuance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RSUs, DSUs, and stock options to non-employee Directors.</w:t>
      </w:r>
    </w:p>
    <w:p>
      <w:pPr>
        <w:spacing w:after="0" w:line="3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 xml:space="preserve">Sabre Corporation 2021 Omnibus Incentive Compensation Plan. </w:t>
      </w:r>
      <w:r>
        <w:rPr>
          <w:rFonts w:ascii="Arial" w:cs="Arial" w:eastAsia="Arial" w:hAnsi="Arial"/>
          <w:sz w:val="16"/>
          <w:szCs w:val="16"/>
          <w:color w:val="auto"/>
        </w:rPr>
        <w:t>The 2021 Omnibus Plan serves as a successor to the 2019 Omnibus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issuance of stock options, restricted shares, restricted stock units ("RSUs") performance-based RSU awards ("PSUs"), cash incentive compensation and other stock-based awards. All shares available for future grants, along with shares that were covered by prior awards of stock options granted under the 2021 Omnibus Plan that</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color w:val="auto"/>
        </w:rPr>
        <w:t>were forfeited or otherwise expire unexercised or without issuance of Sabre Corporation common stock, have been transferred to the 2023 Omnibus Plan.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Therefore, as of December 31, 2023, no shares remained available for future grants under the 2019 Omnibus Plan.</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 xml:space="preserve">Sabre Corporation 2019 Omnibus Incentive Compensation Plan. </w:t>
      </w:r>
      <w:r>
        <w:rPr>
          <w:rFonts w:ascii="Arial" w:cs="Arial" w:eastAsia="Arial" w:hAnsi="Arial"/>
          <w:sz w:val="16"/>
          <w:szCs w:val="16"/>
          <w:color w:val="auto"/>
        </w:rPr>
        <w:t>The 2019 Omnibus Plan serves as a successor to the 2016 Omnibus Plan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issuance of stock options, restricted shares, restricted stock units ("RSUs") performance-based RSU awards ("PSUs"), cash incentive compensation and other stock-based awards. All shares available for future grants, along with shares that were covered by prior awards of stock options granted under the 2019 Omnibus Plan that were forfeited or otherwise expire unexercised or without issuance of Sabre Corporation common stock, have been transferred to the 2021 Omnibus Plan and then to the 2023 Omnibus Plan. Therefore, as of December 31, 2023, no shares remained available for future grants under the 2019 Omnibus Plan.</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Sabre Corporation 2019 Director Plan</w:t>
      </w:r>
      <w:r>
        <w:rPr>
          <w:rFonts w:ascii="Arial" w:cs="Arial" w:eastAsia="Arial" w:hAnsi="Arial"/>
          <w:sz w:val="16"/>
          <w:szCs w:val="16"/>
          <w:color w:val="auto"/>
        </w:rPr>
        <w:t>. The plan provides for the issuance of RSUs, DSUs, and stock options to non-employee Directors. All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future grants, along with shares that were covered by prior awards of stock options granted under the 2019 Director Plan that were forfeited or otherwise expire unexercised or without the issuance of shares of Sabre Corporation common stock, have been transferred to the 2022 Director Plan. Therefore, as of December 31, 2023, no shares remained available for future grants under the 2019 Director Plan.</w:t>
      </w:r>
    </w:p>
    <w:p>
      <w:pPr>
        <w:spacing w:after="0" w:line="7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i w:val="1"/>
          <w:iCs w:val="1"/>
          <w:color w:val="auto"/>
        </w:rPr>
        <w:t xml:space="preserve">Sabre Corporation 2016 Omnibus Incentive Compensation Plan. </w:t>
      </w:r>
      <w:r>
        <w:rPr>
          <w:rFonts w:ascii="Arial" w:cs="Arial" w:eastAsia="Arial" w:hAnsi="Arial"/>
          <w:sz w:val="16"/>
          <w:szCs w:val="16"/>
          <w:color w:val="auto"/>
        </w:rPr>
        <w:t>The 2016 Omnibus Plan serves as a successor to the 2014 Omnibus Plan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issuance of stock options, restricted shares, RSUs, PSUs, cash incentive compensation and other stock-based awards. All shares available for future grants, along with shares that were covered by prior awards of stock options granted under the 2016 Omnibus Plan that were forfeited or otherwise expire unexercised or without issuance of Sabre Corporation common stock, have been transferred to the 2019 Omnibus Plan, then to the 2021 Omnibus Plan and then to the 2023 Omnibus Plan. Therefore, as of December 31, 2023, no shares remained available for future grants under the 2016 Omnibus Plan.</w:t>
      </w:r>
    </w:p>
    <w:p>
      <w:pPr>
        <w:spacing w:after="0" w:line="2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Sabre Corporation 2014 Omnibus Incentive Compensation Plan</w:t>
      </w:r>
      <w:r>
        <w:rPr>
          <w:rFonts w:ascii="Arial" w:cs="Arial" w:eastAsia="Arial" w:hAnsi="Arial"/>
          <w:sz w:val="16"/>
          <w:szCs w:val="16"/>
          <w:color w:val="auto"/>
        </w:rPr>
        <w:t>. The 2014 Omnibus Plan serves as successor to the Sovereign MEIP and Sovereign</w:t>
      </w:r>
      <w:r>
        <w:rPr>
          <w:rFonts w:ascii="Arial" w:cs="Arial" w:eastAsia="Arial" w:hAnsi="Arial"/>
          <w:sz w:val="16"/>
          <w:szCs w:val="16"/>
          <w:i w:val="1"/>
          <w:iCs w:val="1"/>
          <w:color w:val="auto"/>
        </w:rPr>
        <w:t xml:space="preserve"> </w:t>
      </w:r>
      <w:r>
        <w:rPr>
          <w:rFonts w:ascii="Arial" w:cs="Arial" w:eastAsia="Arial" w:hAnsi="Arial"/>
          <w:sz w:val="16"/>
          <w:szCs w:val="16"/>
          <w:color w:val="auto"/>
        </w:rPr>
        <w:t>2012 MEIP and provides for the issuance of stock options, restricted shares, RSUs, PSUs, cash incentive compensation and other stock-based awards. All shares available for future grants, along with shares that were covered by prior awards of stock options granted under the 2014 Omnibus Plan that were forfeited or otherwise expire unexercised or without issuance of Sabre Corporation common stock, have been transferred to the 2016 Omnibus Plan, then to the 2019 Omnibus Plan, then to the 2021 Omnibus Plan and then to the 2023 Omnibus Plan. Therefore, as of December 31, 2023, no shares remained available for future grants under the 2014 Omnibus Plan.</w:t>
      </w:r>
    </w:p>
    <w:p>
      <w:pPr>
        <w:spacing w:after="0" w:line="6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 xml:space="preserve">Sovereign Holdings, Inc. 2012 Management Equity Incentive Plan. </w:t>
      </w:r>
      <w:r>
        <w:rPr>
          <w:rFonts w:ascii="Arial" w:cs="Arial" w:eastAsia="Arial" w:hAnsi="Arial"/>
          <w:sz w:val="16"/>
          <w:szCs w:val="16"/>
          <w:color w:val="auto"/>
        </w:rPr>
        <w:t>Under the Sovereign 2012 MEIP, key employees and, in certain circumstances,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service providers and consultants, of Sabre and its affiliates may be granted stock options, restricted shares, RSUs, PSUs and other stock-based awards.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2014 Omnibus Plan, then to the 2016 Omnibus Plan, then to the 2019 Omnibus Plan, then to the 2021 Omnibus Plan and then to the 2023 Omnibus Plan. Therefore, as of December 31, 2023, no shares remained available for future grants under the Sovereign 2012 MEIP.</w:t>
      </w:r>
    </w:p>
    <w:p>
      <w:pPr>
        <w:spacing w:after="0" w:line="8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Sovereign Holdings, Inc. Management Equity Incentive Plan</w:t>
      </w:r>
      <w:r>
        <w:rPr>
          <w:rFonts w:ascii="Arial" w:cs="Arial" w:eastAsia="Arial" w:hAnsi="Arial"/>
          <w:sz w:val="16"/>
          <w:szCs w:val="16"/>
          <w:color w:val="auto"/>
        </w:rPr>
        <w:t>. Under the Sovereign MEIP, key employees and, in certain circumstances, the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providers and consultants, of Sabre and its affiliates may be granted stock options.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Sovereign 2012 MEIP, which have subsequently been transferred to the 2014 Omnibus Plan, then to the 2016 Omnibus Plan, then to the 2019 Omnibus Plan, then to the 2021 Omnibus Plan and then to the 2023 Omnibus Plan. Therefore, as of December 31, 2023, no shares remained available for future grants under the Sovereign MEIP.</w:t>
      </w:r>
    </w:p>
    <w:p>
      <w:pPr>
        <w:spacing w:after="0" w:line="284"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13.</w:t>
        <w:tab/>
        <w:t>CERTAIN RELATIONSHIPS AND RELATED TRANSACTIONS, AND DIRECTOR INDEPENDENCE</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information set forth under the headings “Certain Relationships and Related Party Transactions” and “Corporate Governance—Board Composition and Director Independence” of the 2024 Proxy Statement is incorporated in this Item 13 by reference.</w:t>
      </w:r>
    </w:p>
    <w:p>
      <w:pPr>
        <w:spacing w:after="0" w:line="24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tab/>
        <w:t>PRINCIPAL ACCOUNTANT FEES AND SERVICES</w:t>
      </w:r>
    </w:p>
    <w:p>
      <w:pPr>
        <w:spacing w:after="0" w:line="12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information set forth under the headings “Principal Accounting Firm Fees” and “Audit Committee Approval of Audit and Non-Audit Services” under “Proposal 2. Ratification of Independent Auditors” of the 2024 Proxy Statement is incorporated in this Item 14 by reference.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6"/>
          <w:szCs w:val="16"/>
          <w:b w:val="1"/>
          <w:bCs w:val="1"/>
          <w:color w:val="auto"/>
        </w:rPr>
        <w:t>PART IV</w:t>
      </w:r>
    </w:p>
    <w:p>
      <w:pPr>
        <w:spacing w:after="0" w:line="329" w:lineRule="exact"/>
        <w:rPr>
          <w:sz w:val="20"/>
          <w:szCs w:val="20"/>
          <w:color w:val="auto"/>
        </w:rPr>
      </w:pPr>
    </w:p>
    <w:p>
      <w:pPr>
        <w:jc w:val="center"/>
        <w:ind w:right="6280"/>
        <w:spacing w:after="0"/>
        <w:tabs>
          <w:tab w:leader="none" w:pos="160" w:val="left"/>
        </w:tabs>
        <w:rPr>
          <w:sz w:val="20"/>
          <w:szCs w:val="20"/>
          <w:color w:val="auto"/>
        </w:rPr>
      </w:pPr>
      <w:r>
        <w:rPr>
          <w:rFonts w:ascii="Arial" w:cs="Arial" w:eastAsia="Arial" w:hAnsi="Arial"/>
          <w:sz w:val="16"/>
          <w:szCs w:val="16"/>
          <w:b w:val="1"/>
          <w:bCs w:val="1"/>
          <w:color w:val="auto"/>
        </w:rPr>
        <w:t>ITEM 15.</w:t>
        <w:tab/>
        <w:t>EXHIBITS AND FINANCIAL STATEMENT SCHEDULES</w:t>
      </w:r>
    </w:p>
    <w:p>
      <w:pPr>
        <w:spacing w:after="0" w:line="127" w:lineRule="exact"/>
        <w:rPr>
          <w:sz w:val="20"/>
          <w:szCs w:val="20"/>
          <w:color w:val="auto"/>
        </w:rPr>
      </w:pPr>
    </w:p>
    <w:p>
      <w:pPr>
        <w:jc w:val="center"/>
        <w:ind w:right="632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113" w:lineRule="exact"/>
        <w:rPr>
          <w:sz w:val="20"/>
          <w:szCs w:val="20"/>
          <w:color w:val="auto"/>
        </w:rPr>
      </w:pPr>
    </w:p>
    <w:p>
      <w:pPr>
        <w:ind w:left="820" w:hanging="32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are set forth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Item 8</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Annual Report on Form 10-K.</w:t>
      </w:r>
    </w:p>
    <w:p>
      <w:pPr>
        <w:spacing w:after="0" w:line="126" w:lineRule="exact"/>
        <w:rPr>
          <w:rFonts w:ascii="Arial" w:cs="Arial" w:eastAsia="Arial" w:hAnsi="Arial"/>
          <w:sz w:val="16"/>
          <w:szCs w:val="16"/>
          <w:color w:val="auto"/>
        </w:rPr>
      </w:pPr>
    </w:p>
    <w:p>
      <w:pPr>
        <w:ind w:left="820" w:hanging="326"/>
        <w:spacing w:after="0" w:line="286"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u w:val="single" w:color="auto"/>
          <w:color w:val="0000FF"/>
        </w:rPr>
        <w:t>Schedule II Valuation and Qualifying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is filed as part of this Annual Report on Form 10-K and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read in conjunction with the financial statements and notes thereto contained in </w:t>
      </w:r>
      <w:r>
        <w:rPr>
          <w:rFonts w:ascii="Arial" w:cs="Arial" w:eastAsia="Arial" w:hAnsi="Arial"/>
          <w:sz w:val="16"/>
          <w:szCs w:val="16"/>
          <w:u w:val="single" w:color="auto"/>
          <w:color w:val="0000FF"/>
        </w:rPr>
        <w:t>Item 8</w:t>
      </w:r>
      <w:r>
        <w:rPr>
          <w:rFonts w:ascii="Arial" w:cs="Arial" w:eastAsia="Arial" w:hAnsi="Arial"/>
          <w:sz w:val="16"/>
          <w:szCs w:val="16"/>
          <w:color w:val="auto"/>
        </w:rPr>
        <w:t>.</w:t>
      </w:r>
    </w:p>
    <w:p>
      <w:pPr>
        <w:spacing w:after="0" w:line="156" w:lineRule="exact"/>
        <w:rPr>
          <w:sz w:val="20"/>
          <w:szCs w:val="20"/>
          <w:color w:val="auto"/>
        </w:rPr>
      </w:pPr>
    </w:p>
    <w:p>
      <w:pPr>
        <w:ind w:right="20" w:firstLine="486"/>
        <w:spacing w:after="0" w:line="304" w:lineRule="auto"/>
        <w:rPr>
          <w:sz w:val="20"/>
          <w:szCs w:val="20"/>
          <w:color w:val="auto"/>
        </w:rPr>
      </w:pPr>
      <w:r>
        <w:rPr>
          <w:rFonts w:ascii="Arial" w:cs="Arial" w:eastAsia="Arial" w:hAnsi="Arial"/>
          <w:sz w:val="16"/>
          <w:szCs w:val="16"/>
          <w:color w:val="auto"/>
        </w:rPr>
        <w:t>All other financial statements and financial statement schedules for which provision is made in the applicable accounting regulations of the SEC are not required under the related instruction, are not material or are not applicable and, therefore, have been omitted.</w:t>
      </w:r>
    </w:p>
    <w:p>
      <w:pPr>
        <w:spacing w:after="0" w:line="143"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080" w:type="dxa"/>
            <w:vAlign w:val="bottom"/>
            <w:gridSpan w:val="37"/>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8"/>
                <w:szCs w:val="18"/>
                <w:color w:val="auto"/>
              </w:rPr>
            </w:pPr>
          </w:p>
        </w:tc>
        <w:tc>
          <w:tcPr>
            <w:tcW w:w="10080" w:type="dxa"/>
            <w:vAlign w:val="bottom"/>
            <w:gridSpan w:val="3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60" w:type="dxa"/>
            <w:vAlign w:val="bottom"/>
            <w:tcBorders>
              <w:top w:val="single" w:sz="8" w:color="auto"/>
            </w:tcBorders>
            <w:gridSpan w:val="36"/>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Asset Purchase Agreement, dated as of January 23, 2015 by and among Expedia Inc., Sabre GLBL Inc., Travelocity.com LP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certain affiliates of Sabre GLBL Inc. and Travelocity.com LP (incorporated by reference to Exhibit 2.1 of Sabre Corporation’s Current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gridSpan w:val="34"/>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Report on Form 8-K filed with the Securities and Exchange Commission on January 26, 2015).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7"/>
          </w:tcPr>
          <w:p>
            <w:pPr>
              <w:spacing w:after="0"/>
              <w:rPr>
                <w:rFonts w:ascii="Arial" w:cs="Arial" w:eastAsia="Arial" w:hAnsi="Arial"/>
                <w:sz w:val="16"/>
                <w:szCs w:val="16"/>
                <w:color w:val="0000FF"/>
              </w:rPr>
            </w:pPr>
            <w:hyperlink r:id="rId131">
              <w:r>
                <w:rPr>
                  <w:rFonts w:ascii="Arial" w:cs="Arial" w:eastAsia="Arial" w:hAnsi="Arial"/>
                  <w:sz w:val="16"/>
                  <w:szCs w:val="16"/>
                  <w:color w:val="0000FF"/>
                </w:rPr>
                <w:t>Share Purchase Agreement, dated as of May 14, 2015 by and between Abacus International Holdings Ltd and Sabre Technology</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Enterprises II Ltd. (incorporated by reference to Exhibit 2.1 of Sabre Corporation’s Current Report on Form 8-K filed with the Securities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and Exchange Commission on May 14, 2015).</w:t>
              </w:r>
            </w:hyperlink>
          </w:p>
        </w:tc>
        <w:tc>
          <w:tcPr>
            <w:tcW w:w="6480" w:type="dxa"/>
            <w:vAlign w:val="bottom"/>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7"/>
          </w:tcPr>
          <w:p>
            <w:pPr>
              <w:spacing w:after="0"/>
              <w:rPr>
                <w:rFonts w:ascii="Arial" w:cs="Arial" w:eastAsia="Arial" w:hAnsi="Arial"/>
                <w:sz w:val="16"/>
                <w:szCs w:val="16"/>
                <w:color w:val="0000FF"/>
              </w:rPr>
            </w:pPr>
            <w:hyperlink r:id="rId132">
              <w:r>
                <w:rPr>
                  <w:rFonts w:ascii="Arial" w:cs="Arial" w:eastAsia="Arial" w:hAnsi="Arial"/>
                  <w:sz w:val="16"/>
                  <w:szCs w:val="16"/>
                  <w:color w:val="0000FF"/>
                </w:rPr>
                <w:t>Fourth Amended and Restated Certificate of Incorporation of Sabre Corporation (incorporated by reference to Exhibit 3.1 of Sabre</w:t>
              </w:r>
            </w:hyperlink>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132">
              <w:r>
                <w:rPr>
                  <w:rFonts w:ascii="Arial" w:cs="Arial" w:eastAsia="Arial" w:hAnsi="Arial"/>
                  <w:sz w:val="16"/>
                  <w:szCs w:val="16"/>
                  <w:color w:val="0000FF"/>
                </w:rPr>
                <w:t>Corporation’s Current Report on Form 8-K filed with the Securities and Exchange Commission on April 24,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37"/>
          </w:tcPr>
          <w:p>
            <w:pPr>
              <w:spacing w:after="0"/>
              <w:rPr>
                <w:rFonts w:ascii="Arial" w:cs="Arial" w:eastAsia="Arial" w:hAnsi="Arial"/>
                <w:sz w:val="16"/>
                <w:szCs w:val="16"/>
                <w:color w:val="0000FF"/>
              </w:rPr>
            </w:pPr>
            <w:hyperlink r:id="rId133">
              <w:r>
                <w:rPr>
                  <w:rFonts w:ascii="Arial" w:cs="Arial" w:eastAsia="Arial" w:hAnsi="Arial"/>
                  <w:sz w:val="16"/>
                  <w:szCs w:val="16"/>
                  <w:color w:val="0000FF"/>
                </w:rPr>
                <w:t>Seventh Amended and Restated Bylaws of Sabre Corporation (incorporated by reference to Exhibit 3.1 of Sabre Corporation's Current</w:t>
              </w:r>
            </w:hyperlink>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0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rPr>
            </w:pPr>
            <w:hyperlink r:id="rId133">
              <w:r>
                <w:rPr>
                  <w:rFonts w:ascii="Arial" w:cs="Arial" w:eastAsia="Arial" w:hAnsi="Arial"/>
                  <w:sz w:val="16"/>
                  <w:szCs w:val="16"/>
                  <w:color w:val="0000FF"/>
                </w:rPr>
                <w:t>Report on Form 8-K filed with the Securities and Exchange Commission on December 6, 2022 ).</w:t>
              </w:r>
            </w:hyperlink>
          </w:p>
        </w:tc>
        <w:tc>
          <w:tcPr>
            <w:tcW w:w="28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37"/>
          </w:tcPr>
          <w:p>
            <w:pPr>
              <w:spacing w:after="0"/>
              <w:rPr>
                <w:rFonts w:ascii="Arial" w:cs="Arial" w:eastAsia="Arial" w:hAnsi="Arial"/>
                <w:sz w:val="16"/>
                <w:szCs w:val="16"/>
                <w:color w:val="0000FF"/>
              </w:rPr>
            </w:pPr>
            <w:hyperlink r:id="rId134">
              <w:r>
                <w:rPr>
                  <w:rFonts w:ascii="Arial" w:cs="Arial" w:eastAsia="Arial" w:hAnsi="Arial"/>
                  <w:sz w:val="16"/>
                  <w:szCs w:val="16"/>
                  <w:color w:val="0000FF"/>
                </w:rPr>
                <w:t>Indenture, dated as of April 14, 2015,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Association, as trustee and collateral agent. (incorporated by reference to Exhibit 4.1 of Sabre Corporation’s Current Report on Form</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8-K filed with the Securities and Exchange Commission on April 15, 2015).</w:t>
              </w:r>
            </w:hyperlink>
          </w:p>
        </w:tc>
        <w:tc>
          <w:tcPr>
            <w:tcW w:w="4500" w:type="dxa"/>
            <w:vAlign w:val="bottom"/>
            <w:tcBorders>
              <w:top w:val="single" w:sz="8" w:color="0000FF"/>
            </w:tcBorders>
            <w:gridSpan w:val="19"/>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0000FF"/>
            </w:tcBorders>
            <w:gridSpan w:val="5"/>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Form of 5.375% Senior Secured Notes due 2023 (included in Exhibit 4.2).</w:t>
              </w:r>
            </w:hyperlink>
          </w:p>
        </w:tc>
        <w:tc>
          <w:tcPr>
            <w:tcW w:w="48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7"/>
          </w:tcPr>
          <w:p>
            <w:pPr>
              <w:spacing w:after="0"/>
              <w:rPr>
                <w:rFonts w:ascii="Arial" w:cs="Arial" w:eastAsia="Arial" w:hAnsi="Arial"/>
                <w:sz w:val="16"/>
                <w:szCs w:val="16"/>
                <w:color w:val="0000FF"/>
              </w:rPr>
            </w:pPr>
            <w:hyperlink r:id="rId135">
              <w:r>
                <w:rPr>
                  <w:rFonts w:ascii="Arial" w:cs="Arial" w:eastAsia="Arial" w:hAnsi="Arial"/>
                  <w:sz w:val="16"/>
                  <w:szCs w:val="16"/>
                  <w:color w:val="0000FF"/>
                </w:rPr>
                <w:t>Indenture, dated as of November 9, 2015, among Sabre GLBL Inc., each of the guarantors party thereto and Wells Fargo Bank,</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National Association, as trustee and collateral agent. (incorporated by reference to Exhibit 4.1 of Sabre Corporation’s Current Report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on Form 8-K filed with the Securities and Exchange Commission on November 9 2015).</w:t>
              </w:r>
            </w:hyperlink>
          </w:p>
        </w:tc>
        <w:tc>
          <w:tcPr>
            <w:tcW w:w="3680" w:type="dxa"/>
            <w:vAlign w:val="bottom"/>
            <w:tcBorders>
              <w:top w:val="single" w:sz="8" w:color="0000FF"/>
            </w:tcBorders>
            <w:gridSpan w:val="2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0000FF"/>
            </w:tcBorders>
            <w:gridSpan w:val="5"/>
          </w:tcPr>
          <w:p>
            <w:pPr>
              <w:spacing w:after="0"/>
              <w:rPr>
                <w:rFonts w:ascii="Arial" w:cs="Arial" w:eastAsia="Arial" w:hAnsi="Arial"/>
                <w:sz w:val="16"/>
                <w:szCs w:val="16"/>
                <w:color w:val="0000FF"/>
              </w:rPr>
            </w:pPr>
            <w:hyperlink r:id="rId135">
              <w:r>
                <w:rPr>
                  <w:rFonts w:ascii="Arial" w:cs="Arial" w:eastAsia="Arial" w:hAnsi="Arial"/>
                  <w:sz w:val="16"/>
                  <w:szCs w:val="16"/>
                  <w:color w:val="0000FF"/>
                </w:rPr>
                <w:t>Form of 5.250% Senior Secured Notes due 2023 (included in Exhibit 4.4).</w:t>
              </w:r>
            </w:hyperlink>
          </w:p>
        </w:tc>
        <w:tc>
          <w:tcPr>
            <w:tcW w:w="48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7"/>
          </w:tcPr>
          <w:p>
            <w:pPr>
              <w:spacing w:after="0"/>
              <w:rPr>
                <w:sz w:val="20"/>
                <w:szCs w:val="20"/>
                <w:color w:val="auto"/>
              </w:rPr>
            </w:pPr>
            <w:r>
              <w:rPr>
                <w:rFonts w:ascii="Arial" w:cs="Arial" w:eastAsia="Arial" w:hAnsi="Arial"/>
                <w:sz w:val="16"/>
                <w:szCs w:val="16"/>
                <w:color w:val="0000FF"/>
              </w:rPr>
              <w:t>Description of Sabre Corporation’s Securities Registered Pursuant to Section 12 of the Securities Exchange Act of 1934.</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37"/>
          </w:tcPr>
          <w:p>
            <w:pPr>
              <w:spacing w:after="0"/>
              <w:rPr>
                <w:rFonts w:ascii="Arial" w:cs="Arial" w:eastAsia="Arial" w:hAnsi="Arial"/>
                <w:sz w:val="16"/>
                <w:szCs w:val="16"/>
                <w:color w:val="0000FF"/>
              </w:rPr>
            </w:pPr>
            <w:hyperlink r:id="rId136">
              <w:r>
                <w:rPr>
                  <w:rFonts w:ascii="Arial" w:cs="Arial" w:eastAsia="Arial" w:hAnsi="Arial"/>
                  <w:sz w:val="16"/>
                  <w:szCs w:val="16"/>
                  <w:color w:val="0000FF"/>
                </w:rPr>
                <w:t>Loan Agreement, dated March 29, 2007, between Sabre Headquarters, LLC, as borrower, and JPMorgan Chase Bank, N.A., as lender</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(incorporated by reference to Exhibit 10.1 of Sabre Corporation’s Registration Statement on Form S-1 filed with the Securities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8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Exchange Commission on January 21, 2014).</w:t>
              </w:r>
            </w:hyperlink>
          </w:p>
        </w:tc>
        <w:tc>
          <w:tcPr>
            <w:tcW w:w="6660" w:type="dxa"/>
            <w:vAlign w:val="bottom"/>
            <w:gridSpan w:val="28"/>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7"/>
          </w:tcPr>
          <w:p>
            <w:pPr>
              <w:spacing w:after="0"/>
              <w:rPr>
                <w:rFonts w:ascii="Arial" w:cs="Arial" w:eastAsia="Arial" w:hAnsi="Arial"/>
                <w:sz w:val="16"/>
                <w:szCs w:val="16"/>
                <w:color w:val="0000FF"/>
              </w:rPr>
            </w:pPr>
            <w:hyperlink r:id="rId137">
              <w:r>
                <w:rPr>
                  <w:rFonts w:ascii="Arial" w:cs="Arial" w:eastAsia="Arial" w:hAnsi="Arial"/>
                  <w:sz w:val="16"/>
                  <w:szCs w:val="16"/>
                  <w:color w:val="0000FF"/>
                </w:rPr>
                <w:t>Amendment and Restatement Agreement, dated as of February 19, 2013, among Sabre Inc., Sabre Holdings Corporation, the</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subsidiary guarantors party thereto, the lenders party thereto, Deutsche Bank AG New York Branch, as administrative agent and Bank</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bottom w:val="single" w:sz="8" w:color="0000FF"/>
            </w:tcBorders>
            <w:gridSpan w:val="18"/>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of America, N.A. as successor administrative agent (incorporated by reference to Exhibit 10.2 of Sabre Corporation’s Amendment No.</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29"/>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1 to the Registration Statement on Form S-1 filed with the Securities and Exchange Commission on March 10, 2014).</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7"/>
          </w:tcPr>
          <w:p>
            <w:pPr>
              <w:spacing w:after="0"/>
              <w:rPr>
                <w:rFonts w:ascii="Arial" w:cs="Arial" w:eastAsia="Arial" w:hAnsi="Arial"/>
                <w:sz w:val="16"/>
                <w:szCs w:val="16"/>
                <w:color w:val="0000FF"/>
              </w:rPr>
            </w:pPr>
            <w:hyperlink r:id="rId138">
              <w:r>
                <w:rPr>
                  <w:rFonts w:ascii="Arial" w:cs="Arial" w:eastAsia="Arial" w:hAnsi="Arial"/>
                  <w:sz w:val="16"/>
                  <w:szCs w:val="16"/>
                  <w:color w:val="0000FF"/>
                </w:rPr>
                <w:t>Amended and Restated Guaranty, dated as of February 19, 2013, among Sabre Holdings Corporation, certain subsidiaries of Sabre</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33"/>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Inc. from time to time party thereto and Bank of America, N.A., as administrative agent (incorporated by reference to Exhibit 10.3 of</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bottom w:val="single" w:sz="8" w:color="0000FF"/>
            </w:tcBorders>
            <w:gridSpan w:val="13"/>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Sabre Corporation’s Registration Statement on Form S-1 filed with the Securities and Exchange Commission on January 21, 2014).</w:t>
              </w:r>
            </w:hyperlink>
          </w:p>
        </w:tc>
        <w:tc>
          <w:tcPr>
            <w:tcW w:w="620" w:type="dxa"/>
            <w:vAlign w:val="bottom"/>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7"/>
          </w:tcPr>
          <w:p>
            <w:pPr>
              <w:spacing w:after="0"/>
              <w:rPr>
                <w:rFonts w:ascii="Arial" w:cs="Arial" w:eastAsia="Arial" w:hAnsi="Arial"/>
                <w:sz w:val="16"/>
                <w:szCs w:val="16"/>
                <w:color w:val="0000FF"/>
              </w:rPr>
            </w:pPr>
            <w:hyperlink r:id="rId139">
              <w:r>
                <w:rPr>
                  <w:rFonts w:ascii="Arial" w:cs="Arial" w:eastAsia="Arial" w:hAnsi="Arial"/>
                  <w:sz w:val="16"/>
                  <w:szCs w:val="16"/>
                  <w:color w:val="0000FF"/>
                </w:rPr>
                <w:t>Amended and Restated Pledge and Security Agreement, dated as of February 19, 2013, among Sabre Holdings Corporation, Sabre</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Inc., certain subsidiaries of Sabre Inc. from time to time party thereto and Bank of America, N.A., as administrative agent for the</w:t>
              </w:r>
            </w:hyperlink>
          </w:p>
        </w:tc>
        <w:tc>
          <w:tcPr>
            <w:tcW w:w="40" w:type="dxa"/>
            <w:vAlign w:val="bottom"/>
            <w:gridSpan w:val="2"/>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secured parties (incorporated by reference to Exhibit 10.4 of Sabre Corporation’s Registration Statement on Form S-1 filed with the</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Securities and Exchange Commission on January 21, 2014).</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53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7"/>
          </w:tcPr>
          <w:p>
            <w:pPr>
              <w:spacing w:after="0"/>
              <w:rPr>
                <w:rFonts w:ascii="Arial" w:cs="Arial" w:eastAsia="Arial" w:hAnsi="Arial"/>
                <w:sz w:val="16"/>
                <w:szCs w:val="16"/>
                <w:color w:val="0000FF"/>
              </w:rPr>
            </w:pPr>
            <w:hyperlink r:id="rId140">
              <w:r>
                <w:rPr>
                  <w:rFonts w:ascii="Arial" w:cs="Arial" w:eastAsia="Arial" w:hAnsi="Arial"/>
                  <w:sz w:val="16"/>
                  <w:szCs w:val="16"/>
                  <w:color w:val="0000FF"/>
                </w:rPr>
                <w:t>First Lien Intercreditor Agreement, dated as of May 9, 2012, among Sabre Inc., Sabre Holdings Corporation, the other grantors party</w:t>
              </w:r>
            </w:hyperlink>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thereto, Deutsche Bank AG New York Branch, as administrative agent and authorized representative for the Credit Agreement</w:t>
              </w:r>
            </w:hyperlink>
          </w:p>
        </w:tc>
        <w:tc>
          <w:tcPr>
            <w:tcW w:w="60" w:type="dxa"/>
            <w:vAlign w:val="bottom"/>
            <w:gridSpan w:val="3"/>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secured parties, Wells Fargo Bank, National Association, as the Initial First Lien Collateral Agent and initial additional authorized</w:t>
              </w:r>
            </w:hyperlink>
          </w:p>
        </w:tc>
        <w:tc>
          <w:tcPr>
            <w:tcW w:w="140" w:type="dxa"/>
            <w:vAlign w:val="bottom"/>
            <w:tcBorders>
              <w:bottom w:val="single" w:sz="8" w:color="0000FF"/>
            </w:tcBorders>
            <w:gridSpan w:val="7"/>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gridSpan w:val="24"/>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representative, each Additional First Lien Collateral Agent and each additional Authorized Representative (incorporated by reference</w:t>
              </w:r>
            </w:hyperlink>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to Exhibit 10.5 of Sabre Corporation’s Registration Statement on Form S-1 filed with the Securities and Exchange Commission on</w:t>
              </w:r>
            </w:hyperlink>
          </w:p>
        </w:tc>
        <w:tc>
          <w:tcPr>
            <w:tcW w:w="420" w:type="dxa"/>
            <w:vAlign w:val="bottom"/>
            <w:gridSpan w:val="2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January 21, 2014).</w:t>
              </w:r>
            </w:hyperlink>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883"/>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3000" w:type="dxa"/>
            <w:vAlign w:val="bottom"/>
            <w:gridSpan w:val="3"/>
          </w:tcPr>
          <w:p>
            <w:pPr>
              <w:jc w:val="right"/>
              <w:ind w:right="60"/>
              <w:spacing w:after="0"/>
              <w:rPr>
                <w:sz w:val="20"/>
                <w:szCs w:val="20"/>
                <w:color w:val="auto"/>
              </w:rPr>
            </w:pPr>
            <w:r>
              <w:rPr>
                <w:rFonts w:ascii="Arial" w:cs="Arial" w:eastAsia="Arial" w:hAnsi="Arial"/>
                <w:sz w:val="16"/>
                <w:szCs w:val="16"/>
                <w:color w:val="auto"/>
              </w:rPr>
              <w:t>102</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4" w:name="page105"/>
    <w:bookmarkEnd w:id="104"/>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580" w:type="dxa"/>
            <w:vAlign w:val="bottom"/>
            <w:gridSpan w:val="39"/>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580" w:type="dxa"/>
            <w:vAlign w:val="bottom"/>
            <w:gridSpan w:val="3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10.6</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580" w:type="dxa"/>
            <w:vAlign w:val="bottom"/>
            <w:tcBorders>
              <w:top w:val="single" w:sz="8" w:color="auto"/>
            </w:tcBorders>
            <w:gridSpan w:val="39"/>
          </w:tcPr>
          <w:p>
            <w:pPr>
              <w:spacing w:after="0" w:line="169" w:lineRule="exact"/>
              <w:rPr>
                <w:rFonts w:ascii="Arial" w:cs="Arial" w:eastAsia="Arial" w:hAnsi="Arial"/>
                <w:sz w:val="16"/>
                <w:szCs w:val="16"/>
                <w:color w:val="0000FF"/>
              </w:rPr>
            </w:pPr>
            <w:hyperlink r:id="rId143">
              <w:r>
                <w:rPr>
                  <w:rFonts w:ascii="Arial" w:cs="Arial" w:eastAsia="Arial" w:hAnsi="Arial"/>
                  <w:sz w:val="16"/>
                  <w:szCs w:val="16"/>
                  <w:color w:val="0000FF"/>
                </w:rPr>
                <w:t>First Incremental Term Facility Amendment to Amended and Restated Credit Agreement, dated as of September 30, 2013,</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among Sabre Inc., Sabre Holdings Corporation, the subsidiary guarantors party thereto, and Bank of America, N.A.,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gridSpan w:val="25"/>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incremental term lender and administrative agent (incorporated by reference to Exhibit 10.7 of Sabre Corporation’s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Registration Statement on Form S-1 filed with the Securities and Exchange Commission on January 21, 2014).</w:t>
              </w:r>
            </w:hyperlink>
          </w:p>
        </w:tc>
        <w:tc>
          <w:tcPr>
            <w:tcW w:w="12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44">
              <w:r>
                <w:rPr>
                  <w:rFonts w:ascii="Arial" w:cs="Arial" w:eastAsia="Arial" w:hAnsi="Arial"/>
                  <w:sz w:val="16"/>
                  <w:szCs w:val="16"/>
                  <w:color w:val="0000FF"/>
                </w:rPr>
                <w:t>Sovereign Holdings, Inc. Management Equity Incentive Plan adopted June 11, 2007, as amended April 22, 2010 (incorporated</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by reference to Exhibit 10.8 of Sabre Corporation’s Registration Statement on Form S-1 filed with the Securities and Exchange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Commission on January 21, 2014).</w:t>
              </w:r>
            </w:hyperlink>
          </w:p>
        </w:tc>
        <w:tc>
          <w:tcPr>
            <w:tcW w:w="674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45">
              <w:r>
                <w:rPr>
                  <w:rFonts w:ascii="Arial" w:cs="Arial" w:eastAsia="Arial" w:hAnsi="Arial"/>
                  <w:sz w:val="16"/>
                  <w:szCs w:val="16"/>
                  <w:color w:val="0000FF"/>
                </w:rPr>
                <w:t>Form of Non Qualified Stock Option Grant Agreement under Sovereign Holdings, Inc. Management Equity Incentive Plan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adopted June 11, 2007, as amended April 22, 2010 (incorporated by reference to Exhibit 10.9 of Sabre Corporation’s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Registration Statement on Form S-1 filed with the Securities and Exchange Commission on January 21, 2014).</w:t>
              </w:r>
            </w:hyperlink>
          </w:p>
        </w:tc>
        <w:tc>
          <w:tcPr>
            <w:tcW w:w="1180" w:type="dxa"/>
            <w:vAlign w:val="bottom"/>
            <w:tcBorders>
              <w:top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46">
              <w:r>
                <w:rPr>
                  <w:rFonts w:ascii="Arial" w:cs="Arial" w:eastAsia="Arial" w:hAnsi="Arial"/>
                  <w:sz w:val="16"/>
                  <w:szCs w:val="16"/>
                  <w:color w:val="0000FF"/>
                </w:rPr>
                <w:t>Sovereign Holdings, Inc. 2012 Management Equity Incentive Plan adopted September 14, 2012 (incorporated by reference to</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Exhibit 10.16 of Sabre Corporation’s Registration Statement on Form S-1 filed with the Securities and Exchange Commission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on January 21, 2014).</w:t>
              </w:r>
            </w:hyperlink>
          </w:p>
        </w:tc>
        <w:tc>
          <w:tcPr>
            <w:tcW w:w="75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47">
              <w:r>
                <w:rPr>
                  <w:rFonts w:ascii="Arial" w:cs="Arial" w:eastAsia="Arial" w:hAnsi="Arial"/>
                  <w:sz w:val="16"/>
                  <w:szCs w:val="16"/>
                  <w:color w:val="0000FF"/>
                </w:rPr>
                <w:t>Form of Non Qualified Stock Option Grant Agreement under the Sovereign Holdings, Inc. 2012 Management Equity Incentive</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Plan (incorporated by reference to Exhibit 10.17 of Sabre Corporation’s Registration Statement on Form S-1 filed with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gridSpan w:val="22"/>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Securities and Exchange Commission on January 21, 2014).</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48">
              <w:r>
                <w:rPr>
                  <w:rFonts w:ascii="Arial" w:cs="Arial" w:eastAsia="Arial" w:hAnsi="Arial"/>
                  <w:sz w:val="16"/>
                  <w:szCs w:val="16"/>
                  <w:color w:val="0000FF"/>
                </w:rPr>
                <w:t>Form of Restricted Stock Unit Grant Agreement under the Sovereign Holdings, Inc. 2012 Management Equity Incentive Plan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(incorporated by reference to Exhibit 10.18 of Sabre Corporation’s Registration Statement on Form S-1 filed with the Securities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and Exchange Commission on January 21, 2014).</w:t>
              </w:r>
            </w:hyperlink>
          </w:p>
        </w:tc>
        <w:tc>
          <w:tcPr>
            <w:tcW w:w="5500" w:type="dxa"/>
            <w:vAlign w:val="bottom"/>
            <w:tcBorders>
              <w:top w:val="single" w:sz="8" w:color="0000FF"/>
            </w:tcBorders>
            <w:gridSpan w:val="10"/>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49">
              <w:r>
                <w:rPr>
                  <w:rFonts w:ascii="Arial" w:cs="Arial" w:eastAsia="Arial" w:hAnsi="Arial"/>
                  <w:sz w:val="16"/>
                  <w:szCs w:val="16"/>
                  <w:color w:val="0000FF"/>
                </w:rPr>
                <w:t>Form of Restricted Stock Unit Grant Agreement for Non Employee Directors under the Sovereign Holdings, Inc. 2012</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Management Equity Incentive Plan (incorporated by reference to Exhibit 10.20 of Sabre Corporation’s Registration Statement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on Form S-1 filed with the Securities and Exchange Commission on January 21, 2014).</w:t>
              </w:r>
            </w:hyperlink>
          </w:p>
        </w:tc>
        <w:tc>
          <w:tcPr>
            <w:tcW w:w="320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50">
              <w:r>
                <w:rPr>
                  <w:rFonts w:ascii="Arial" w:cs="Arial" w:eastAsia="Arial" w:hAnsi="Arial"/>
                  <w:sz w:val="16"/>
                  <w:szCs w:val="16"/>
                  <w:color w:val="0000FF"/>
                </w:rPr>
                <w:t>Form of Non Qualified Stock Option Grant Agreement for Non Employee Directors under the Sovereign Holdings, Inc. 2012</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Management Equity Incentive Plan (incorporated by reference to Exhibit 10.21 of Sabre Corporation’s Registration Statement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on Form S-1 filed with the Securities and Exchange Commission on January 21, 2014).</w:t>
              </w:r>
            </w:hyperlink>
          </w:p>
        </w:tc>
        <w:tc>
          <w:tcPr>
            <w:tcW w:w="320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51">
              <w:r>
                <w:rPr>
                  <w:rFonts w:ascii="Arial" w:cs="Arial" w:eastAsia="Arial" w:hAnsi="Arial"/>
                  <w:sz w:val="16"/>
                  <w:szCs w:val="16"/>
                  <w:color w:val="0000FF"/>
                </w:rPr>
                <w:t>Amendment No. 1 to Amended and Restated Credit Agreement, dated as of February 20, 2014, among Sabre GLBL Inc.,</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Sabre Holdings Corporation, each of the other Loan Parties, Bank of America, N.A., as administrative agent and the Lenders</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thereto (incorporated by reference to Exhibit 10.38 of Sabre Corporation’s Amendment No. 1 to the Registration Statement on</w:t>
              </w:r>
            </w:hyperlink>
          </w:p>
        </w:tc>
        <w:tc>
          <w:tcPr>
            <w:tcW w:w="120" w:type="dxa"/>
            <w:vAlign w:val="bottom"/>
            <w:tcBorders>
              <w:bottom w:val="single" w:sz="8" w:color="0000FF"/>
            </w:tcBorders>
            <w:gridSpan w:val="6"/>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gridSpan w:val="33"/>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Form S-1 filed with the Securities and Exchange Commission on March 10, 2014).</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52">
              <w:r>
                <w:rPr>
                  <w:rFonts w:ascii="Arial" w:cs="Arial" w:eastAsia="Arial" w:hAnsi="Arial"/>
                  <w:sz w:val="16"/>
                  <w:szCs w:val="16"/>
                  <w:color w:val="0000FF"/>
                </w:rPr>
                <w:t>First Revolver Extension Amendment to Amended and Restated Credit Agreement, dated as of February 20, 2014, among</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Sabre GLBL Inc., Sabre Holdings Corporation, each of the other Loan Parties, Bank of America, N.A., as administrative agent</w:t>
              </w:r>
            </w:hyperlink>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and the Revolving Credit Lenders thereto (incorporated by reference to Exhibit 10.39 of Sabre Corporation’s Amendment No. 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to the Registration Statement on Form S-1 filed with the Securities and Exchange Commission on March 10, 2014).</w:t>
              </w:r>
            </w:hyperlink>
          </w:p>
        </w:tc>
        <w:tc>
          <w:tcPr>
            <w:tcW w:w="1200" w:type="dxa"/>
            <w:vAlign w:val="bottom"/>
            <w:tcBorders>
              <w:top w:val="single" w:sz="8" w:color="0000FF"/>
            </w:tcBorders>
            <w:gridSpan w:val="21"/>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53">
              <w:r>
                <w:rPr>
                  <w:rFonts w:ascii="Arial" w:cs="Arial" w:eastAsia="Arial" w:hAnsi="Arial"/>
                  <w:sz w:val="16"/>
                  <w:szCs w:val="16"/>
                  <w:color w:val="0000FF"/>
                </w:rPr>
                <w:t>First Incremental Revolving Credit Facility Amendment to Amended and Restated Credit Agreement, dated as of February 20,</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2014, among Sabre GLBL Inc., Sabre Holdings Corporation, each of the other Loan Parties, Bank of America, N.A., as</w:t>
              </w:r>
            </w:hyperlink>
          </w:p>
        </w:tc>
        <w:tc>
          <w:tcPr>
            <w:tcW w:w="100" w:type="dxa"/>
            <w:vAlign w:val="bottom"/>
            <w:tcBorders>
              <w:bottom w:val="single" w:sz="8" w:color="0000FF"/>
            </w:tcBorders>
            <w:gridSpan w:val="5"/>
          </w:tcPr>
          <w:p>
            <w:pPr>
              <w:spacing w:after="0"/>
              <w:rPr>
                <w:sz w:val="12"/>
                <w:szCs w:val="12"/>
                <w:color w:val="auto"/>
              </w:rPr>
            </w:pPr>
          </w:p>
        </w:tc>
        <w:tc>
          <w:tcPr>
            <w:tcW w:w="120" w:type="dxa"/>
            <w:vAlign w:val="bottom"/>
            <w:tcBorders>
              <w:bottom w:val="single" w:sz="8" w:color="0000FF"/>
            </w:tcBorders>
            <w:gridSpan w:val="6"/>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gridSpan w:val="38"/>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administrative agent and the Revolving Credit Lenders thereto (incorporated by reference to Exhibit 10.40 of Sabre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Corporation’s Amendment No. 1 to the Registration Statement on Form S-1 filed with the Securities and Exchange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Commission on March 10, 2014).</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54">
              <w:r>
                <w:rPr>
                  <w:rFonts w:ascii="Arial" w:cs="Arial" w:eastAsia="Arial" w:hAnsi="Arial"/>
                  <w:sz w:val="16"/>
                  <w:szCs w:val="16"/>
                  <w:color w:val="0000FF"/>
                </w:rPr>
                <w:t>Income Tax Receivable Agreement dated as of April 23, 2014 between Sabre Corporation and Sovereign Manager Co-Invest,</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LLC (incorporated by reference to Exhibit 10.1 of Sabre Corporation’s Current Report on Form 8-K filed with the Securities and</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Exchange Commission on April 23, 2014).</w:t>
              </w:r>
            </w:hyperlink>
          </w:p>
        </w:tc>
        <w:tc>
          <w:tcPr>
            <w:tcW w:w="40" w:type="dxa"/>
            <w:vAlign w:val="bottom"/>
            <w:gridSpan w:val="2"/>
          </w:tcPr>
          <w:p>
            <w:pPr>
              <w:spacing w:after="0"/>
              <w:rPr>
                <w:sz w:val="12"/>
                <w:szCs w:val="12"/>
                <w:color w:val="auto"/>
              </w:rPr>
            </w:pPr>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55">
              <w:r>
                <w:rPr>
                  <w:rFonts w:ascii="Arial" w:cs="Arial" w:eastAsia="Arial" w:hAnsi="Arial"/>
                  <w:sz w:val="16"/>
                  <w:szCs w:val="16"/>
                  <w:color w:val="0000FF"/>
                </w:rPr>
                <w:t>Amended and Restated Stockholders’ Agreement dated as of April 23, 2014 by and among Sabre Corporation and the</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stockholders party thereto (incorporated by reference to Exhibit 10.2 of Sabre Corporation’s Current Report on Form 8-K filed</w:t>
              </w:r>
            </w:hyperlink>
          </w:p>
        </w:tc>
        <w:tc>
          <w:tcPr>
            <w:tcW w:w="80" w:type="dxa"/>
            <w:vAlign w:val="bottom"/>
            <w:gridSpan w:val="4"/>
          </w:tcPr>
          <w:p>
            <w:pPr>
              <w:spacing w:after="0"/>
              <w:rPr>
                <w:sz w:val="12"/>
                <w:szCs w:val="12"/>
                <w:color w:val="auto"/>
              </w:rPr>
            </w:pPr>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with the Securities and Exchange Commission on April 23, 2014).</w:t>
              </w:r>
            </w:hyperlink>
          </w:p>
        </w:tc>
        <w:tc>
          <w:tcPr>
            <w:tcW w:w="60" w:type="dxa"/>
            <w:vAlign w:val="bottom"/>
            <w:gridSpan w:val="3"/>
          </w:tcPr>
          <w:p>
            <w:pPr>
              <w:spacing w:after="0"/>
              <w:rPr>
                <w:sz w:val="12"/>
                <w:szCs w:val="12"/>
                <w:color w:val="auto"/>
              </w:rPr>
            </w:pPr>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20"/>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39"/>
          </w:tcPr>
          <w:p>
            <w:pPr>
              <w:spacing w:after="0"/>
              <w:rPr>
                <w:rFonts w:ascii="Arial" w:cs="Arial" w:eastAsia="Arial" w:hAnsi="Arial"/>
                <w:sz w:val="16"/>
                <w:szCs w:val="16"/>
                <w:color w:val="0000FF"/>
              </w:rPr>
            </w:pPr>
            <w:hyperlink r:id="rId156">
              <w:r>
                <w:rPr>
                  <w:rFonts w:ascii="Arial" w:cs="Arial" w:eastAsia="Arial" w:hAnsi="Arial"/>
                  <w:sz w:val="16"/>
                  <w:szCs w:val="16"/>
                  <w:color w:val="0000FF"/>
                </w:rPr>
                <w:t>Form of Director and Officer Indemnification Agreement (incorporated by reference to Exhibit 10.20 of Sabre Corporation’s</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Annual Report on Form 10-K filed with the Securities and Exchange Commission on February 16, 2018).</w:t>
              </w:r>
            </w:hyperlink>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76835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1440" w:right="7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180" w:type="dxa"/>
            <w:vAlign w:val="bottom"/>
            <w:gridSpan w:val="36"/>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180" w:type="dxa"/>
            <w:vAlign w:val="bottom"/>
            <w:gridSpan w:val="3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10.20+</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180" w:type="dxa"/>
            <w:vAlign w:val="bottom"/>
            <w:tcBorders>
              <w:top w:val="single" w:sz="8" w:color="auto"/>
            </w:tcBorders>
            <w:gridSpan w:val="36"/>
          </w:tcPr>
          <w:p>
            <w:pPr>
              <w:spacing w:after="0" w:line="169" w:lineRule="exact"/>
              <w:rPr>
                <w:rFonts w:ascii="Arial" w:cs="Arial" w:eastAsia="Arial" w:hAnsi="Arial"/>
                <w:sz w:val="16"/>
                <w:szCs w:val="16"/>
                <w:color w:val="0000FF"/>
              </w:rPr>
            </w:pPr>
            <w:hyperlink r:id="rId158">
              <w:r>
                <w:rPr>
                  <w:rFonts w:ascii="Arial" w:cs="Arial" w:eastAsia="Arial" w:hAnsi="Arial"/>
                  <w:sz w:val="16"/>
                  <w:szCs w:val="16"/>
                  <w:color w:val="0000FF"/>
                </w:rPr>
                <w:t>Sabre Corporation 2014 Omnibus Incentive Compensation Plan (incorporated by reference to Exhibit 10.48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Amendment No. 3 to the Registration Statement on Form S-1 filed with the Securities and Exchange Commission on March 26, 2014).</w:t>
              </w:r>
            </w:hyperlink>
          </w:p>
        </w:tc>
        <w:tc>
          <w:tcPr>
            <w:tcW w:w="52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59">
              <w:r>
                <w:rPr>
                  <w:rFonts w:ascii="Arial" w:cs="Arial" w:eastAsia="Arial" w:hAnsi="Arial"/>
                  <w:sz w:val="16"/>
                  <w:szCs w:val="16"/>
                  <w:color w:val="0000FF"/>
                </w:rPr>
                <w:t>Form of Restricted Stock Unit Grant Agreement under the Sabre Corporation 2014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by reference to Exhibit 10.49 of Sabre Corporation’s Quarterly Report on Form 10-Q filed with the Securities and Exchange Commission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gridSpan w:val="20"/>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on May 5,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0">
              <w:r>
                <w:rPr>
                  <w:rFonts w:ascii="Arial" w:cs="Arial" w:eastAsia="Arial" w:hAnsi="Arial"/>
                  <w:sz w:val="16"/>
                  <w:szCs w:val="16"/>
                  <w:color w:val="0000FF"/>
                </w:rPr>
                <w:t>Form of Non Qualified Stock Option Grant Agreement under the Sabre Corporation 2014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(incorporated by reference to Exhibit 10.50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Exchange Commission on May 5, 2015).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1">
              <w:r>
                <w:rPr>
                  <w:rFonts w:ascii="Arial" w:cs="Arial" w:eastAsia="Arial" w:hAnsi="Arial"/>
                  <w:sz w:val="16"/>
                  <w:szCs w:val="16"/>
                  <w:color w:val="0000FF"/>
                </w:rPr>
                <w:t>Form of Restricted Stock Unit Annual Grant Agreement for Non Employee Directors under the Sabre Corporation 2014 Omnibus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Incentive Compensation Plan (incorporated by reference to Exhibit 10.51 of Sabre Corporation’s Amendment No. 3 to the Registration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Statement on Form S-1 filed with the Securities and Exchange Commission on March 26, 2014).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2">
              <w:r>
                <w:rPr>
                  <w:rFonts w:ascii="Arial" w:cs="Arial" w:eastAsia="Arial" w:hAnsi="Arial"/>
                  <w:sz w:val="16"/>
                  <w:szCs w:val="16"/>
                  <w:color w:val="0000FF"/>
                </w:rPr>
                <w:t>Form of Restricted Stock Unit Initial Grant Agreement for Non Employee Directors under the Sabre Corporation 2014 Omnibus Incentive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Compensation Plan (incorporated by reference to Exhibit 10.52 of Sabre Corporation’s Amendment No. 3 to the Registration Statement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on Form S-1 filed with the Securities and Exchange Commission on March 26,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3">
              <w:r>
                <w:rPr>
                  <w:rFonts w:ascii="Arial" w:cs="Arial" w:eastAsia="Arial" w:hAnsi="Arial"/>
                  <w:sz w:val="16"/>
                  <w:szCs w:val="16"/>
                  <w:color w:val="0000FF"/>
                </w:rPr>
                <w:t>Supplement No. 1, dated as of December 31, 2012, to the Pledge and Security Agreement dated as of May 9, 2012, among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Holdings Corporation, Sabre Inc., the subsidiary guarantors and Wells Fargo Bank, National Association, as collateral agent for the</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secured parties (incorporated by reference to Exhibit 10.53 of Sabre Corporation’s Amendment No. 4 to the Registration Statement 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Form S-1 filed with the Securities and Exchange Commission on March 31, 2014).</w:t>
              </w:r>
            </w:hyperlink>
          </w:p>
        </w:tc>
        <w:tc>
          <w:tcPr>
            <w:tcW w:w="4100" w:type="dxa"/>
            <w:vAlign w:val="bottom"/>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4">
              <w:r>
                <w:rPr>
                  <w:rFonts w:ascii="Arial" w:cs="Arial" w:eastAsia="Arial" w:hAnsi="Arial"/>
                  <w:sz w:val="16"/>
                  <w:szCs w:val="16"/>
                  <w:color w:val="0000FF"/>
                </w:rPr>
                <w:t>Sabre Corporation Non-Employee Directors Compensation Deferral Plan dated October 29, 2014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64">
              <w:r>
                <w:rPr>
                  <w:rFonts w:ascii="Arial" w:cs="Arial" w:eastAsia="Arial" w:hAnsi="Arial"/>
                  <w:sz w:val="16"/>
                  <w:szCs w:val="16"/>
                  <w:color w:val="0000FF"/>
                </w:rPr>
                <w:t>10.</w:t>
              </w:r>
              <w:r>
                <w:rPr>
                  <w:rFonts w:ascii="Arial" w:cs="Arial" w:eastAsia="Arial" w:hAnsi="Arial"/>
                  <w:sz w:val="16"/>
                  <w:szCs w:val="16"/>
                  <w:u w:val="single" w:color="auto"/>
                  <w:color w:val="0000FF"/>
                </w:rPr>
                <w:t>57</w:t>
              </w:r>
              <w:r>
                <w:rPr>
                  <w:rFonts w:ascii="Arial" w:cs="Arial" w:eastAsia="Arial" w:hAnsi="Arial"/>
                  <w:sz w:val="16"/>
                  <w:szCs w:val="16"/>
                  <w:color w:val="0000FF"/>
                </w:rPr>
                <w:t xml:space="preserve"> of Sabre Corporation’s Registration Statement on Form S-1 filed with the Securities and Exchange Commission on January 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64">
              <w:r>
                <w:rPr>
                  <w:rFonts w:ascii="Arial" w:cs="Arial" w:eastAsia="Arial" w:hAnsi="Arial"/>
                  <w:sz w:val="16"/>
                  <w:szCs w:val="16"/>
                  <w:color w:val="0000FF"/>
                  <w:w w:val="92"/>
                </w:rPr>
                <w:t>2015).</w:t>
              </w:r>
            </w:hyperlink>
          </w:p>
        </w:tc>
        <w:tc>
          <w:tcPr>
            <w:tcW w:w="76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17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5">
              <w:r>
                <w:rPr>
                  <w:rFonts w:ascii="Arial" w:cs="Arial" w:eastAsia="Arial" w:hAnsi="Arial"/>
                  <w:sz w:val="16"/>
                  <w:szCs w:val="16"/>
                  <w:color w:val="0000FF"/>
                </w:rPr>
                <w:t>Second Amended and Restated Stockholders’ Agreement dated as of February 6, 2015 by and among Sabre Corporation and the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stockholders party thereto (incorporated by reference to Exhibit 10.58 of Sabre Corporation's Annual Report on Form 10-K filed with the</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Securities and Exchange Commission on March 3, 2015).</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6">
              <w:r>
                <w:rPr>
                  <w:rFonts w:ascii="Arial" w:cs="Arial" w:eastAsia="Arial" w:hAnsi="Arial"/>
                  <w:sz w:val="16"/>
                  <w:szCs w:val="16"/>
                  <w:color w:val="0000FF"/>
                </w:rPr>
                <w:t>Pledge and Security Agreement, dated as of April 14, 2015,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guarantors party thereto and Wells Fargo Bank, National Association, as collateral agent (incorporated by reference to Exhibit 10.1 of</w:t>
              </w:r>
            </w:hyperlink>
          </w:p>
        </w:tc>
        <w:tc>
          <w:tcPr>
            <w:tcW w:w="100" w:type="dxa"/>
            <w:vAlign w:val="bottom"/>
            <w:gridSpan w:val="5"/>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Sabre Corporation’s Current Report on Form 8-K filed with the Securities and Exchange Commission on April 15, 2015).</w:t>
              </w:r>
            </w:hyperlink>
          </w:p>
        </w:tc>
        <w:tc>
          <w:tcPr>
            <w:tcW w:w="134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7">
              <w:r>
                <w:rPr>
                  <w:rFonts w:ascii="Arial" w:cs="Arial" w:eastAsia="Arial" w:hAnsi="Arial"/>
                  <w:sz w:val="16"/>
                  <w:szCs w:val="16"/>
                  <w:color w:val="0000FF"/>
                </w:rPr>
                <w:t>Pledge and Security Agreement, dated as of November 9, 2015,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guarantors party thereto and Wells Fargo Bank, National Association, as collateral agent (incorporated by reference to Exhibit 10.1 of</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Sabre Corporation’s Current Report on Form 8-K filed with the Securities and Exchange Commission on November 9, 2015).</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8">
              <w:r>
                <w:rPr>
                  <w:rFonts w:ascii="Arial" w:cs="Arial" w:eastAsia="Arial" w:hAnsi="Arial"/>
                  <w:sz w:val="16"/>
                  <w:szCs w:val="16"/>
                  <w:color w:val="0000FF"/>
                </w:rPr>
                <w:t>Sabre Corporation Executive Deferred Compensation Plan (incorporated by reference to Exhibit 10.1 of Sabre Corporation’s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Report on Form 8-K filed with the Securities and Exchange Commission on November 16, 2015).</w:t>
              </w:r>
            </w:hyperlink>
          </w:p>
        </w:tc>
        <w:tc>
          <w:tcPr>
            <w:tcW w:w="294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ind w:left="20"/>
              <w:spacing w:after="0"/>
              <w:rPr>
                <w:sz w:val="20"/>
                <w:szCs w:val="20"/>
                <w:color w:val="auto"/>
              </w:rPr>
            </w:pPr>
            <w:r>
              <w:rPr>
                <w:rFonts w:ascii="Arial" w:cs="Arial" w:eastAsia="Arial" w:hAnsi="Arial"/>
                <w:sz w:val="16"/>
                <w:szCs w:val="16"/>
                <w:color w:val="auto"/>
              </w:rPr>
              <w:t>10.31†</w:t>
            </w: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69">
              <w:r>
                <w:rPr>
                  <w:rFonts w:ascii="Arial" w:cs="Arial" w:eastAsia="Arial" w:hAnsi="Arial"/>
                  <w:sz w:val="16"/>
                  <w:szCs w:val="16"/>
                  <w:color w:val="0000FF"/>
                </w:rPr>
                <w:t>Master Services Agreement dated as of November 1, 2015, between Sabre GLBL, Inc. and HP Enterprise Services, LLC, as provider</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(incorporated by reference to Exhibit 10.65 of Sabre Corporation’s Annual Report on Form 10-K filed with the Securities and Exchange</w:t>
              </w:r>
            </w:hyperlink>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Commission on February 19, 2016).</w:t>
              </w:r>
            </w:hyperlink>
          </w:p>
        </w:tc>
        <w:tc>
          <w:tcPr>
            <w:tcW w:w="7420" w:type="dxa"/>
            <w:vAlign w:val="bottom"/>
            <w:tcBorders>
              <w:top w:val="single" w:sz="8" w:color="0000FF"/>
            </w:tcBorders>
            <w:gridSpan w:val="24"/>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0">
              <w:r>
                <w:rPr>
                  <w:rFonts w:ascii="Arial" w:cs="Arial" w:eastAsia="Arial" w:hAnsi="Arial"/>
                  <w:sz w:val="16"/>
                  <w:szCs w:val="16"/>
                  <w:color w:val="0000FF"/>
                </w:rPr>
                <w:t>Sabre Corporation 2016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8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Current Report on Form 8-K filed with the Securities and Exchange Commission on May 26, 2016).</w:t>
              </w:r>
            </w:hyperlink>
          </w:p>
        </w:tc>
        <w:tc>
          <w:tcPr>
            <w:tcW w:w="2840" w:type="dxa"/>
            <w:vAlign w:val="bottom"/>
            <w:tcBorders>
              <w:top w:val="single" w:sz="8" w:color="0000FF"/>
            </w:tcBorders>
            <w:gridSpan w:val="12"/>
          </w:tcPr>
          <w:p>
            <w:pPr>
              <w:spacing w:after="0"/>
              <w:rPr>
                <w:sz w:val="12"/>
                <w:szCs w:val="12"/>
                <w:color w:val="auto"/>
              </w:rPr>
            </w:pPr>
          </w:p>
        </w:tc>
        <w:tc>
          <w:tcPr>
            <w:tcW w:w="140" w:type="dxa"/>
            <w:vAlign w:val="bottom"/>
            <w:gridSpan w:val="7"/>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1">
              <w:r>
                <w:rPr>
                  <w:rFonts w:ascii="Arial" w:cs="Arial" w:eastAsia="Arial" w:hAnsi="Arial"/>
                  <w:sz w:val="16"/>
                  <w:szCs w:val="16"/>
                  <w:color w:val="0000FF"/>
                </w:rPr>
                <w:t>Form of Restricted Stock Unit Grant Agreement under the Sabre Corporation 2016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by reference to Exhibit 10.44 of Sabre Corporation’s Quarterly Report on Form 10-Q filed with the Securities and Exchange Commission</w:t>
              </w:r>
            </w:hyperlink>
          </w:p>
        </w:tc>
        <w:tc>
          <w:tcPr>
            <w:tcW w:w="40" w:type="dxa"/>
            <w:vAlign w:val="bottom"/>
            <w:gridSpan w:val="2"/>
          </w:tcPr>
          <w:p>
            <w:pPr>
              <w:spacing w:after="0"/>
              <w:rPr>
                <w:sz w:val="12"/>
                <w:szCs w:val="12"/>
                <w:color w:val="auto"/>
              </w:rPr>
            </w:pPr>
          </w:p>
        </w:tc>
        <w:tc>
          <w:tcPr>
            <w:tcW w:w="260" w:type="dxa"/>
            <w:vAlign w:val="bottom"/>
            <w:gridSpan w:val="1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on May 2, 2017).</w:t>
              </w:r>
            </w:hyperlink>
          </w:p>
        </w:tc>
        <w:tc>
          <w:tcPr>
            <w:tcW w:w="200" w:type="dxa"/>
            <w:vAlign w:val="bottom"/>
            <w:gridSpan w:val="10"/>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780" w:type="dxa"/>
            <w:vAlign w:val="bottom"/>
            <w:gridSpan w:val="1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2">
              <w:r>
                <w:rPr>
                  <w:rFonts w:ascii="Arial" w:cs="Arial" w:eastAsia="Arial" w:hAnsi="Arial"/>
                  <w:sz w:val="16"/>
                  <w:szCs w:val="16"/>
                  <w:color w:val="0000FF"/>
                </w:rPr>
                <w:t>Form of Non-Qualified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(incorporated by reference to Exhibit 10.45 of Sabre Corporation’s Quarterly Report on Form 10-Q filed with the Securities and</w:t>
              </w:r>
            </w:hyperlink>
          </w:p>
        </w:tc>
        <w:tc>
          <w:tcPr>
            <w:tcW w:w="120" w:type="dxa"/>
            <w:vAlign w:val="bottom"/>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Exchange Commission on May 2, 2017).</w:t>
              </w:r>
            </w:hyperlink>
          </w:p>
        </w:tc>
        <w:tc>
          <w:tcPr>
            <w:tcW w:w="220" w:type="dxa"/>
            <w:vAlign w:val="bottom"/>
            <w:gridSpan w:val="11"/>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gridSpan w:val="12"/>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3">
              <w:r>
                <w:rPr>
                  <w:rFonts w:ascii="Arial" w:cs="Arial" w:eastAsia="Arial" w:hAnsi="Arial"/>
                  <w:sz w:val="16"/>
                  <w:szCs w:val="16"/>
                  <w:color w:val="0000FF"/>
                </w:rPr>
                <w:t>Joinder Agreement to Second Amended and Restated Stockholders' Agreement, dated January 5, 2016, by Sovereign Co-Invest II, LLC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(incorporated by reference to Exhibit 10.66 of Sabre Corporation’s Quarterly Report on Form 10-Q filed with the Securities and</w:t>
              </w:r>
            </w:hyperlink>
          </w:p>
        </w:tc>
        <w:tc>
          <w:tcPr>
            <w:tcW w:w="260" w:type="dxa"/>
            <w:vAlign w:val="bottom"/>
            <w:gridSpan w:val="1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Exchange Commission on April 28, 2016).</w:t>
              </w:r>
            </w:hyperlink>
          </w:p>
        </w:tc>
        <w:tc>
          <w:tcPr>
            <w:tcW w:w="6820" w:type="dxa"/>
            <w:vAlign w:val="bottom"/>
            <w:tcBorders>
              <w:top w:val="single" w:sz="8" w:color="0000FF"/>
            </w:tcBorders>
            <w:gridSpan w:val="14"/>
          </w:tcPr>
          <w:p>
            <w:pPr>
              <w:spacing w:after="0"/>
              <w:rPr>
                <w:sz w:val="12"/>
                <w:szCs w:val="12"/>
                <w:color w:val="auto"/>
              </w:rPr>
            </w:pPr>
          </w:p>
        </w:tc>
        <w:tc>
          <w:tcPr>
            <w:tcW w:w="220" w:type="dxa"/>
            <w:vAlign w:val="bottom"/>
            <w:gridSpan w:val="11"/>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36"/>
          </w:tcPr>
          <w:p>
            <w:pPr>
              <w:spacing w:after="0"/>
              <w:rPr>
                <w:rFonts w:ascii="Arial" w:cs="Arial" w:eastAsia="Arial" w:hAnsi="Arial"/>
                <w:sz w:val="16"/>
                <w:szCs w:val="16"/>
                <w:color w:val="0000FF"/>
              </w:rPr>
            </w:pPr>
            <w:hyperlink r:id="rId174">
              <w:r>
                <w:rPr>
                  <w:rFonts w:ascii="Arial" w:cs="Arial" w:eastAsia="Arial" w:hAnsi="Arial"/>
                  <w:sz w:val="16"/>
                  <w:szCs w:val="16"/>
                  <w:color w:val="0000FF"/>
                </w:rPr>
                <w:t>Joinder Agreement to Amended and Restated Registration Rights Agreement, dated January 5, 2016, by Sovereign Co-Invest II, LLC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(incorporated by reference to Exhibit 10.67 of Sabre Corporation’s Quarterly Report on Form 10-Q filed with the Securities and</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Exchange Commission on April 28, 2016).</w:t>
              </w:r>
            </w:hyperlink>
          </w:p>
        </w:tc>
        <w:tc>
          <w:tcPr>
            <w:tcW w:w="6820" w:type="dxa"/>
            <w:vAlign w:val="bottom"/>
            <w:tcBorders>
              <w:top w:val="single" w:sz="8" w:color="0000FF"/>
            </w:tcBorders>
            <w:gridSpan w:val="14"/>
          </w:tcPr>
          <w:p>
            <w:pPr>
              <w:spacing w:after="0"/>
              <w:rPr>
                <w:sz w:val="12"/>
                <w:szCs w:val="12"/>
                <w:color w:val="auto"/>
              </w:rPr>
            </w:pPr>
          </w:p>
        </w:tc>
        <w:tc>
          <w:tcPr>
            <w:tcW w:w="3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10240" w:type="dxa"/>
            <w:vAlign w:val="bottom"/>
            <w:gridSpan w:val="35"/>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10240" w:type="dxa"/>
            <w:vAlign w:val="bottom"/>
            <w:gridSpan w:val="3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10.37</w:t>
            </w:r>
          </w:p>
        </w:tc>
        <w:tc>
          <w:tcPr>
            <w:tcW w:w="120" w:type="dxa"/>
            <w:vAlign w:val="bottom"/>
          </w:tcPr>
          <w:p>
            <w:pPr>
              <w:spacing w:after="0"/>
              <w:rPr>
                <w:sz w:val="14"/>
                <w:szCs w:val="14"/>
                <w:color w:val="auto"/>
              </w:rPr>
            </w:pPr>
          </w:p>
        </w:tc>
        <w:tc>
          <w:tcPr>
            <w:tcW w:w="10220" w:type="dxa"/>
            <w:vAlign w:val="bottom"/>
            <w:tcBorders>
              <w:top w:val="single" w:sz="8" w:color="auto"/>
            </w:tcBorders>
            <w:gridSpan w:val="34"/>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Revolving Facility Refinancing Amendment to Amended and Restated Credit Agreement, dated July 18, 2016, among Sabre GLBL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Sabre Holdings Corporation, each of the other Loan Parties party thereto, Bank of America, N.A., as Administrative Agent and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40" w:type="dxa"/>
            <w:vAlign w:val="bottom"/>
            <w:gridSpan w:val="25"/>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Revolving Credit Lenders party thereto (incorporated by reference to Exhibit 10.1 of Sabre Corporation’s Current Report on Form 8-K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filed with the Securities and Exchange Commission on July 19, 2016).</w:t>
              </w:r>
            </w:hyperlink>
          </w:p>
        </w:tc>
        <w:tc>
          <w:tcPr>
            <w:tcW w:w="492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77">
              <w:r>
                <w:rPr>
                  <w:rFonts w:ascii="Arial" w:cs="Arial" w:eastAsia="Arial" w:hAnsi="Arial"/>
                  <w:sz w:val="16"/>
                  <w:szCs w:val="16"/>
                  <w:color w:val="0000FF"/>
                </w:rPr>
                <w:t>Amendment No. 2 to Amended and Restated Credit Agreement, dated July 18, 2016, among Sabre GLBL Inc., Sabre Holdings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Corporation, each of the other Loan Parties party thereto, Bank of America, N.A., as Administrative Agent and the Lenders party thereto</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40" w:type="dxa"/>
            <w:vAlign w:val="bottom"/>
            <w:tcBorders>
              <w:bottom w:val="single" w:sz="8" w:color="0000FF"/>
            </w:tcBorders>
            <w:gridSpan w:val="30"/>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(incorporated by reference to Exhibit 10.2 of Sabre Corporation’s Current Report on Form 8-K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0000FF"/>
            </w:tcBorders>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Commission on July 19, 2016).</w:t>
              </w:r>
            </w:hyperlink>
          </w:p>
        </w:tc>
        <w:tc>
          <w:tcPr>
            <w:tcW w:w="7940" w:type="dxa"/>
            <w:vAlign w:val="bottom"/>
            <w:gridSpan w:val="3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78">
              <w:r>
                <w:rPr>
                  <w:rFonts w:ascii="Arial" w:cs="Arial" w:eastAsia="Arial" w:hAnsi="Arial"/>
                  <w:sz w:val="16"/>
                  <w:szCs w:val="16"/>
                  <w:color w:val="0000FF"/>
                </w:rPr>
                <w:t>Second Incremental Term Facility Amendment to Amended and Restated Credit Agreement, dated July 18, 2016,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Inc., Sabre Holdings Corporation, each of the other Loan Parties party thereto, Bank of America, N.A., as Administrative Agent and the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80" w:type="dxa"/>
            <w:vAlign w:val="bottom"/>
            <w:gridSpan w:val="27"/>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Incremental Term A Lenders party thereto (incorporated by reference to Exhibit 10.3 of Sabre Corporation’s Current Report on Form 8-K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filed with the Securities and Exchange Commission on July 19, 2016).</w:t>
              </w:r>
            </w:hyperlink>
          </w:p>
        </w:tc>
        <w:tc>
          <w:tcPr>
            <w:tcW w:w="492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79">
              <w:r>
                <w:rPr>
                  <w:rFonts w:ascii="Arial" w:cs="Arial" w:eastAsia="Arial" w:hAnsi="Arial"/>
                  <w:sz w:val="16"/>
                  <w:szCs w:val="16"/>
                  <w:color w:val="0000FF"/>
                </w:rPr>
                <w:t>Amendment dated December 22, 2016, to that certain Master Services Agreement dated as of November 1, 2015 by and between HP</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Enterprise Services, LLC and Sabre GLBL Inc. (incorporated by reference to Exhibit 10.56 of Sabre Corporation's Annual Report on</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gridSpan w:val="23"/>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Form 10-K filed with the Securities and Exchange Commission on February 17, 2017).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10.41</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80">
              <w:r>
                <w:rPr>
                  <w:rFonts w:ascii="Arial" w:cs="Arial" w:eastAsia="Arial" w:hAnsi="Arial"/>
                  <w:sz w:val="16"/>
                  <w:szCs w:val="16"/>
                  <w:color w:val="0000FF"/>
                </w:rPr>
                <w:t>Third Incremental Term Facility Amendment to Amended and Restated Credit Agreement, dated February 22, 2017,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6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Inc., Sabre Holdings Corporation, each of the other Loan Parties party thereto, Bank of America, N.A., as Administrative Agent, the 2017</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gridSpan w:val="28"/>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Incremental Term Lenders party thereto and each other Lender party thereto (incorporated by reference to Exhibit 10.1 of Sabre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Corporation’s Current Report on Form 8-K filed with the Securities and Exchange Commission on February 24, 2017).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81">
              <w:r>
                <w:rPr>
                  <w:rFonts w:ascii="Arial" w:cs="Arial" w:eastAsia="Arial" w:hAnsi="Arial"/>
                  <w:sz w:val="16"/>
                  <w:szCs w:val="16"/>
                  <w:color w:val="0000FF"/>
                </w:rPr>
                <w:t>Amendment Number Two, dated May 1, 2017, to that certain Master Services Agreement dated as of November 1, 2015 by and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between Enterprises Services, LLC (f/k/a HP Enterprise Services, LLC) and Sabre GLBL Inc. (incorporated by reference to Exhibit 10.62</w:t>
              </w:r>
            </w:hyperlink>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of Sabre Corporation’s Quarterly Report on Form 10-Q filed with the Securities and Exchange Commission on August 1, 2017).</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82">
              <w:r>
                <w:rPr>
                  <w:rFonts w:ascii="Arial" w:cs="Arial" w:eastAsia="Arial" w:hAnsi="Arial"/>
                  <w:sz w:val="16"/>
                  <w:szCs w:val="16"/>
                  <w:color w:val="0000FF"/>
                </w:rPr>
                <w:t>Fourth Incremental Term Facility Amendment to Amended and Restated Credit Agreement, dated August 23, 2017, among Sabre GLBL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Inc., Sabre Holdings Corporation, each of the other Loan Parties party thereto, Bank of America, N.A., as Administrative Agent and the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2017 B-1 Incremental Term Lenders party thereto (incorporated by reference to Exhibit 10.1 of Sabre Corporation's Current Report on</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9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Form 8-K filed with the Securities and Exchange Commission on August 23, 2017).</w:t>
              </w:r>
            </w:hyperlink>
          </w:p>
        </w:tc>
        <w:tc>
          <w:tcPr>
            <w:tcW w:w="4020" w:type="dxa"/>
            <w:vAlign w:val="bottom"/>
            <w:tcBorders>
              <w:top w:val="single" w:sz="8" w:color="0000FF"/>
            </w:tcBorders>
            <w:gridSpan w:val="14"/>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83">
              <w:r>
                <w:rPr>
                  <w:rFonts w:ascii="Arial" w:cs="Arial" w:eastAsia="Arial" w:hAnsi="Arial"/>
                  <w:sz w:val="16"/>
                  <w:szCs w:val="16"/>
                  <w:color w:val="0000FF"/>
                </w:rPr>
                <w:t>Term Loan A Refinancing Amendment to Amended and Restated Credit Agreement, dated August 23, 2017, among Sabre GLBL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Sabre Holdings Corporation, each of the other Loan Parties party thereto, Bank of America, N.A., as Administrative Agent and the 2017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4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Other Term A Lenders party thereto (incorporated by reference to Exhibit 10.2 of Sabre Corporation's Current Report on Form 8-K filed</w:t>
              </w:r>
            </w:hyperlink>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0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with the Securities and Exchange Commission on August 23, 2017).</w:t>
              </w:r>
            </w:hyperlink>
          </w:p>
        </w:tc>
        <w:tc>
          <w:tcPr>
            <w:tcW w:w="5300" w:type="dxa"/>
            <w:vAlign w:val="bottom"/>
            <w:gridSpan w:val="28"/>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84">
              <w:r>
                <w:rPr>
                  <w:rFonts w:ascii="Arial" w:cs="Arial" w:eastAsia="Arial" w:hAnsi="Arial"/>
                  <w:sz w:val="16"/>
                  <w:szCs w:val="16"/>
                  <w:color w:val="0000FF"/>
                </w:rPr>
                <w:t>Second Revolving Facility Refinancing Amendment to Amended and Restated Credit Agreement, dated August 23, 2017, among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GLBL Inc., Sabre Holdings Corporation, each of the other Loan Parties party thereto, Bank of America, N.A., as Administrative Agent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80" w:type="dxa"/>
            <w:vAlign w:val="bottom"/>
            <w:gridSpan w:val="17"/>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and Lenders party thereto (incorporated by reference to Exhibit 10.3 of Sabre Corporation's Current Report on Form 8-K filed with the</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6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Securities and Exchange Commission on August 23, 2017).</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85">
              <w:r>
                <w:rPr>
                  <w:rFonts w:ascii="Arial" w:cs="Arial" w:eastAsia="Arial" w:hAnsi="Arial"/>
                  <w:sz w:val="16"/>
                  <w:szCs w:val="16"/>
                  <w:color w:val="0000FF"/>
                </w:rPr>
                <w:t>Sabre Corporation Executive Severance Plan (incorporated by reference to Exhibit 10.1 of Sabre Corporation’s Current Report on Form</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8-K filed with the Securities and Exchange Commission on November 8, 2017).</w:t>
              </w:r>
            </w:hyperlink>
          </w:p>
        </w:tc>
        <w:tc>
          <w:tcPr>
            <w:tcW w:w="160" w:type="dxa"/>
            <w:vAlign w:val="bottom"/>
            <w:gridSpan w:val="8"/>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240" w:type="dxa"/>
            <w:vAlign w:val="bottom"/>
            <w:gridSpan w:val="1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ind w:left="20"/>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24"/>
                <w:szCs w:val="24"/>
                <w:color w:val="auto"/>
              </w:rPr>
            </w:pPr>
          </w:p>
        </w:tc>
        <w:tc>
          <w:tcPr>
            <w:tcW w:w="10240" w:type="dxa"/>
            <w:vAlign w:val="bottom"/>
            <w:gridSpan w:val="35"/>
          </w:tcPr>
          <w:p>
            <w:pPr>
              <w:spacing w:after="0"/>
              <w:rPr>
                <w:rFonts w:ascii="Arial" w:cs="Arial" w:eastAsia="Arial" w:hAnsi="Arial"/>
                <w:sz w:val="16"/>
                <w:szCs w:val="16"/>
                <w:color w:val="0000FF"/>
              </w:rPr>
            </w:pPr>
            <w:hyperlink r:id="rId186">
              <w:r>
                <w:rPr>
                  <w:rFonts w:ascii="Arial" w:cs="Arial" w:eastAsia="Arial" w:hAnsi="Arial"/>
                  <w:sz w:val="16"/>
                  <w:szCs w:val="16"/>
                  <w:color w:val="0000FF"/>
                </w:rPr>
                <w:t>Fifth Term Loan B Refinancing Amendment to Amended and Restated Credit Agreement, dated March 2, 2018, among Sabre GLBL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Sabre Holdings Corporation, each of the other Loan Parties party thereto, Bank of America, N.A., as Administrative Agent and the 2018</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Other Term B Lenders party thereto (incorporated by reference to Exhibit 10.1 of Sabre Corporation's Current Report on Form 8-K filed</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with the Securities and Exchange Commission on March 2, 2018).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180" w:type="dxa"/>
            <w:vAlign w:val="bottom"/>
            <w:gridSpan w:val="15"/>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7"/>
                <w:szCs w:val="17"/>
                <w:color w:val="auto"/>
              </w:rPr>
            </w:pPr>
          </w:p>
        </w:tc>
        <w:tc>
          <w:tcPr>
            <w:tcW w:w="10240" w:type="dxa"/>
            <w:vAlign w:val="bottom"/>
            <w:gridSpan w:val="35"/>
          </w:tcPr>
          <w:p>
            <w:pPr>
              <w:spacing w:after="0"/>
              <w:rPr>
                <w:rFonts w:ascii="Arial" w:cs="Arial" w:eastAsia="Arial" w:hAnsi="Arial"/>
                <w:sz w:val="16"/>
                <w:szCs w:val="16"/>
                <w:color w:val="0000FF"/>
              </w:rPr>
            </w:pPr>
            <w:hyperlink r:id="rId187">
              <w:r>
                <w:rPr>
                  <w:rFonts w:ascii="Arial" w:cs="Arial" w:eastAsia="Arial" w:hAnsi="Arial"/>
                  <w:sz w:val="16"/>
                  <w:szCs w:val="16"/>
                  <w:color w:val="0000FF"/>
                </w:rPr>
                <w:t>Form of Executive Officer Restricted Stock Unit Grant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Plan (incorporated by reference to Exhibit 10.37 of Sabre Corporation’s Quarterly Report on Form 10-Q filed with the Securities and</w:t>
              </w:r>
            </w:hyperlink>
          </w:p>
        </w:tc>
        <w:tc>
          <w:tcPr>
            <w:tcW w:w="32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Exchange Commission on May 1, 2018).</w:t>
              </w:r>
            </w:hyperlink>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88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Borders>
              <w:top w:val="single" w:sz="8" w:color="0000FF"/>
            </w:tcBorders>
            <w:gridSpan w:val="2"/>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10180" w:type="dxa"/>
            <w:vAlign w:val="bottom"/>
            <w:gridSpan w:val="35"/>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10180" w:type="dxa"/>
            <w:vAlign w:val="bottom"/>
            <w:gridSpan w:val="3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10.49+</w:t>
            </w:r>
          </w:p>
        </w:tc>
        <w:tc>
          <w:tcPr>
            <w:tcW w:w="120" w:type="dxa"/>
            <w:vAlign w:val="bottom"/>
          </w:tcPr>
          <w:p>
            <w:pPr>
              <w:spacing w:after="0"/>
              <w:rPr>
                <w:sz w:val="14"/>
                <w:szCs w:val="14"/>
                <w:color w:val="auto"/>
              </w:rPr>
            </w:pPr>
          </w:p>
        </w:tc>
        <w:tc>
          <w:tcPr>
            <w:tcW w:w="10160" w:type="dxa"/>
            <w:vAlign w:val="bottom"/>
            <w:tcBorders>
              <w:top w:val="single" w:sz="8" w:color="auto"/>
            </w:tcBorders>
            <w:gridSpan w:val="34"/>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Form of Non-Qualified Stock Option Grant Agreement under the Sabre Corporation 2016 Omnibus Incentive Compensation Plan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(incorporated by reference to Exhibit 10.38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Exchange Commission on May 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191">
              <w:r>
                <w:rPr>
                  <w:rFonts w:ascii="Arial" w:cs="Arial" w:eastAsia="Arial" w:hAnsi="Arial"/>
                  <w:sz w:val="16"/>
                  <w:szCs w:val="16"/>
                  <w:color w:val="0000FF"/>
                </w:rPr>
                <w:t>Form of Chairman of the Board Restricted Stock Unit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Plan (incorporated by reference to Exhibit 10.58 of Sabre Corporation’s Quarterly Report on Form 10-Q filed with the Securities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gridSpan w:val="26"/>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Exchange Commission on May 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192">
              <w:r>
                <w:rPr>
                  <w:rFonts w:ascii="Arial" w:cs="Arial" w:eastAsia="Arial" w:hAnsi="Arial"/>
                  <w:sz w:val="16"/>
                  <w:szCs w:val="16"/>
                  <w:color w:val="0000FF"/>
                </w:rPr>
                <w:t>Form of Global Form of Restricted Stock Unit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(incorporated by reference to Exhibit 10.61 of Sabre Corporation’s Quarterly Report on Form 10-Q filed with the Securities and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Exchange Commission on July 31, 2018).</w:t>
              </w:r>
            </w:hyperlink>
          </w:p>
        </w:tc>
        <w:tc>
          <w:tcPr>
            <w:tcW w:w="68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193">
              <w:r>
                <w:rPr>
                  <w:rFonts w:ascii="Arial" w:cs="Arial" w:eastAsia="Arial" w:hAnsi="Arial"/>
                  <w:sz w:val="16"/>
                  <w:szCs w:val="16"/>
                  <w:color w:val="0000FF"/>
                </w:rPr>
                <w:t>Form of Global Form of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(incorporated by reference to Exhibit 10.62 of Sabre Corporation’s Quarterly Report on Form 10-Q filed with the Securities and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Exchange Commission on July 31, 2018).</w:t>
              </w:r>
            </w:hyperlink>
          </w:p>
        </w:tc>
        <w:tc>
          <w:tcPr>
            <w:tcW w:w="68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194">
              <w:r>
                <w:rPr>
                  <w:rFonts w:ascii="Arial" w:cs="Arial" w:eastAsia="Arial" w:hAnsi="Arial"/>
                  <w:sz w:val="16"/>
                  <w:szCs w:val="16"/>
                  <w:color w:val="0000FF"/>
                </w:rPr>
                <w:t>Form of Restricted Stock Unit Agreement under the Sabre Corporation the 2016 Omnibus Incentive Compensation Plan (incorporated by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8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reference to Exhibit 10.68 of Sabre Corporation’s Quarterly Report on Form-1Q filed with the Securities and Exchange Commission on</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0000FF"/>
            </w:tcBorders>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May 1, 2019).</w:t>
              </w:r>
            </w:hyperlink>
          </w:p>
        </w:tc>
        <w:tc>
          <w:tcPr>
            <w:tcW w:w="9100" w:type="dxa"/>
            <w:vAlign w:val="bottom"/>
            <w:gridSpan w:val="3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195">
              <w:r>
                <w:rPr>
                  <w:rFonts w:ascii="Arial" w:cs="Arial" w:eastAsia="Arial" w:hAnsi="Arial"/>
                  <w:sz w:val="16"/>
                  <w:szCs w:val="16"/>
                  <w:color w:val="0000FF"/>
                </w:rPr>
                <w:t>Form of Executive Officer Stock Option Grant Agreement under the Sabre Corporation 2016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(incorporated by reference to Exhibit 10.69 of Sabre Corporation’s Quarterly Report on Form 10-Q filed with the Securities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Exchange Commission on May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196">
              <w:r>
                <w:rPr>
                  <w:rFonts w:ascii="Arial" w:cs="Arial" w:eastAsia="Arial" w:hAnsi="Arial"/>
                  <w:sz w:val="16"/>
                  <w:szCs w:val="16"/>
                  <w:color w:val="0000FF"/>
                </w:rPr>
                <w:t>Form of Executive Officer Restricted Stock Unit Grant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Plan (incorporated by reference to Exhibit 10.70 of Sabre Corporation’s Quarterly Report on Form 10-Q filed with the Securities and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Exchange Commission on May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197">
              <w:r>
                <w:rPr>
                  <w:rFonts w:ascii="Arial" w:cs="Arial" w:eastAsia="Arial" w:hAnsi="Arial"/>
                  <w:sz w:val="16"/>
                  <w:szCs w:val="16"/>
                  <w:color w:val="0000FF"/>
                </w:rPr>
                <w:t>Form of Non-Executive Chairman Restricted Stock Unit Agreement under the Sabre Corporation 2016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Plan (incorporated by reference to Exhibit 10.71 of Sabre Corporation’s Quarterly Report on Form 10-Q filed with the Securities and</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Exchange Commission on May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198">
              <w:r>
                <w:rPr>
                  <w:rFonts w:ascii="Arial" w:cs="Arial" w:eastAsia="Arial" w:hAnsi="Arial"/>
                  <w:sz w:val="16"/>
                  <w:szCs w:val="16"/>
                  <w:color w:val="0000FF"/>
                </w:rPr>
                <w:t>Form of Non-Employee Director Restricted Stock Unit Annual Grant Agreement under the Sabre Corporation 2016 Omnibus Incentive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Compensation Plan (incorporated by reference to Exhibit 10.72 of Sabre Corporation’s Quarterly Report on Form 10-Q filed with the</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Securities and Exchange Commission on May 1, 2019).</w:t>
              </w:r>
            </w:hyperlink>
          </w:p>
        </w:tc>
        <w:tc>
          <w:tcPr>
            <w:tcW w:w="610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199">
              <w:r>
                <w:rPr>
                  <w:rFonts w:ascii="Arial" w:cs="Arial" w:eastAsia="Arial" w:hAnsi="Arial"/>
                  <w:sz w:val="16"/>
                  <w:szCs w:val="16"/>
                  <w:color w:val="0000FF"/>
                </w:rPr>
                <w:t>Sabre Corporation 2019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2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Current Report on Form 8-K filed with the Securities and Exchange Commission on April 24, 2019).</w:t>
              </w:r>
            </w:hyperlink>
          </w:p>
        </w:tc>
        <w:tc>
          <w:tcPr>
            <w:tcW w:w="27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200">
              <w:r>
                <w:rPr>
                  <w:rFonts w:ascii="Arial" w:cs="Arial" w:eastAsia="Arial" w:hAnsi="Arial"/>
                  <w:sz w:val="16"/>
                  <w:szCs w:val="16"/>
                  <w:color w:val="0000FF"/>
                </w:rPr>
                <w:t>Sabre Corporation 2019 Director Equity Compensation Plan (incorporated by reference to Exhibit 10.2 of Sabre Corporation’s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Report on Form 8-K filed with the Securities and Exchange Commission on April 24, 2019).</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201">
              <w:r>
                <w:rPr>
                  <w:rFonts w:ascii="Arial" w:cs="Arial" w:eastAsia="Arial" w:hAnsi="Arial"/>
                  <w:sz w:val="16"/>
                  <w:szCs w:val="16"/>
                  <w:color w:val="0000FF"/>
                </w:rPr>
                <w:t>Form of Executive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(incorporated by reference to Exhibit 10.75 of Sabre Corporation’s Quarterly Report on Form 10-Q filed with the Securities and</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Exchange Commission on August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202">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by reference to Exhibit 10.76 of Sabre Corporation’s Quarterly Report on Form 10-Q filed with the Securities and Exchange Commission</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20" w:type="dxa"/>
            <w:vAlign w:val="bottom"/>
            <w:gridSpan w:val="17"/>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on August 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203">
              <w:r>
                <w:rPr>
                  <w:rFonts w:ascii="Arial" w:cs="Arial" w:eastAsia="Arial" w:hAnsi="Arial"/>
                  <w:sz w:val="16"/>
                  <w:szCs w:val="16"/>
                  <w:color w:val="0000FF"/>
                </w:rPr>
                <w:t>Form  of  Non-Employee  Director  Restricted  Stock  Unit  Grant  Agreement  under  the  Sabre  Corporation  2019  Director  Equity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Compensation Plan. incorporated by reference to Exhibit 10.77 of Sabre Corporation’s Quarterly Report on Form 10-Q filed with the</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Securities and Exchange Commission on August 1, 2019).</w:t>
              </w:r>
            </w:hyperlink>
          </w:p>
        </w:tc>
        <w:tc>
          <w:tcPr>
            <w:tcW w:w="56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204">
              <w:r>
                <w:rPr>
                  <w:rFonts w:ascii="Arial" w:cs="Arial" w:eastAsia="Arial" w:hAnsi="Arial"/>
                  <w:sz w:val="16"/>
                  <w:szCs w:val="16"/>
                  <w:color w:val="0000FF"/>
                </w:rPr>
                <w:t>Payment and Termination Agreement, dated December 18, 2019 by and between Sabre Corporation and Sovereign Manager Co-Invest,</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204">
              <w:r>
                <w:rPr>
                  <w:rFonts w:ascii="Arial" w:cs="Arial" w:eastAsia="Arial" w:hAnsi="Arial"/>
                  <w:sz w:val="16"/>
                  <w:szCs w:val="16"/>
                  <w:color w:val="0000FF"/>
                </w:rPr>
                <w:t>LLC (incorporated by reference to Exhibit 10.78 of Sabre Corporation’s Annual Report on Form 10-K filed with the Securities and</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Exchange Commission on February 26, 2020)</w:t>
              </w:r>
            </w:hyperlink>
          </w:p>
        </w:tc>
        <w:tc>
          <w:tcPr>
            <w:tcW w:w="5880" w:type="dxa"/>
            <w:vAlign w:val="bottom"/>
            <w:tcBorders>
              <w:top w:val="single" w:sz="8" w:color="0000FF"/>
            </w:tcBorders>
            <w:gridSpan w:val="6"/>
          </w:tcPr>
          <w:p>
            <w:pPr>
              <w:spacing w:after="0"/>
              <w:rPr>
                <w:sz w:val="14"/>
                <w:szCs w:val="14"/>
                <w:color w:val="auto"/>
              </w:rPr>
            </w:pPr>
          </w:p>
        </w:tc>
        <w:tc>
          <w:tcPr>
            <w:tcW w:w="64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60" w:type="dxa"/>
            <w:vAlign w:val="bottom"/>
          </w:tcPr>
          <w:p>
            <w:pPr>
              <w:ind w:left="20"/>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18"/>
                <w:szCs w:val="18"/>
                <w:color w:val="auto"/>
              </w:rPr>
            </w:pPr>
          </w:p>
        </w:tc>
        <w:tc>
          <w:tcPr>
            <w:tcW w:w="10180" w:type="dxa"/>
            <w:vAlign w:val="bottom"/>
            <w:gridSpan w:val="35"/>
          </w:tcPr>
          <w:p>
            <w:pPr>
              <w:spacing w:after="0"/>
              <w:rPr>
                <w:rFonts w:ascii="Arial" w:cs="Arial" w:eastAsia="Arial" w:hAnsi="Arial"/>
                <w:sz w:val="16"/>
                <w:szCs w:val="16"/>
                <w:color w:val="0000FF"/>
              </w:rPr>
            </w:pPr>
            <w:hyperlink r:id="rId205">
              <w:r>
                <w:rPr>
                  <w:rFonts w:ascii="Arial" w:cs="Arial" w:eastAsia="Arial" w:hAnsi="Arial"/>
                  <w:sz w:val="16"/>
                  <w:szCs w:val="16"/>
                  <w:color w:val="0000FF"/>
                </w:rPr>
                <w:t>Form of Award Agreement for Long-Term Cash Program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(incorporated by reference to Exhibit 10.01 of Sabre Corporation’s Current Report on Form 8-K filed with the Securities and Exchange</w:t>
              </w:r>
            </w:hyperlink>
          </w:p>
        </w:tc>
        <w:tc>
          <w:tcPr>
            <w:tcW w:w="40" w:type="dxa"/>
            <w:vAlign w:val="bottom"/>
            <w:tcBorders>
              <w:bottom w:val="single" w:sz="8" w:color="0000FF"/>
            </w:tcBorders>
            <w:gridSpan w:val="2"/>
          </w:tcPr>
          <w:p>
            <w:pPr>
              <w:spacing w:after="0"/>
              <w:rPr>
                <w:sz w:val="12"/>
                <w:szCs w:val="12"/>
                <w:color w:val="auto"/>
              </w:rPr>
            </w:pPr>
          </w:p>
        </w:tc>
        <w:tc>
          <w:tcPr>
            <w:tcW w:w="140" w:type="dxa"/>
            <w:vAlign w:val="bottom"/>
            <w:tcBorders>
              <w:bottom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gridSpan w:val="27"/>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Commission on March 6, 2020).</w:t>
              </w:r>
            </w:hyperlink>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7"/>
                <w:szCs w:val="17"/>
                <w:color w:val="auto"/>
              </w:rPr>
            </w:pPr>
          </w:p>
        </w:tc>
        <w:tc>
          <w:tcPr>
            <w:tcW w:w="10180" w:type="dxa"/>
            <w:vAlign w:val="bottom"/>
            <w:gridSpan w:val="35"/>
          </w:tcPr>
          <w:p>
            <w:pPr>
              <w:spacing w:after="0"/>
              <w:rPr>
                <w:rFonts w:ascii="Arial" w:cs="Arial" w:eastAsia="Arial" w:hAnsi="Arial"/>
                <w:sz w:val="16"/>
                <w:szCs w:val="16"/>
                <w:color w:val="0000FF"/>
              </w:rPr>
            </w:pPr>
            <w:hyperlink r:id="rId206">
              <w:r>
                <w:rPr>
                  <w:rFonts w:ascii="Arial" w:cs="Arial" w:eastAsia="Arial" w:hAnsi="Arial"/>
                  <w:sz w:val="16"/>
                  <w:szCs w:val="16"/>
                  <w:color w:val="0000FF"/>
                </w:rPr>
                <w:t>Indenture, dated as of April 17, 2020,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Association, as trustee and collateral agent (incorporated by reference to Exhibit 4.1 of Sabre Corporation’s Current Report on Form 8-K</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filed with the Securities and Exchange Commission on April 17, 2020).</w:t>
              </w:r>
            </w:hyperlink>
          </w:p>
        </w:tc>
        <w:tc>
          <w:tcPr>
            <w:tcW w:w="3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88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Borders>
              <w:top w:val="single" w:sz="8" w:color="0000FF"/>
            </w:tcBorders>
            <w:gridSpan w:val="10"/>
          </w:tcPr>
          <w:p>
            <w:pPr>
              <w:ind w:left="4100"/>
              <w:spacing w:after="0"/>
              <w:rPr>
                <w:sz w:val="20"/>
                <w:szCs w:val="20"/>
                <w:color w:val="auto"/>
              </w:rPr>
            </w:pPr>
            <w:r>
              <w:rPr>
                <w:rFonts w:ascii="Arial" w:cs="Arial" w:eastAsia="Arial" w:hAnsi="Arial"/>
                <w:sz w:val="16"/>
                <w:szCs w:val="16"/>
                <w:color w:val="auto"/>
              </w:rPr>
              <w:t>106</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10140" w:type="dxa"/>
            <w:vAlign w:val="bottom"/>
            <w:gridSpan w:val="32"/>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10140" w:type="dxa"/>
            <w:vAlign w:val="bottom"/>
            <w:gridSpan w:val="3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10.66</w:t>
            </w:r>
          </w:p>
        </w:tc>
        <w:tc>
          <w:tcPr>
            <w:tcW w:w="120" w:type="dxa"/>
            <w:vAlign w:val="bottom"/>
          </w:tcPr>
          <w:p>
            <w:pPr>
              <w:spacing w:after="0"/>
              <w:rPr>
                <w:sz w:val="14"/>
                <w:szCs w:val="14"/>
                <w:color w:val="auto"/>
              </w:rPr>
            </w:pPr>
          </w:p>
        </w:tc>
        <w:tc>
          <w:tcPr>
            <w:tcW w:w="10120" w:type="dxa"/>
            <w:vAlign w:val="bottom"/>
            <w:tcBorders>
              <w:top w:val="single" w:sz="8" w:color="auto"/>
            </w:tcBorders>
            <w:gridSpan w:val="31"/>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Form of 9.250% Senior Secured Notes due 2025 (incorporated by reference to Exhibit 4.1 of Sabre Corporation’s Current Report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Form 8-K filed with the Securities and Exchange Commission on April 17, 2020).</w:t>
              </w:r>
            </w:hyperlink>
          </w:p>
        </w:tc>
        <w:tc>
          <w:tcPr>
            <w:tcW w:w="42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09">
              <w:r>
                <w:rPr>
                  <w:rFonts w:ascii="Arial" w:cs="Arial" w:eastAsia="Arial" w:hAnsi="Arial"/>
                  <w:sz w:val="16"/>
                  <w:szCs w:val="16"/>
                  <w:color w:val="0000FF"/>
                </w:rPr>
                <w:t>Indenture, dated as of April 17, 2020, among Sabre GLBL Inc., Sabre Corporation, Sabre Holdings Corporation and Wells Fargo Bank,</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National Association as trustee (incorporated by reference to Exhibit 4.3 of Sabre Corporation’s Current Report on Form 8-K filed with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the Securities and Exchange Commission on April 17, 2020).</w:t>
              </w:r>
            </w:hyperlink>
          </w:p>
        </w:tc>
        <w:tc>
          <w:tcPr>
            <w:tcW w:w="54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09">
              <w:r>
                <w:rPr>
                  <w:rFonts w:ascii="Arial" w:cs="Arial" w:eastAsia="Arial" w:hAnsi="Arial"/>
                  <w:sz w:val="16"/>
                  <w:szCs w:val="16"/>
                  <w:color w:val="0000FF"/>
                </w:rPr>
                <w:t>Form of 4.000% Exchangeable Senior Notes due 2025 (incorporated by reference to Exhibit 4.3 of Sabre Corporation’s Current Report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on Form 8-K filed with the Securities and Exchange Commission on April 17, 2020).</w:t>
              </w:r>
            </w:hyperlink>
          </w:p>
        </w:tc>
        <w:tc>
          <w:tcPr>
            <w:tcW w:w="390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0">
              <w:r>
                <w:rPr>
                  <w:rFonts w:ascii="Arial" w:cs="Arial" w:eastAsia="Arial" w:hAnsi="Arial"/>
                  <w:sz w:val="16"/>
                  <w:szCs w:val="16"/>
                  <w:color w:val="0000FF"/>
                </w:rPr>
                <w:t>Pledge and Security Agreement, dated April 17, 2020, among Sabre GLBL, Inc., Sabre Holdings Corporation, the subsidiary guarantor</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party thereto and Wells Fargo Bank, National Association, as collateral agent ((incorporated by reference to Exhibit 10.1 of Sabre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120" w:type="dxa"/>
            <w:vAlign w:val="bottom"/>
            <w:tcBorders>
              <w:bottom w:val="single" w:sz="8" w:color="0000FF"/>
            </w:tcBorders>
            <w:gridSpan w:val="12"/>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Corporation’s Current Report on Form 8-K filed with the Securities and Exchange Commission on April 17, 2020).</w:t>
              </w:r>
            </w:hyperlink>
          </w:p>
        </w:tc>
        <w:tc>
          <w:tcPr>
            <w:tcW w:w="1940" w:type="dxa"/>
            <w:vAlign w:val="bottom"/>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1">
              <w:r>
                <w:rPr>
                  <w:rFonts w:ascii="Arial" w:cs="Arial" w:eastAsia="Arial" w:hAnsi="Arial"/>
                  <w:sz w:val="16"/>
                  <w:szCs w:val="16"/>
                  <w:color w:val="0000FF"/>
                </w:rPr>
                <w:t>Form  of  Non-Employee  Director  Restricted  Stock  Unit  Grant  Agreement  under  the  Sabre  Corporation  2019  Director  Equity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4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Compensation Plan (incorporated by reference to Exhibit 10.80 of Sabre Corporation’s Quarterly Report on Form 10-Q filed with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Securities and Exchange Commission on May 8, 2020).</w:t>
              </w:r>
            </w:hyperlink>
          </w:p>
        </w:tc>
        <w:tc>
          <w:tcPr>
            <w:tcW w:w="6040" w:type="dxa"/>
            <w:vAlign w:val="bottom"/>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2">
              <w:r>
                <w:rPr>
                  <w:rFonts w:ascii="Arial" w:cs="Arial" w:eastAsia="Arial" w:hAnsi="Arial"/>
                  <w:sz w:val="16"/>
                  <w:szCs w:val="16"/>
                  <w:color w:val="0000FF"/>
                </w:rPr>
                <w:t>Form of Executive Officer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(incorporated by reference to Exhibit 10.81 of Sabre Corporation’s Quarterly Report on Form 10-Q filed with the Securities and</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Exchange Commission on May 8, 2020).</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10.72+</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3">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by reference to Exhibit 10.82 of Sabre Corporation’s Quarterly Report on Form 10-Q filed with the Securities and Exchange Commission</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on May 8, 2020).</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4">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Plan (incorporated by reference to Exhibit 10.83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Exchange Commission on May 8, 2020).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5">
              <w:r>
                <w:rPr>
                  <w:rFonts w:ascii="Arial" w:cs="Arial" w:eastAsia="Arial" w:hAnsi="Arial"/>
                  <w:sz w:val="16"/>
                  <w:szCs w:val="16"/>
                  <w:color w:val="0000FF"/>
                </w:rPr>
                <w:t>Form of Executive Restricted Stock Unit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(incorporated by reference to Exhibit 10.84 of Sabre Corporation’s Quarterly Report on Form 10-Q filed with the Securities and</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Exchange Commission on August 7, 2020).</w:t>
              </w:r>
            </w:hyperlink>
          </w:p>
        </w:tc>
        <w:tc>
          <w:tcPr>
            <w:tcW w:w="40" w:type="dxa"/>
            <w:vAlign w:val="bottom"/>
            <w:gridSpan w:val="2"/>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6">
              <w:r>
                <w:rPr>
                  <w:rFonts w:ascii="Arial" w:cs="Arial" w:eastAsia="Arial" w:hAnsi="Arial"/>
                  <w:sz w:val="16"/>
                  <w:szCs w:val="16"/>
                  <w:color w:val="0000FF"/>
                </w:rPr>
                <w:t>Form of Executive Officer Stock Option Grant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(incorporated by reference to Exhibit 10.85 of Sabre Corporation’s Quarterly Report on Form 10-Q filed with the Securities and</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Exchange Commission on August 7, 2020).</w:t>
              </w:r>
            </w:hyperlink>
          </w:p>
        </w:tc>
        <w:tc>
          <w:tcPr>
            <w:tcW w:w="40" w:type="dxa"/>
            <w:vAlign w:val="bottom"/>
            <w:gridSpan w:val="2"/>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7">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Plan (incorporated by reference to Exhibit 10.86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Exchange Commission on August 7, 2020).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8">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Plan (incorporated by reference to Exhibit 10.87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Exchange Commission on August 7, 2020).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19">
              <w:r>
                <w:rPr>
                  <w:rFonts w:ascii="Arial" w:cs="Arial" w:eastAsia="Arial" w:hAnsi="Arial"/>
                  <w:sz w:val="16"/>
                  <w:szCs w:val="16"/>
                  <w:color w:val="0000FF"/>
                </w:rPr>
                <w:t>Form of Restricted Stock Unit Grant Agreement under the Sabre Corporation 2019 Omnibus Incentive Compensation Plan (incorporated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by reference to Exhibit 10.88 of Sabre Corporation’s Quarterly Report on Form 10-Q filed with the Securities and Exchange Commission</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on August 7, 2020).</w:t>
              </w:r>
            </w:hyperlink>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20">
              <w:r>
                <w:rPr>
                  <w:rFonts w:ascii="Arial" w:cs="Arial" w:eastAsia="Arial" w:hAnsi="Arial"/>
                  <w:sz w:val="16"/>
                  <w:szCs w:val="16"/>
                  <w:color w:val="0000FF"/>
                </w:rPr>
                <w:t>Form of Executive Officer Restricted Stock Unit Grant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Plan (incorporated by reference to Exhibit 10.89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Exchange Commission on August 7, 2020).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21">
              <w:r>
                <w:rPr>
                  <w:rFonts w:ascii="Arial" w:cs="Arial" w:eastAsia="Arial" w:hAnsi="Arial"/>
                  <w:sz w:val="16"/>
                  <w:szCs w:val="16"/>
                  <w:color w:val="0000FF"/>
                </w:rPr>
                <w:t>Form of Non-Employee Director Restricted Stock Unit Grant Agreement (Initial Grant) under the Sabre Corporation 2019 Director Equity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Compensation Plan (incorporated by reference to Exhibit 10.90 of Sabre Corporation’s Quarterly Report on Form 10-Q filed with the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Securities and Exchange Commission on August 7, 2020).</w:t>
              </w:r>
            </w:hyperlink>
          </w:p>
        </w:tc>
        <w:tc>
          <w:tcPr>
            <w:tcW w:w="5840" w:type="dxa"/>
            <w:vAlign w:val="bottom"/>
            <w:tcBorders>
              <w:top w:val="single" w:sz="8" w:color="0000FF"/>
            </w:tcBorders>
            <w:gridSpan w:val="21"/>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22">
              <w:r>
                <w:rPr>
                  <w:rFonts w:ascii="Arial" w:cs="Arial" w:eastAsia="Arial" w:hAnsi="Arial"/>
                  <w:sz w:val="16"/>
                  <w:szCs w:val="16"/>
                  <w:color w:val="0000FF"/>
                </w:rPr>
                <w:t>Letter Agreement by and between Sabre Corporation and Roshan Mendis, dated June 2, 2020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10.</w:t>
              </w:r>
              <w:r>
                <w:rPr>
                  <w:rFonts w:ascii="Arial" w:cs="Arial" w:eastAsia="Arial" w:hAnsi="Arial"/>
                  <w:sz w:val="16"/>
                  <w:szCs w:val="16"/>
                  <w:u w:val="single" w:color="auto"/>
                  <w:color w:val="0000FF"/>
                </w:rPr>
                <w:t>91</w:t>
              </w:r>
              <w:r>
                <w:rPr>
                  <w:rFonts w:ascii="Arial" w:cs="Arial" w:eastAsia="Arial" w:hAnsi="Arial"/>
                  <w:sz w:val="16"/>
                  <w:szCs w:val="16"/>
                  <w:color w:val="0000FF"/>
                </w:rPr>
                <w:t xml:space="preserve"> of Sabre Corporation’s Quarterly Report on Form 10-Q filed with the Securities and Exchange Commission on August 7, 2020).</w:t>
              </w:r>
            </w:hyperlink>
          </w:p>
        </w:tc>
        <w:tc>
          <w:tcPr>
            <w:tcW w:w="280" w:type="dxa"/>
            <w:vAlign w:val="bottom"/>
            <w:tcBorders>
              <w:top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23">
              <w:r>
                <w:rPr>
                  <w:rFonts w:ascii="Arial" w:cs="Arial" w:eastAsia="Arial" w:hAnsi="Arial"/>
                  <w:sz w:val="16"/>
                  <w:szCs w:val="16"/>
                  <w:color w:val="0000FF"/>
                </w:rPr>
                <w:t>Letter Agreement by and between Sabre Corporation and David D. Moore, dated June 3, 2020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10.</w:t>
              </w:r>
              <w:r>
                <w:rPr>
                  <w:rFonts w:ascii="Arial" w:cs="Arial" w:eastAsia="Arial" w:hAnsi="Arial"/>
                  <w:sz w:val="16"/>
                  <w:szCs w:val="16"/>
                  <w:u w:val="single" w:color="auto"/>
                  <w:color w:val="0000FF"/>
                </w:rPr>
                <w:t>92</w:t>
              </w:r>
              <w:r>
                <w:rPr>
                  <w:rFonts w:ascii="Arial" w:cs="Arial" w:eastAsia="Arial" w:hAnsi="Arial"/>
                  <w:sz w:val="16"/>
                  <w:szCs w:val="16"/>
                  <w:color w:val="0000FF"/>
                </w:rPr>
                <w:t xml:space="preserve"> of Sabre Corporation’s Quarterly Report on Form 10-Q filed with the Securities and Exchange Commission on August 7, 2020).</w:t>
              </w:r>
            </w:hyperlink>
          </w:p>
        </w:tc>
        <w:tc>
          <w:tcPr>
            <w:tcW w:w="240" w:type="dxa"/>
            <w:vAlign w:val="bottom"/>
            <w:tcBorders>
              <w:top w:val="single" w:sz="8" w:color="0000FF"/>
            </w:tcBorders>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0" w:type="dxa"/>
            <w:vAlign w:val="bottom"/>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24">
              <w:r>
                <w:rPr>
                  <w:rFonts w:ascii="Arial" w:cs="Arial" w:eastAsia="Arial" w:hAnsi="Arial"/>
                  <w:sz w:val="16"/>
                  <w:szCs w:val="16"/>
                  <w:color w:val="0000FF"/>
                </w:rPr>
                <w:t>Indenture, dated as of August 27, 2020,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Association, as trustee and collateral agent (incorporated by reference to Exhibit 4.1 of Sabre Corporation’s Current Report on Form 8-K</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filed with the Securities and Exchange Commission on August 27, 2020).</w:t>
              </w:r>
            </w:hyperlink>
          </w:p>
        </w:tc>
        <w:tc>
          <w:tcPr>
            <w:tcW w:w="4640" w:type="dxa"/>
            <w:vAlign w:val="bottom"/>
            <w:tcBorders>
              <w:top w:val="single" w:sz="8" w:color="0000FF"/>
            </w:tcBorders>
            <w:gridSpan w:val="11"/>
          </w:tcPr>
          <w:p>
            <w:pPr>
              <w:spacing w:after="0"/>
              <w:rPr>
                <w:sz w:val="12"/>
                <w:szCs w:val="12"/>
                <w:color w:val="auto"/>
              </w:rPr>
            </w:pPr>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17"/>
                <w:szCs w:val="17"/>
                <w:color w:val="auto"/>
              </w:rPr>
            </w:pPr>
          </w:p>
        </w:tc>
        <w:tc>
          <w:tcPr>
            <w:tcW w:w="10140" w:type="dxa"/>
            <w:vAlign w:val="bottom"/>
            <w:gridSpan w:val="32"/>
          </w:tcPr>
          <w:p>
            <w:pPr>
              <w:spacing w:after="0"/>
              <w:rPr>
                <w:rFonts w:ascii="Arial" w:cs="Arial" w:eastAsia="Arial" w:hAnsi="Arial"/>
                <w:sz w:val="16"/>
                <w:szCs w:val="16"/>
                <w:color w:val="0000FF"/>
              </w:rPr>
            </w:pPr>
            <w:hyperlink r:id="rId224">
              <w:r>
                <w:rPr>
                  <w:rFonts w:ascii="Arial" w:cs="Arial" w:eastAsia="Arial" w:hAnsi="Arial"/>
                  <w:sz w:val="16"/>
                  <w:szCs w:val="16"/>
                  <w:color w:val="0000FF"/>
                </w:rPr>
                <w:t>Form of 7.375% Senior Secured Notes due 2025 (incorporated by reference to Exhibit 4.1 of Sabre Corporation’s Current Report 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Form 8-K filed with the Securities and Exchange Commission on August 27, 2020).</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88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tcBorders>
              <w:top w:val="single" w:sz="8" w:color="0000FF"/>
            </w:tcBorders>
            <w:gridSpan w:val="8"/>
          </w:tcPr>
          <w:p>
            <w:pPr>
              <w:ind w:left="4100"/>
              <w:spacing w:after="0"/>
              <w:rPr>
                <w:sz w:val="20"/>
                <w:szCs w:val="20"/>
                <w:color w:val="auto"/>
              </w:rPr>
            </w:pPr>
            <w:r>
              <w:rPr>
                <w:rFonts w:ascii="Arial" w:cs="Arial" w:eastAsia="Arial" w:hAnsi="Arial"/>
                <w:sz w:val="16"/>
                <w:szCs w:val="16"/>
                <w:color w:val="auto"/>
              </w:rPr>
              <w:t>107</w:t>
            </w:r>
          </w:p>
        </w:tc>
        <w:tc>
          <w:tcPr>
            <w:tcW w:w="5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280" w:type="dxa"/>
            <w:vAlign w:val="bottom"/>
            <w:gridSpan w:val="42"/>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280" w:type="dxa"/>
            <w:vAlign w:val="bottom"/>
            <w:gridSpan w:val="4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10.85</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60" w:type="dxa"/>
            <w:vAlign w:val="bottom"/>
            <w:tcBorders>
              <w:top w:val="single" w:sz="8" w:color="auto"/>
            </w:tcBorders>
            <w:gridSpan w:val="41"/>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Pledge and Security Agreement, dated as of August 27, 2020, among Sabre GLBL Inc., Sabre Holdings Corporation, the subsidiary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guarantors party thereto and Wells Fargo Bank, National Association, as collateral agent. (incorporated by reference to Exhibit 10.1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Sabre Corporation’s Current Report on Form 8-K filed with the Securities and Exchange Commission on August 27, 2020).</w:t>
              </w:r>
            </w:hyperlink>
          </w:p>
        </w:tc>
        <w:tc>
          <w:tcPr>
            <w:tcW w:w="128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28">
              <w:r>
                <w:rPr>
                  <w:rFonts w:ascii="Arial" w:cs="Arial" w:eastAsia="Arial" w:hAnsi="Arial"/>
                  <w:sz w:val="16"/>
                  <w:szCs w:val="16"/>
                  <w:color w:val="0000FF"/>
                </w:rPr>
                <w:t>Letter Agreement between Sabre Corporation and Shawn Williams dated July 15, 2020 (incorporated by reference to Exhibit 10.94 of</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Sabre Corporation’s Quarterly Report on Form 10-Q filed with the Securities and Exchange Commission on November 6,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29">
              <w:r>
                <w:rPr>
                  <w:rFonts w:ascii="Arial" w:cs="Arial" w:eastAsia="Arial" w:hAnsi="Arial"/>
                  <w:sz w:val="16"/>
                  <w:szCs w:val="16"/>
                  <w:color w:val="0000FF"/>
                </w:rPr>
                <w:t>Letter Agreement between Sabre Corporation and Scott Wilson, dated July 30, 2020 (incorporated by reference to Exhibit 10.95 of</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Sabre Corporation’s Quarterly Report on Form 10-Q filed with the Securities and Exchange Commission on November 6,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0">
              <w:r>
                <w:rPr>
                  <w:rFonts w:ascii="Arial" w:cs="Arial" w:eastAsia="Arial" w:hAnsi="Arial"/>
                  <w:sz w:val="16"/>
                  <w:szCs w:val="16"/>
                  <w:color w:val="0000FF"/>
                </w:rPr>
                <w:t>Amendment Number 3, dated as of August 1, 2020 to that certain Master Services Agreement dated as of November 1, 2015 by and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between DXC Technology Services LLC (successor in interest to HP Enterprises, LLC) and Sabre GLBL (incorporated by reference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gridSpan w:val="22"/>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Exhibit 10.96 of Sabre Corporation’s Quarterly Report on Form 10-Q filed with the Securities and Exchange Commission on November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7"/>
              </w:rPr>
            </w:pPr>
            <w:hyperlink r:id="rId230">
              <w:r>
                <w:rPr>
                  <w:rFonts w:ascii="Arial" w:cs="Arial" w:eastAsia="Arial" w:hAnsi="Arial"/>
                  <w:sz w:val="16"/>
                  <w:szCs w:val="16"/>
                  <w:color w:val="0000FF"/>
                  <w:w w:val="97"/>
                </w:rPr>
                <w:t>6, 2020).**</w:t>
              </w:r>
            </w:hyperlink>
          </w:p>
        </w:tc>
        <w:tc>
          <w:tcPr>
            <w:tcW w:w="76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1">
              <w:r>
                <w:rPr>
                  <w:rFonts w:ascii="Arial" w:cs="Arial" w:eastAsia="Arial" w:hAnsi="Arial"/>
                  <w:sz w:val="16"/>
                  <w:szCs w:val="16"/>
                  <w:color w:val="0000FF"/>
                </w:rPr>
                <w:t>Indenture, dated as of August 27, 2020, among Sabre GLBL Inc. each of the guarantors party thereto and Wells Fargo Bank National</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Association, as trustee and collateral agent incorporated by reference to Exhibit 10.97 of Sabre Corporation’s Quarterly Report on Form</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80" w:type="dxa"/>
            <w:vAlign w:val="bottom"/>
            <w:tcBorders>
              <w:bottom w:val="single" w:sz="8" w:color="0000FF"/>
            </w:tcBorders>
            <w:gridSpan w:val="8"/>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10-Q filed with the Securities and Exchange Commission on November 6, 2020).</w:t>
              </w:r>
            </w:hyperlink>
          </w:p>
        </w:tc>
        <w:tc>
          <w:tcPr>
            <w:tcW w:w="4400" w:type="dxa"/>
            <w:vAlign w:val="bottom"/>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1">
              <w:r>
                <w:rPr>
                  <w:rFonts w:ascii="Arial" w:cs="Arial" w:eastAsia="Arial" w:hAnsi="Arial"/>
                  <w:sz w:val="16"/>
                  <w:szCs w:val="16"/>
                  <w:color w:val="0000FF"/>
                </w:rPr>
                <w:t>Form of 7.375% Senior Secured Notes due 2025 (incorporated by reference to Exhibit 10.97 of Sabre Corporation’s Quarterly Report 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Form 10-Q filed with the Securities and Exchange Commission on November 6, 2020).</w:t>
              </w:r>
            </w:hyperlink>
          </w:p>
        </w:tc>
        <w:tc>
          <w:tcPr>
            <w:tcW w:w="364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2">
              <w:r>
                <w:rPr>
                  <w:rFonts w:ascii="Arial" w:cs="Arial" w:eastAsia="Arial" w:hAnsi="Arial"/>
                  <w:sz w:val="16"/>
                  <w:szCs w:val="16"/>
                  <w:color w:val="0000FF"/>
                </w:rPr>
                <w:t>Amendment No. 3 to Amended and Restated Credit Agreement, dated December 17, 2020, among Sabre GLBL Inc., as Borrower,</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Sabre Holdings Corporation, as Holdings, the Lenders party thereto and Bank of America, N.A., as Administrative Agent (incorporated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by reference to Exhibit 10.1 of Sabre Corporation’s Current Report on Form 8-K filed with the Securities and Exchange Commission on</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bottom w:val="single" w:sz="8" w:color="0000FF"/>
            </w:tcBorders>
            <w:gridSpan w:val="3"/>
          </w:tcPr>
          <w:p>
            <w:pPr>
              <w:spacing w:after="0" w:line="142" w:lineRule="exact"/>
              <w:rPr>
                <w:rFonts w:ascii="Arial" w:cs="Arial" w:eastAsia="Arial" w:hAnsi="Arial"/>
                <w:sz w:val="16"/>
                <w:szCs w:val="16"/>
                <w:color w:val="0000FF"/>
                <w:w w:val="99"/>
              </w:rPr>
            </w:pPr>
            <w:hyperlink r:id="rId232">
              <w:r>
                <w:rPr>
                  <w:rFonts w:ascii="Arial" w:cs="Arial" w:eastAsia="Arial" w:hAnsi="Arial"/>
                  <w:sz w:val="16"/>
                  <w:szCs w:val="16"/>
                  <w:color w:val="0000FF"/>
                  <w:w w:val="99"/>
                </w:rPr>
                <w:t>December 17, 2020).</w:t>
              </w:r>
            </w:hyperlink>
          </w:p>
        </w:tc>
        <w:tc>
          <w:tcPr>
            <w:tcW w:w="8640" w:type="dxa"/>
            <w:vAlign w:val="bottom"/>
            <w:gridSpan w:val="3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3">
              <w:r>
                <w:rPr>
                  <w:rFonts w:ascii="Arial" w:cs="Arial" w:eastAsia="Arial" w:hAnsi="Arial"/>
                  <w:sz w:val="16"/>
                  <w:szCs w:val="16"/>
                  <w:color w:val="0000FF"/>
                </w:rPr>
                <w:t>Sixth Term A Loan Refinancing and Incremental Amendment to Amended and Restated Credit Agreement, dated December 17, 2020,</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bottom w:val="single" w:sz="8" w:color="0000FF"/>
            </w:tcBorders>
            <w:gridSpan w:val="34"/>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among Sabre GLBL Inc., as Borrower, Sabre Holdings Corporation, as Holdings, each of the other Loan Parties party thereto, Bank of</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bottom w:val="single" w:sz="8" w:color="0000FF"/>
            </w:tcBorders>
            <w:gridSpan w:val="34"/>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America, N.A., as Administrative Agent, Bank of America, N.A., as the 2020 Other Term B Lender and Bank of America, N.A., as the</w:t>
              </w:r>
            </w:hyperlink>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gridSpan w:val="39"/>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2020 Incremental Term Lender (incorporated by reference to Exhibit 10.2 of Sabre Corporation’s Current Report on Form 8-K filed with</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the Securities and Exchange Commission on December 17, 2020).</w:t>
              </w:r>
            </w:hyperlink>
          </w:p>
        </w:tc>
        <w:tc>
          <w:tcPr>
            <w:tcW w:w="5240" w:type="dxa"/>
            <w:vAlign w:val="bottom"/>
            <w:tcBorders>
              <w:top w:val="single" w:sz="8" w:color="0000FF"/>
            </w:tcBorders>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4">
              <w:r>
                <w:rPr>
                  <w:rFonts w:ascii="Arial" w:cs="Arial" w:eastAsia="Arial" w:hAnsi="Arial"/>
                  <w:sz w:val="16"/>
                  <w:szCs w:val="16"/>
                  <w:color w:val="0000FF"/>
                </w:rPr>
                <w:t>Amended and Restated Master Services Agreement entered into as of August 1, 2020 by and between Sabre GLBL Inc. and DXC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Technology Services LLC (incorporated by reference to Exhibit 10.103 of Sabre Corporation’s Annual Report on Form 10-K filed with the</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gridSpan w:val="38"/>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Securities and Exchange Commission on February 28, 2021 ).**</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5">
              <w:r>
                <w:rPr>
                  <w:rFonts w:ascii="Arial" w:cs="Arial" w:eastAsia="Arial" w:hAnsi="Arial"/>
                  <w:sz w:val="16"/>
                  <w:szCs w:val="16"/>
                  <w:color w:val="0000FF"/>
                </w:rPr>
                <w:t>Amended and Restated Service Agreement No. 1 effective as of August 1, 2020 by and between Sabre GLBL Inc. and DXC Technology</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5" w:lineRule="exact"/>
              <w:rPr>
                <w:rFonts w:ascii="Arial" w:cs="Arial" w:eastAsia="Arial" w:hAnsi="Arial"/>
                <w:sz w:val="16"/>
                <w:szCs w:val="16"/>
                <w:color w:val="0000FF"/>
              </w:rPr>
            </w:pPr>
            <w:hyperlink r:id="rId235">
              <w:r>
                <w:rPr>
                  <w:rFonts w:ascii="Arial" w:cs="Arial" w:eastAsia="Arial" w:hAnsi="Arial"/>
                  <w:sz w:val="16"/>
                  <w:szCs w:val="16"/>
                  <w:color w:val="0000FF"/>
                </w:rPr>
                <w:t>Services LLC (incorporated by reference to Exhibit 10.104 of Sabre Corporation’s Annual Report on Form 10-K filed with the Securities</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235">
              <w:r>
                <w:rPr>
                  <w:rFonts w:ascii="Arial" w:cs="Arial" w:eastAsia="Arial" w:hAnsi="Arial"/>
                  <w:sz w:val="16"/>
                  <w:szCs w:val="16"/>
                  <w:color w:val="0000FF"/>
                </w:rPr>
                <w:t>and Exchange Commission on February 28, 2021 ).**</w:t>
              </w:r>
            </w:hyperlink>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80" w:type="dxa"/>
            <w:vAlign w:val="bottom"/>
            <w:gridSpan w:val="42"/>
          </w:tcPr>
          <w:p>
            <w:pPr>
              <w:spacing w:after="0"/>
              <w:rPr>
                <w:rFonts w:ascii="Arial" w:cs="Arial" w:eastAsia="Arial" w:hAnsi="Arial"/>
                <w:sz w:val="16"/>
                <w:szCs w:val="16"/>
                <w:color w:val="0000FF"/>
              </w:rPr>
            </w:pPr>
            <w:hyperlink r:id="rId236">
              <w:r>
                <w:rPr>
                  <w:rFonts w:ascii="Arial" w:cs="Arial" w:eastAsia="Arial" w:hAnsi="Arial"/>
                  <w:sz w:val="16"/>
                  <w:szCs w:val="16"/>
                  <w:color w:val="0000FF"/>
                </w:rPr>
                <w:t>Sabre Corporation 2021 Omnibus Incentive Compensation Plan (incorporated by reference to Exhibit 10.1 of Sabre Corporation’s</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Current Report on Form 8-K filed with the Securities and Exchange Commission on April 29, 2021).</w:t>
              </w:r>
            </w:hyperlink>
          </w:p>
        </w:tc>
        <w:tc>
          <w:tcPr>
            <w:tcW w:w="2720" w:type="dxa"/>
            <w:vAlign w:val="bottom"/>
            <w:tcBorders>
              <w:top w:val="single" w:sz="8" w:color="0000FF"/>
            </w:tcBorders>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7">
              <w:r>
                <w:rPr>
                  <w:rFonts w:ascii="Arial" w:cs="Arial" w:eastAsia="Arial" w:hAnsi="Arial"/>
                  <w:sz w:val="16"/>
                  <w:szCs w:val="16"/>
                  <w:color w:val="0000FF"/>
                </w:rPr>
                <w:t>Form of Executive Restricted Stock Unit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(incorporated by reference to Exhibit 10.99 of Sabre Corporation’s Quarterly Report on Form 10-Q filed with the Securities and</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Exchange Commission on May 4, 2021).</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8">
              <w:r>
                <w:rPr>
                  <w:rFonts w:ascii="Arial" w:cs="Arial" w:eastAsia="Arial" w:hAnsi="Arial"/>
                  <w:sz w:val="16"/>
                  <w:szCs w:val="16"/>
                  <w:color w:val="0000FF"/>
                </w:rPr>
                <w:t>Form of Non-Employee Director Restricted Stock Unit Agreement under the Sabre Corporation 2019 Omnibus Incentive Compensation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Plan (incorporated by reference to Exhibit 10.100 of Sabre Corporation’s Quarterly Report on Form 10-Q filed with the Securities and</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Exchange Commission on May 4, 2021).</w:t>
              </w:r>
            </w:hyperlink>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39">
              <w:r>
                <w:rPr>
                  <w:rFonts w:ascii="Arial" w:cs="Arial" w:eastAsia="Arial" w:hAnsi="Arial"/>
                  <w:sz w:val="16"/>
                  <w:szCs w:val="16"/>
                  <w:color w:val="0000FF"/>
                </w:rPr>
                <w:t>Form of Executive Restricted Stock Unit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(incorporated by reference to Exhibit 10.101 of Sabre Corporation’s Quarterly Report on Form 10-Q filed with the Securities and</w:t>
              </w:r>
            </w:hyperlink>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Exchange Commission on May 4, 2021).</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40">
              <w:r>
                <w:rPr>
                  <w:rFonts w:ascii="Arial" w:cs="Arial" w:eastAsia="Arial" w:hAnsi="Arial"/>
                  <w:sz w:val="16"/>
                  <w:szCs w:val="16"/>
                  <w:color w:val="0000FF"/>
                </w:rPr>
                <w:t>Form of Executive Restricted Stock Unit Agreement under the Sabre Corporation 2019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(incorporated by reference to Exhibit 10.102 of Sabre Corporation’s Quarterly Report on Form 10-Q filed with the Securities and</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Exchange Commission on May 4, 2021).</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41">
              <w:r>
                <w:rPr>
                  <w:rFonts w:ascii="Arial" w:cs="Arial" w:eastAsia="Arial" w:hAnsi="Arial"/>
                  <w:sz w:val="16"/>
                  <w:szCs w:val="16"/>
                  <w:color w:val="0000FF"/>
                </w:rPr>
                <w:t>Amendment No. 4 to Amended and Restated Credit Agreement, dated July 12, 2021, among Sabre GLBL Inc., as Borrower, Sabre</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Holdings Corporation, as Holdings, the Lenders party thereto and Bank of America, N.A., as administrative Agent (incorporated by</w:t>
              </w:r>
            </w:hyperlink>
          </w:p>
        </w:tc>
        <w:tc>
          <w:tcPr>
            <w:tcW w:w="18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reference to Exhibit 10.1 of Sabre Corporation’s Current Report on Form 8-K filed with the Securities and Exchange Commission on July</w:t>
              </w:r>
            </w:hyperlink>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241">
              <w:r>
                <w:rPr>
                  <w:rFonts w:ascii="Arial" w:cs="Arial" w:eastAsia="Arial" w:hAnsi="Arial"/>
                  <w:sz w:val="16"/>
                  <w:szCs w:val="16"/>
                  <w:color w:val="0000FF"/>
                  <w:w w:val="97"/>
                </w:rPr>
                <w:t>13, 2021).</w:t>
              </w:r>
            </w:hyperlink>
          </w:p>
        </w:tc>
        <w:tc>
          <w:tcPr>
            <w:tcW w:w="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gridSpan w:val="42"/>
          </w:tcPr>
          <w:p>
            <w:pPr>
              <w:spacing w:after="0"/>
              <w:rPr>
                <w:rFonts w:ascii="Arial" w:cs="Arial" w:eastAsia="Arial" w:hAnsi="Arial"/>
                <w:sz w:val="16"/>
                <w:szCs w:val="16"/>
                <w:color w:val="0000FF"/>
              </w:rPr>
            </w:pPr>
            <w:hyperlink r:id="rId242">
              <w:r>
                <w:rPr>
                  <w:rFonts w:ascii="Arial" w:cs="Arial" w:eastAsia="Arial" w:hAnsi="Arial"/>
                  <w:sz w:val="16"/>
                  <w:szCs w:val="16"/>
                  <w:color w:val="0000FF"/>
                </w:rPr>
                <w:t>Fourth Revolving Refinancing Amendment to Amended and Restated Credit Agreement, dated July 12, 2021, among Sabre GLBL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as Borrower, Sabre Holding Corporation, as Holdings, each of the other Loan Parties thereto, Bank of America, N.A., as Administrative</w:t>
              </w:r>
            </w:hyperlink>
          </w:p>
        </w:tc>
        <w:tc>
          <w:tcPr>
            <w:tcW w:w="80" w:type="dxa"/>
            <w:vAlign w:val="bottom"/>
            <w:tcBorders>
              <w:bottom w:val="single" w:sz="8" w:color="0000FF"/>
            </w:tcBorders>
            <w:gridSpan w:val="4"/>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32"/>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Agent and Bank of America, N.A., as the 2020 Other Term B-1 Lender (incorporated by reference to Exhibit 10.2 of Sabre Corporation’s</w:t>
              </w:r>
            </w:hyperlink>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Current Report on Form 8-K filed with the Securities and Exchange Commission on July 13, 2021).</w:t>
              </w:r>
            </w:hyperlink>
          </w:p>
        </w:tc>
        <w:tc>
          <w:tcPr>
            <w:tcW w:w="3140" w:type="dxa"/>
            <w:vAlign w:val="bottom"/>
            <w:tcBorders>
              <w:top w:val="single" w:sz="8" w:color="0000FF"/>
            </w:tcBorders>
            <w:gridSpan w:val="28"/>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8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7"/>
          </w:tcPr>
          <w:p>
            <w:pPr>
              <w:jc w:val="right"/>
              <w:ind w:right="220"/>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300" w:type="dxa"/>
            <w:vAlign w:val="bottom"/>
            <w:gridSpan w:val="40"/>
            <w:vMerge w:val="restart"/>
          </w:tcPr>
          <w:p>
            <w:pPr>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16"/>
        </w:trPr>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300" w:type="dxa"/>
            <w:vAlign w:val="bottom"/>
            <w:gridSpan w:val="4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10.102</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80" w:type="dxa"/>
            <w:vAlign w:val="bottom"/>
            <w:tcBorders>
              <w:top w:val="single" w:sz="8" w:color="auto"/>
            </w:tcBorders>
            <w:gridSpan w:val="39"/>
          </w:tcPr>
          <w:p>
            <w:pPr>
              <w:spacing w:after="0" w:line="169" w:lineRule="exact"/>
              <w:rPr>
                <w:rFonts w:ascii="Arial" w:cs="Arial" w:eastAsia="Arial" w:hAnsi="Arial"/>
                <w:sz w:val="16"/>
                <w:szCs w:val="16"/>
                <w:color w:val="0000FF"/>
              </w:rPr>
            </w:pPr>
            <w:hyperlink r:id="rId245">
              <w:r>
                <w:rPr>
                  <w:rFonts w:ascii="Arial" w:cs="Arial" w:eastAsia="Arial" w:hAnsi="Arial"/>
                  <w:sz w:val="16"/>
                  <w:szCs w:val="16"/>
                  <w:color w:val="0000FF"/>
                </w:rPr>
                <w:t>Seventh Term B Loan Refinancing Amendment to Amended and Restated Credit Agreement, dated July 12, 2021, among Sabre GLBL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Inc., as Borrower, Sabre Holdings Corporation, as Holdings, each of the other Loan Parties party thereto, Bank of America, N.A.,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60" w:type="dxa"/>
            <w:vAlign w:val="bottom"/>
            <w:gridSpan w:val="38"/>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Administrative Agent and Bank of America, N.A., as the 2021 Other Term B-2 Lender (incorporated by reference to Exhibit 10.3 of Sabre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Corporation’s Current Report on Form 8-K filed with the Securities and Exchange Commission on July 13,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46">
              <w:r>
                <w:rPr>
                  <w:rFonts w:ascii="Arial" w:cs="Arial" w:eastAsia="Arial" w:hAnsi="Arial"/>
                  <w:sz w:val="16"/>
                  <w:szCs w:val="16"/>
                  <w:color w:val="0000FF"/>
                </w:rPr>
                <w:t>Sales Agreement, dated August 19, 2021, by and between Sabre Corporation and BofA Securities, Inc., Citigroup Global Markets Inc.</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and Mizuho Securities USA LLC (incorporated by reference to Exhibit 1.1 of Sabre Corporation’s Current Report on Form 8-K filed with</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bottom w:val="single" w:sz="8" w:color="0000FF"/>
            </w:tcBorders>
            <w:gridSpan w:val="6"/>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the Securities and Exchange Commission on August 19, 2021).</w:t>
              </w:r>
            </w:hyperlink>
          </w:p>
        </w:tc>
        <w:tc>
          <w:tcPr>
            <w:tcW w:w="5600" w:type="dxa"/>
            <w:vAlign w:val="bottom"/>
            <w:gridSpan w:val="2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47">
              <w:r>
                <w:rPr>
                  <w:rFonts w:ascii="Arial" w:cs="Arial" w:eastAsia="Arial" w:hAnsi="Arial"/>
                  <w:sz w:val="16"/>
                  <w:szCs w:val="16"/>
                  <w:color w:val="0000FF"/>
                </w:rPr>
                <w:t>Employment Agreement, by and between Sabre Global Technologies Limited and Roshan Mendis, effective from January 1, 2022</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(incorporated by reference to Exhibit 10.113 of Sabre Corporation’s Annual Report on Form 10-K filed with the Securities and Exchange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Commission on February 18, 2022).</w:t>
              </w:r>
            </w:hyperlink>
          </w:p>
        </w:tc>
        <w:tc>
          <w:tcPr>
            <w:tcW w:w="736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ind w:left="20"/>
              <w:spacing w:after="0"/>
              <w:rPr>
                <w:sz w:val="20"/>
                <w:szCs w:val="20"/>
                <w:color w:val="auto"/>
              </w:rPr>
            </w:pPr>
            <w:r>
              <w:rPr>
                <w:rFonts w:ascii="Arial" w:cs="Arial" w:eastAsia="Arial" w:hAnsi="Arial"/>
                <w:sz w:val="16"/>
                <w:szCs w:val="16"/>
                <w:color w:val="auto"/>
              </w:rPr>
              <w:t>10.105†</w:t>
            </w: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48">
              <w:r>
                <w:rPr>
                  <w:rFonts w:ascii="Arial" w:cs="Arial" w:eastAsia="Arial" w:hAnsi="Arial"/>
                  <w:sz w:val="16"/>
                  <w:szCs w:val="16"/>
                  <w:color w:val="0000FF"/>
                </w:rPr>
                <w:t>Amendment Number 24 dated as of 17 December 2021 to that certain Service Agreement No. 1 effective as of 1 August 2020 by and</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bottom w:val="single" w:sz="8" w:color="0000FF"/>
            </w:tcBorders>
            <w:gridSpan w:val="35"/>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between DXC Technology Services LLC and Sabre GLBL Inc. (incorporated by reference to Exhibit 10.114 of Sabre Corporation’s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80" w:type="dxa"/>
            <w:vAlign w:val="bottom"/>
            <w:tcBorders>
              <w:bottom w:val="single" w:sz="8" w:color="0000FF"/>
            </w:tcBorders>
            <w:gridSpan w:val="10"/>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Annual Report on Form 10-K filed with the Securities and Exchange Commission on February 18, 2022).</w:t>
              </w:r>
            </w:hyperlink>
          </w:p>
        </w:tc>
        <w:tc>
          <w:tcPr>
            <w:tcW w:w="2760" w:type="dxa"/>
            <w:vAlign w:val="bottom"/>
            <w:gridSpan w:val="27"/>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49">
              <w:r>
                <w:rPr>
                  <w:rFonts w:ascii="Arial" w:cs="Arial" w:eastAsia="Arial" w:hAnsi="Arial"/>
                  <w:sz w:val="16"/>
                  <w:szCs w:val="16"/>
                  <w:color w:val="0000FF"/>
                </w:rPr>
                <w:t>First Term Loan B Extension Amendment and Eighth Term Loan B Refinancing Amendment to Amended and Restated Credit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Agreement, dated March 9, 2022, among Sabre GLBL Inc., as Borrower, Sabre Holdings Corporation, as Holdings, each of the other</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Loan Parties party thereto, Bank of America, N.A., as Administrative Agent and Bank of America, N.A., as the 2022 Other Term B Lender</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bottom w:val="single" w:sz="8" w:color="0000FF"/>
            </w:tcBorders>
            <w:gridSpan w:val="29"/>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(incorporated by reference to Exhibit 10.1 of Sabre Corporation’s Current Report on Form 8-K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Commission on March 14, 2022).</w:t>
              </w:r>
            </w:hyperlink>
          </w:p>
        </w:tc>
        <w:tc>
          <w:tcPr>
            <w:tcW w:w="7780" w:type="dxa"/>
            <w:vAlign w:val="bottom"/>
            <w:gridSpan w:val="3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0">
              <w:r>
                <w:rPr>
                  <w:rFonts w:ascii="Arial" w:cs="Arial" w:eastAsia="Arial" w:hAnsi="Arial"/>
                  <w:sz w:val="16"/>
                  <w:szCs w:val="16"/>
                  <w:color w:val="0000FF"/>
                </w:rPr>
                <w:t>Sabre Corporation 2022 Director Equity Compensation Plan (incorporated by reference to Exhibit 10.1 of Sabre Corporation’s Current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Report on Form 8-K filed with the Securities and Exchange Commission on April 29,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1">
              <w:r>
                <w:rPr>
                  <w:rFonts w:ascii="Arial" w:cs="Arial" w:eastAsia="Arial" w:hAnsi="Arial"/>
                  <w:sz w:val="16"/>
                  <w:szCs w:val="16"/>
                  <w:color w:val="0000FF"/>
                </w:rPr>
                <w:t>Offer Letter by and between Sabre Corporation and Mike Randolfi, effective August 22, 2022 (incorporated by reference to Exhibit 10.1</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of the Sabre Corporation’s Current Report on Form 8-K filed with the Securities and Exchange Commission on July 28, 2022).</w:t>
              </w:r>
            </w:hyperlink>
          </w:p>
        </w:tc>
        <w:tc>
          <w:tcPr>
            <w:tcW w:w="96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2">
              <w:r>
                <w:rPr>
                  <w:rFonts w:ascii="Arial" w:cs="Arial" w:eastAsia="Arial" w:hAnsi="Arial"/>
                  <w:sz w:val="16"/>
                  <w:szCs w:val="16"/>
                  <w:color w:val="0000FF"/>
                </w:rPr>
                <w:t>Form of Executive Restricted Stock Unit Grant Agreement under the Sabre Corporation 2021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(incorporated by reference to the Exhibit 10.110 of the Sabre Corporation’s Quarterly Report on Form 10-Q filed with the Securities and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gridSpan w:val="36"/>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Exchange Commission on August 2, 2022).</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3">
              <w:r>
                <w:rPr>
                  <w:rFonts w:ascii="Arial" w:cs="Arial" w:eastAsia="Arial" w:hAnsi="Arial"/>
                  <w:sz w:val="16"/>
                  <w:szCs w:val="16"/>
                  <w:color w:val="0000FF"/>
                </w:rPr>
                <w:t>Form of Executive Restricted Stock Unit Grant Agreement under the Sabre Corporation 2021 Omnibus Incentive Compensation Plan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(incorporated by reference to the Exhibit 10.111 of the Sabre Corporation’s Quarterly Report on Form 10-Q filed with the Securities and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Exchange Commission on August 2, 2022).</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4">
              <w:r>
                <w:rPr>
                  <w:rFonts w:ascii="Arial" w:cs="Arial" w:eastAsia="Arial" w:hAnsi="Arial"/>
                  <w:sz w:val="16"/>
                  <w:szCs w:val="16"/>
                  <w:color w:val="0000FF"/>
                </w:rPr>
                <w:t>Second Term Loan B Extension Amendment and Ninth Term Loan B Refinancing Amendment to Amended and Restated Credit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Agreement, dated August 15, 2022, among Sabre GLBL Inc., as Borrower, Sabre Holdings Corporation, as Holdings, each of the other</w:t>
              </w:r>
            </w:hyperlink>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gridSpan w:val="31"/>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Loan Parties party thereto, Bank of America, N.A., as Administrative Agent and Bank of America, N.A., as the 2022 Other Term B-2</w:t>
              </w:r>
            </w:hyperlink>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Lender (incorporated by reference to Exhibit 10.1 of the Sabre Corporation’s Current Report on Form 8-K filed with the Securities and</w:t>
              </w:r>
            </w:hyperlink>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Exchange Commission on August 19, 2022).</w:t>
              </w:r>
            </w:hyperlink>
          </w:p>
        </w:tc>
        <w:tc>
          <w:tcPr>
            <w:tcW w:w="6960" w:type="dxa"/>
            <w:vAlign w:val="bottom"/>
            <w:tcBorders>
              <w:top w:val="single" w:sz="8" w:color="0000FF"/>
            </w:tcBorders>
            <w:gridSpan w:val="28"/>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5">
              <w:r>
                <w:rPr>
                  <w:rFonts w:ascii="Arial" w:cs="Arial" w:eastAsia="Arial" w:hAnsi="Arial"/>
                  <w:sz w:val="16"/>
                  <w:szCs w:val="16"/>
                  <w:color w:val="0000FF"/>
                </w:rPr>
                <w:t>Offer Letter by and between Sabre Corporation and Garry Wiseman effective August 1, 2022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10.</w:t>
              </w:r>
              <w:r>
                <w:rPr>
                  <w:rFonts w:ascii="Arial" w:cs="Arial" w:eastAsia="Arial" w:hAnsi="Arial"/>
                  <w:sz w:val="16"/>
                  <w:szCs w:val="16"/>
                  <w:u w:val="single" w:color="auto"/>
                  <w:color w:val="0000FF"/>
                </w:rPr>
                <w:t>114</w:t>
              </w:r>
              <w:r>
                <w:rPr>
                  <w:rFonts w:ascii="Arial" w:cs="Arial" w:eastAsia="Arial" w:hAnsi="Arial"/>
                  <w:sz w:val="16"/>
                  <w:szCs w:val="16"/>
                  <w:color w:val="0000FF"/>
                </w:rPr>
                <w:t xml:space="preserve"> of the Sabre Corporation’s Quarterly Report on Form 10-Q filed with the Securities and Exchange Commission on November 2,</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55">
              <w:r>
                <w:rPr>
                  <w:rFonts w:ascii="Arial" w:cs="Arial" w:eastAsia="Arial" w:hAnsi="Arial"/>
                  <w:sz w:val="16"/>
                  <w:szCs w:val="16"/>
                  <w:color w:val="0000FF"/>
                  <w:w w:val="92"/>
                </w:rPr>
                <w:t>2022).</w:t>
              </w:r>
            </w:hyperlink>
          </w:p>
        </w:tc>
        <w:tc>
          <w:tcPr>
            <w:tcW w:w="1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6">
              <w:r>
                <w:rPr>
                  <w:rFonts w:ascii="Arial" w:cs="Arial" w:eastAsia="Arial" w:hAnsi="Arial"/>
                  <w:sz w:val="16"/>
                  <w:szCs w:val="16"/>
                  <w:color w:val="0000FF"/>
                </w:rPr>
                <w:t>Offer Letter by and between Sabre Corporation and Chadwick Ho effective September 12, 2022 (incorporated by reference to Exhibit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10.</w:t>
              </w:r>
              <w:r>
                <w:rPr>
                  <w:rFonts w:ascii="Arial" w:cs="Arial" w:eastAsia="Arial" w:hAnsi="Arial"/>
                  <w:sz w:val="16"/>
                  <w:szCs w:val="16"/>
                  <w:u w:val="single" w:color="auto"/>
                  <w:color w:val="0000FF"/>
                </w:rPr>
                <w:t>115</w:t>
              </w:r>
              <w:r>
                <w:rPr>
                  <w:rFonts w:ascii="Arial" w:cs="Arial" w:eastAsia="Arial" w:hAnsi="Arial"/>
                  <w:sz w:val="16"/>
                  <w:szCs w:val="16"/>
                  <w:color w:val="0000FF"/>
                </w:rPr>
                <w:t xml:space="preserve"> of the Sabre Corporation’s Quarterly Report on Form 10-Q filed with the Securities and Exchange Commission on November 2,</w:t>
              </w:r>
            </w:hyperlink>
          </w:p>
        </w:tc>
        <w:tc>
          <w:tcPr>
            <w:tcW w:w="2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56">
              <w:r>
                <w:rPr>
                  <w:rFonts w:ascii="Arial" w:cs="Arial" w:eastAsia="Arial" w:hAnsi="Arial"/>
                  <w:sz w:val="16"/>
                  <w:szCs w:val="16"/>
                  <w:color w:val="0000FF"/>
                  <w:w w:val="92"/>
                </w:rPr>
                <w:t>2022).</w:t>
              </w:r>
            </w:hyperlink>
          </w:p>
        </w:tc>
        <w:tc>
          <w:tcPr>
            <w:tcW w:w="1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7">
              <w:r>
                <w:rPr>
                  <w:rFonts w:ascii="Arial" w:cs="Arial" w:eastAsia="Arial" w:hAnsi="Arial"/>
                  <w:sz w:val="16"/>
                  <w:szCs w:val="16"/>
                  <w:color w:val="0000FF"/>
                </w:rPr>
                <w:t>Indenture, dated as of December 6, 2022 among Sabre GLBL Inc., each of the guarantors party thereto and Computershare Trust</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Company, National Association, as trustee and collateral agent (incorporated by reference to Exhibit 4.1 of Sabre Corporation's Current</w:t>
              </w:r>
            </w:hyperlink>
          </w:p>
        </w:tc>
        <w:tc>
          <w:tcPr>
            <w:tcW w:w="2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Report on Form 8-K filed with the Securities and Exchange Commission on December 6, 2022).</w:t>
              </w:r>
            </w:hyperlink>
          </w:p>
        </w:tc>
        <w:tc>
          <w:tcPr>
            <w:tcW w:w="40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7"/>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7">
              <w:r>
                <w:rPr>
                  <w:rFonts w:ascii="Arial" w:cs="Arial" w:eastAsia="Arial" w:hAnsi="Arial"/>
                  <w:sz w:val="16"/>
                  <w:szCs w:val="16"/>
                  <w:color w:val="0000FF"/>
                </w:rPr>
                <w:t>Form of 11.250% Senior Secured Notes due 2027 (incorporated by reference to Exhibit 4.2 of Sabre Corporation's Current Report on</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Form 8-K filed with the Securities and Exchange Commission on December 6, 2022).</w:t>
              </w:r>
            </w:hyperlink>
          </w:p>
        </w:tc>
        <w:tc>
          <w:tcPr>
            <w:tcW w:w="40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7"/>
            <w:shd w:val="clear" w:color="auto" w:fill="0000FF"/>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20"/>
              <w:spacing w:after="0"/>
              <w:rPr>
                <w:sz w:val="20"/>
                <w:szCs w:val="20"/>
                <w:color w:val="auto"/>
              </w:rPr>
            </w:pPr>
            <w:r>
              <w:rPr>
                <w:rFonts w:ascii="Arial" w:cs="Arial" w:eastAsia="Arial" w:hAnsi="Arial"/>
                <w:sz w:val="16"/>
                <w:szCs w:val="16"/>
                <w:color w:val="auto"/>
              </w:rPr>
              <w:t>10.116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40"/>
          </w:tcPr>
          <w:p>
            <w:pPr>
              <w:spacing w:after="0"/>
              <w:rPr>
                <w:rFonts w:ascii="Arial" w:cs="Arial" w:eastAsia="Arial" w:hAnsi="Arial"/>
                <w:sz w:val="16"/>
                <w:szCs w:val="16"/>
                <w:color w:val="0000FF"/>
              </w:rPr>
            </w:pPr>
            <w:hyperlink r:id="rId258">
              <w:r>
                <w:rPr>
                  <w:rFonts w:ascii="Arial" w:cs="Arial" w:eastAsia="Arial" w:hAnsi="Arial"/>
                  <w:sz w:val="16"/>
                  <w:szCs w:val="16"/>
                  <w:color w:val="0000FF"/>
                </w:rPr>
                <w:t>Pledge and Security Agreement, dated as of December 6, 2022, among Sabre GLBL Inc., Sabre Holdings Corporation, the subsidiary</w:t>
              </w:r>
            </w:hyperlink>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guarantors party thereto and Computershare Trust Company, National Association, as collateral agent (incorporated by reference to</w:t>
              </w:r>
            </w:hyperlink>
          </w:p>
        </w:tc>
        <w:tc>
          <w:tcPr>
            <w:tcW w:w="460" w:type="dxa"/>
            <w:vAlign w:val="bottom"/>
            <w:gridSpan w:val="2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Exhibit 10.1 of Sabre Corporation's Current Report on Form 8-K filed with the Securities and Exchange Commission on December 6,</w:t>
              </w:r>
            </w:hyperlink>
          </w:p>
        </w:tc>
        <w:tc>
          <w:tcPr>
            <w:tcW w:w="520" w:type="dxa"/>
            <w:vAlign w:val="bottom"/>
            <w:gridSpan w:val="2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258">
              <w:r>
                <w:rPr>
                  <w:rFonts w:ascii="Arial" w:cs="Arial" w:eastAsia="Arial" w:hAnsi="Arial"/>
                  <w:sz w:val="16"/>
                  <w:szCs w:val="16"/>
                  <w:color w:val="0000FF"/>
                  <w:w w:val="92"/>
                </w:rPr>
                <w:t>2022).</w:t>
              </w:r>
            </w:hyperlink>
          </w:p>
        </w:tc>
        <w:tc>
          <w:tcPr>
            <w:tcW w:w="1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7"/>
          </w:tcPr>
          <w:p>
            <w:pPr>
              <w:jc w:val="right"/>
              <w:ind w:right="180"/>
              <w:spacing w:after="0"/>
              <w:rPr>
                <w:sz w:val="20"/>
                <w:szCs w:val="20"/>
                <w:color w:val="auto"/>
              </w:rPr>
            </w:pPr>
            <w:r>
              <w:rPr>
                <w:rFonts w:ascii="Arial" w:cs="Arial" w:eastAsia="Arial" w:hAnsi="Arial"/>
                <w:sz w:val="16"/>
                <w:szCs w:val="16"/>
                <w:color w:val="auto"/>
              </w:rPr>
              <w:t>109</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4"/>
        </w:trPr>
        <w:tc>
          <w:tcPr>
            <w:tcW w:w="1380" w:type="dxa"/>
            <w:vAlign w:val="bottom"/>
          </w:tcPr>
          <w:p>
            <w:pPr>
              <w:ind w:left="20"/>
              <w:spacing w:after="0"/>
              <w:rPr>
                <w:sz w:val="20"/>
                <w:szCs w:val="20"/>
                <w:color w:val="auto"/>
              </w:rPr>
            </w:pPr>
            <w:r>
              <w:rPr>
                <w:rFonts w:ascii="Arial" w:cs="Arial" w:eastAsia="Arial" w:hAnsi="Arial"/>
                <w:sz w:val="16"/>
                <w:szCs w:val="16"/>
                <w:color w:val="auto"/>
              </w:rPr>
              <w:t>10.117</w:t>
            </w:r>
          </w:p>
        </w:tc>
        <w:tc>
          <w:tcPr>
            <w:tcW w:w="10320" w:type="dxa"/>
            <w:vAlign w:val="bottom"/>
            <w:gridSpan w:val="44"/>
          </w:tcPr>
          <w:p>
            <w:pPr>
              <w:spacing w:after="0"/>
              <w:rPr>
                <w:rFonts w:ascii="Arial" w:cs="Arial" w:eastAsia="Arial" w:hAnsi="Arial"/>
                <w:sz w:val="16"/>
                <w:szCs w:val="16"/>
                <w:color w:val="0000FF"/>
              </w:rPr>
            </w:pPr>
            <w:hyperlink r:id="rId261">
              <w:r>
                <w:rPr>
                  <w:rFonts w:ascii="Arial" w:cs="Arial" w:eastAsia="Arial" w:hAnsi="Arial"/>
                  <w:sz w:val="16"/>
                  <w:szCs w:val="16"/>
                  <w:color w:val="0000FF"/>
                </w:rPr>
                <w:t>Receivables Financing Agreement, dated as of the Closing Date, among the SPE, Sabre GLBL, Inc. and Sabre Global Technologies</w:t>
              </w:r>
            </w:hyperlink>
          </w:p>
        </w:tc>
      </w:tr>
      <w:tr>
        <w:trPr>
          <w:trHeight w:val="142"/>
        </w:trPr>
        <w:tc>
          <w:tcPr>
            <w:tcW w:w="138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Limited, as initial servicers, the Administrative Agent, the lenders party thereto, and PNC Bank, N.A. (incorporated by reference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0140" w:type="dxa"/>
            <w:vAlign w:val="bottom"/>
            <w:tcBorders>
              <w:bottom w:val="single" w:sz="8" w:color="0000FF"/>
            </w:tcBorders>
            <w:gridSpan w:val="35"/>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Exhibit 10.1 of the Sabre Corporation’s Current Report on Form 8-K filed with the Securities and Exchange Commission on February 17,</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Arial" w:cs="Arial" w:eastAsia="Arial" w:hAnsi="Arial"/>
                <w:sz w:val="16"/>
                <w:szCs w:val="16"/>
                <w:color w:val="0000FF"/>
                <w:w w:val="96"/>
              </w:rPr>
            </w:pPr>
            <w:hyperlink r:id="rId261">
              <w:r>
                <w:rPr>
                  <w:rFonts w:ascii="Arial" w:cs="Arial" w:eastAsia="Arial" w:hAnsi="Arial"/>
                  <w:sz w:val="16"/>
                  <w:szCs w:val="16"/>
                  <w:color w:val="0000FF"/>
                  <w:w w:val="96"/>
                </w:rPr>
                <w:t>2023).</w:t>
              </w:r>
            </w:hyperlink>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10.118+</w:t>
            </w:r>
          </w:p>
        </w:tc>
        <w:tc>
          <w:tcPr>
            <w:tcW w:w="10320" w:type="dxa"/>
            <w:vAlign w:val="bottom"/>
            <w:gridSpan w:val="44"/>
          </w:tcPr>
          <w:p>
            <w:pPr>
              <w:spacing w:after="0"/>
              <w:rPr>
                <w:rFonts w:ascii="Arial" w:cs="Arial" w:eastAsia="Arial" w:hAnsi="Arial"/>
                <w:sz w:val="16"/>
                <w:szCs w:val="16"/>
                <w:color w:val="0000FF"/>
              </w:rPr>
            </w:pPr>
            <w:hyperlink r:id="rId262">
              <w:r>
                <w:rPr>
                  <w:rFonts w:ascii="Arial" w:cs="Arial" w:eastAsia="Arial" w:hAnsi="Arial"/>
                  <w:sz w:val="16"/>
                  <w:szCs w:val="16"/>
                  <w:color w:val="0000FF"/>
                </w:rPr>
                <w:t>Employment Agreement by and between the Company and Sean Menke, dated February 28, 2023 (incorporated by reference to Exhibit</w:t>
              </w:r>
            </w:hyperlink>
          </w:p>
        </w:tc>
      </w:tr>
      <w:tr>
        <w:trPr>
          <w:trHeight w:val="142"/>
        </w:trPr>
        <w:tc>
          <w:tcPr>
            <w:tcW w:w="1380" w:type="dxa"/>
            <w:vAlign w:val="bottom"/>
          </w:tcPr>
          <w:p>
            <w:pPr>
              <w:spacing w:after="0"/>
              <w:rPr>
                <w:sz w:val="12"/>
                <w:szCs w:val="12"/>
                <w:color w:val="auto"/>
              </w:rPr>
            </w:pPr>
          </w:p>
        </w:tc>
        <w:tc>
          <w:tcPr>
            <w:tcW w:w="98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Sabre Corporation’s Current Report on Form 8-K filed with the Securities and Exchange Commission on March 1,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10.119+</w:t>
            </w:r>
          </w:p>
        </w:tc>
        <w:tc>
          <w:tcPr>
            <w:tcW w:w="10320" w:type="dxa"/>
            <w:vAlign w:val="bottom"/>
            <w:gridSpan w:val="44"/>
          </w:tcPr>
          <w:p>
            <w:pPr>
              <w:spacing w:after="0"/>
              <w:rPr>
                <w:rFonts w:ascii="Arial" w:cs="Arial" w:eastAsia="Arial" w:hAnsi="Arial"/>
                <w:sz w:val="16"/>
                <w:szCs w:val="16"/>
                <w:color w:val="0000FF"/>
              </w:rPr>
            </w:pPr>
            <w:hyperlink r:id="rId263">
              <w:r>
                <w:rPr>
                  <w:rFonts w:ascii="Arial" w:cs="Arial" w:eastAsia="Arial" w:hAnsi="Arial"/>
                  <w:sz w:val="16"/>
                  <w:szCs w:val="16"/>
                  <w:color w:val="0000FF"/>
                </w:rPr>
                <w:t>Offer Letter by and between Sabre and Kurt Ekert, dated February 28, 2023. (incorporated by reference to Exhibit 10.2 of the Sabre</w:t>
              </w:r>
            </w:hyperlink>
          </w:p>
        </w:tc>
      </w:tr>
      <w:tr>
        <w:trPr>
          <w:trHeight w:val="142"/>
        </w:trPr>
        <w:tc>
          <w:tcPr>
            <w:tcW w:w="138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Corporation’s Current Report on Form 8-K filed with the Securities and Exchange Commission on March 1, 2023).</w:t>
              </w:r>
            </w:hyperlink>
          </w:p>
        </w:tc>
        <w:tc>
          <w:tcPr>
            <w:tcW w:w="172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10.120</w:t>
            </w:r>
          </w:p>
        </w:tc>
        <w:tc>
          <w:tcPr>
            <w:tcW w:w="10320" w:type="dxa"/>
            <w:vAlign w:val="bottom"/>
            <w:gridSpan w:val="44"/>
          </w:tcPr>
          <w:p>
            <w:pPr>
              <w:spacing w:after="0"/>
              <w:rPr>
                <w:rFonts w:ascii="Arial" w:cs="Arial" w:eastAsia="Arial" w:hAnsi="Arial"/>
                <w:sz w:val="16"/>
                <w:szCs w:val="16"/>
                <w:color w:val="0000FF"/>
              </w:rPr>
            </w:pPr>
            <w:hyperlink r:id="rId264">
              <w:r>
                <w:rPr>
                  <w:rFonts w:ascii="Arial" w:cs="Arial" w:eastAsia="Arial" w:hAnsi="Arial"/>
                  <w:sz w:val="16"/>
                  <w:szCs w:val="16"/>
                  <w:color w:val="0000FF"/>
                </w:rPr>
                <w:t>Sale and Contribution Agreement, dated as of March 30, 2023, by and among Sabre Securitization, LLC, Sabre GLBL Inc., GetThere</w:t>
              </w:r>
            </w:hyperlink>
          </w:p>
        </w:tc>
      </w:tr>
      <w:tr>
        <w:trPr>
          <w:trHeight w:val="142"/>
        </w:trPr>
        <w:tc>
          <w:tcPr>
            <w:tcW w:w="1380" w:type="dxa"/>
            <w:vAlign w:val="bottom"/>
          </w:tcPr>
          <w:p>
            <w:pPr>
              <w:spacing w:after="0"/>
              <w:rPr>
                <w:sz w:val="12"/>
                <w:szCs w:val="12"/>
                <w:color w:val="auto"/>
              </w:rPr>
            </w:pPr>
          </w:p>
        </w:tc>
        <w:tc>
          <w:tcPr>
            <w:tcW w:w="102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L.P., Radixx Solutions International, Inc. and Prism Group, Inc. (incorporated by reference to Exhibit 10.1 of the Sabre Corporation’s</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72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Current Report on Form 8-K filed with the Securities and Exchange Commission on March 31, 2023).</w:t>
              </w:r>
            </w:hyperlink>
          </w:p>
        </w:tc>
        <w:tc>
          <w:tcPr>
            <w:tcW w:w="2880" w:type="dxa"/>
            <w:vAlign w:val="bottom"/>
            <w:tcBorders>
              <w:top w:val="single" w:sz="8" w:color="0000FF"/>
            </w:tcBorders>
            <w:gridSpan w:val="2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10.121</w:t>
            </w:r>
          </w:p>
        </w:tc>
        <w:tc>
          <w:tcPr>
            <w:tcW w:w="10320" w:type="dxa"/>
            <w:vAlign w:val="bottom"/>
            <w:gridSpan w:val="44"/>
          </w:tcPr>
          <w:p>
            <w:pPr>
              <w:spacing w:after="0"/>
              <w:rPr>
                <w:rFonts w:ascii="Arial" w:cs="Arial" w:eastAsia="Arial" w:hAnsi="Arial"/>
                <w:sz w:val="16"/>
                <w:szCs w:val="16"/>
                <w:color w:val="0000FF"/>
              </w:rPr>
            </w:pPr>
            <w:hyperlink r:id="rId265">
              <w:r>
                <w:rPr>
                  <w:rFonts w:ascii="Arial" w:cs="Arial" w:eastAsia="Arial" w:hAnsi="Arial"/>
                  <w:sz w:val="16"/>
                  <w:szCs w:val="16"/>
                  <w:color w:val="0000FF"/>
                </w:rPr>
                <w:t>English Sale Agreement, dated as of March 30, 2023, by and among Sabre Securitization, LLC and Sabre Global Technologies Limited</w:t>
              </w:r>
            </w:hyperlink>
          </w:p>
        </w:tc>
      </w:tr>
      <w:tr>
        <w:trPr>
          <w:trHeight w:val="142"/>
        </w:trPr>
        <w:tc>
          <w:tcPr>
            <w:tcW w:w="138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(incorporated by reference to Exhibit 10.2 of the Sabre Corporation’s Current Report on Form 8-K filed with the Securities and Exchange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240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Commission on March 31, 2023).</w:t>
              </w:r>
            </w:hyperlink>
          </w:p>
        </w:tc>
        <w:tc>
          <w:tcPr>
            <w:tcW w:w="7860" w:type="dxa"/>
            <w:vAlign w:val="bottom"/>
            <w:gridSpan w:val="3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10.122+</w:t>
            </w:r>
          </w:p>
        </w:tc>
        <w:tc>
          <w:tcPr>
            <w:tcW w:w="10320" w:type="dxa"/>
            <w:vAlign w:val="bottom"/>
            <w:gridSpan w:val="44"/>
          </w:tcPr>
          <w:p>
            <w:pPr>
              <w:spacing w:after="0"/>
              <w:rPr>
                <w:rFonts w:ascii="Arial" w:cs="Arial" w:eastAsia="Arial" w:hAnsi="Arial"/>
                <w:sz w:val="16"/>
                <w:szCs w:val="16"/>
                <w:color w:val="0000FF"/>
              </w:rPr>
            </w:pPr>
            <w:hyperlink r:id="rId266">
              <w:r>
                <w:rPr>
                  <w:rFonts w:ascii="Arial" w:cs="Arial" w:eastAsia="Arial" w:hAnsi="Arial"/>
                  <w:sz w:val="16"/>
                  <w:szCs w:val="16"/>
                  <w:color w:val="0000FF"/>
                </w:rPr>
                <w:t>Sabre Corporation 2023 Omnibus Incentive Compensation Plan (incorporated by reference to Exhibit 10.1 of the Sabre Corporation’s</w:t>
              </w:r>
            </w:hyperlink>
          </w:p>
        </w:tc>
      </w:tr>
      <w:tr>
        <w:trPr>
          <w:trHeight w:val="142"/>
        </w:trPr>
        <w:tc>
          <w:tcPr>
            <w:tcW w:w="1380" w:type="dxa"/>
            <w:vAlign w:val="bottom"/>
          </w:tcPr>
          <w:p>
            <w:pPr>
              <w:spacing w:after="0"/>
              <w:rPr>
                <w:sz w:val="12"/>
                <w:szCs w:val="12"/>
                <w:color w:val="auto"/>
              </w:rPr>
            </w:pPr>
          </w:p>
        </w:tc>
        <w:tc>
          <w:tcPr>
            <w:tcW w:w="71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Current Report on Form 8-K filed with the Securities and Exchange Commission on April 28, 2023).</w:t>
              </w:r>
            </w:hyperlink>
          </w:p>
        </w:tc>
        <w:tc>
          <w:tcPr>
            <w:tcW w:w="274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10.123+</w:t>
            </w:r>
          </w:p>
        </w:tc>
        <w:tc>
          <w:tcPr>
            <w:tcW w:w="10320" w:type="dxa"/>
            <w:vAlign w:val="bottom"/>
            <w:gridSpan w:val="44"/>
          </w:tcPr>
          <w:p>
            <w:pPr>
              <w:spacing w:after="0"/>
              <w:rPr>
                <w:rFonts w:ascii="Arial" w:cs="Arial" w:eastAsia="Arial" w:hAnsi="Arial"/>
                <w:sz w:val="16"/>
                <w:szCs w:val="16"/>
                <w:color w:val="0000FF"/>
              </w:rPr>
            </w:pPr>
            <w:hyperlink r:id="rId267">
              <w:r>
                <w:rPr>
                  <w:rFonts w:ascii="Arial" w:cs="Arial" w:eastAsia="Arial" w:hAnsi="Arial"/>
                  <w:sz w:val="16"/>
                  <w:szCs w:val="16"/>
                  <w:color w:val="0000FF"/>
                </w:rPr>
                <w:t>Offer Letter by and between Sabre Corporation and Ann Bruder effective May 1, 2023 (incorporated by reference to Exhibit 10.121 of the</w:t>
              </w:r>
            </w:hyperlink>
          </w:p>
        </w:tc>
      </w:tr>
      <w:tr>
        <w:trPr>
          <w:trHeight w:val="142"/>
        </w:trPr>
        <w:tc>
          <w:tcPr>
            <w:tcW w:w="1380" w:type="dxa"/>
            <w:vAlign w:val="bottom"/>
          </w:tcPr>
          <w:p>
            <w:pPr>
              <w:spacing w:after="0"/>
              <w:rPr>
                <w:sz w:val="12"/>
                <w:szCs w:val="12"/>
                <w:color w:val="auto"/>
              </w:rPr>
            </w:pPr>
          </w:p>
        </w:tc>
        <w:tc>
          <w:tcPr>
            <w:tcW w:w="99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Sabre Corporation’s Quarterly Report on Form 10-Q filed with the Securities and Exchange Commission on May 4,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10.124</w:t>
            </w:r>
          </w:p>
        </w:tc>
        <w:tc>
          <w:tcPr>
            <w:tcW w:w="10320" w:type="dxa"/>
            <w:vAlign w:val="bottom"/>
            <w:gridSpan w:val="44"/>
          </w:tcPr>
          <w:p>
            <w:pPr>
              <w:spacing w:after="0"/>
              <w:rPr>
                <w:rFonts w:ascii="Arial" w:cs="Arial" w:eastAsia="Arial" w:hAnsi="Arial"/>
                <w:sz w:val="16"/>
                <w:szCs w:val="16"/>
                <w:color w:val="0000FF"/>
              </w:rPr>
            </w:pPr>
            <w:hyperlink r:id="rId268">
              <w:r>
                <w:rPr>
                  <w:rFonts w:ascii="Arial" w:cs="Arial" w:eastAsia="Arial" w:hAnsi="Arial"/>
                  <w:sz w:val="16"/>
                  <w:szCs w:val="16"/>
                  <w:color w:val="0000FF"/>
                </w:rPr>
                <w:t>Amendment No. 5 to Amended and Restated Credit Agreement, dated May 16, 2023, among Sabre GLBL Inc., as Borrower and Bank of</w:t>
              </w:r>
            </w:hyperlink>
          </w:p>
        </w:tc>
      </w:tr>
      <w:tr>
        <w:trPr>
          <w:trHeight w:val="142"/>
        </w:trPr>
        <w:tc>
          <w:tcPr>
            <w:tcW w:w="138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America, N.A., as Administrative Agent (incorporated by reference to Exhibit 10.1 of the Sabre Corporation’s Current Report on Form 8-</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0220" w:type="dxa"/>
            <w:vAlign w:val="bottom"/>
            <w:gridSpan w:val="39"/>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K filed with the Securities and Exchange Commission on May 19, 2023).</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10.125</w:t>
            </w:r>
          </w:p>
        </w:tc>
        <w:tc>
          <w:tcPr>
            <w:tcW w:w="10320" w:type="dxa"/>
            <w:vAlign w:val="bottom"/>
            <w:gridSpan w:val="44"/>
          </w:tcPr>
          <w:p>
            <w:pPr>
              <w:spacing w:after="0"/>
              <w:rPr>
                <w:rFonts w:ascii="Arial" w:cs="Arial" w:eastAsia="Arial" w:hAnsi="Arial"/>
                <w:sz w:val="16"/>
                <w:szCs w:val="16"/>
                <w:color w:val="0000FF"/>
              </w:rPr>
            </w:pPr>
            <w:hyperlink r:id="rId269">
              <w:r>
                <w:rPr>
                  <w:rFonts w:ascii="Arial" w:cs="Arial" w:eastAsia="Arial" w:hAnsi="Arial"/>
                  <w:sz w:val="16"/>
                  <w:szCs w:val="16"/>
                  <w:color w:val="0000FF"/>
                </w:rPr>
                <w:t>Commitment Letter, dated May 25, 2023, among Sabre GLBL, Inc. and Lenders (incorporated by reference to Exhibit 10.1 of the Sabre</w:t>
              </w:r>
            </w:hyperlink>
          </w:p>
        </w:tc>
      </w:tr>
      <w:tr>
        <w:trPr>
          <w:trHeight w:val="142"/>
        </w:trPr>
        <w:tc>
          <w:tcPr>
            <w:tcW w:w="1380" w:type="dxa"/>
            <w:vAlign w:val="bottom"/>
          </w:tcPr>
          <w:p>
            <w:pPr>
              <w:spacing w:after="0"/>
              <w:rPr>
                <w:sz w:val="12"/>
                <w:szCs w:val="12"/>
                <w:color w:val="auto"/>
              </w:rPr>
            </w:pPr>
          </w:p>
        </w:tc>
        <w:tc>
          <w:tcPr>
            <w:tcW w:w="1018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69">
              <w:r>
                <w:rPr>
                  <w:rFonts w:ascii="Arial" w:cs="Arial" w:eastAsia="Arial" w:hAnsi="Arial"/>
                  <w:sz w:val="16"/>
                  <w:szCs w:val="16"/>
                  <w:color w:val="0000FF"/>
                </w:rPr>
                <w:t>Corporation’s Current Report on Form 8-K filed with the Securities and Exchange Commission on May 25, 2023).</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10.126</w:t>
            </w:r>
          </w:p>
        </w:tc>
        <w:tc>
          <w:tcPr>
            <w:tcW w:w="10320" w:type="dxa"/>
            <w:vAlign w:val="bottom"/>
            <w:gridSpan w:val="44"/>
          </w:tcPr>
          <w:p>
            <w:pPr>
              <w:spacing w:after="0"/>
              <w:rPr>
                <w:rFonts w:ascii="Arial" w:cs="Arial" w:eastAsia="Arial" w:hAnsi="Arial"/>
                <w:sz w:val="16"/>
                <w:szCs w:val="16"/>
                <w:color w:val="0000FF"/>
              </w:rPr>
            </w:pPr>
            <w:hyperlink r:id="rId270">
              <w:r>
                <w:rPr>
                  <w:rFonts w:ascii="Arial" w:cs="Arial" w:eastAsia="Arial" w:hAnsi="Arial"/>
                  <w:sz w:val="16"/>
                  <w:szCs w:val="16"/>
                  <w:color w:val="0000FF"/>
                </w:rPr>
                <w:t>First Amendment to Commitment Letter, dated June 7, 2023, among Sabre GLBL, Inc. and Lenders (incorporated by reference to Exhibit</w:t>
              </w:r>
            </w:hyperlink>
          </w:p>
        </w:tc>
      </w:tr>
      <w:tr>
        <w:trPr>
          <w:trHeight w:val="142"/>
        </w:trPr>
        <w:tc>
          <w:tcPr>
            <w:tcW w:w="1380" w:type="dxa"/>
            <w:vAlign w:val="bottom"/>
          </w:tcPr>
          <w:p>
            <w:pPr>
              <w:spacing w:after="0"/>
              <w:rPr>
                <w:sz w:val="12"/>
                <w:szCs w:val="12"/>
                <w:color w:val="auto"/>
              </w:rPr>
            </w:pPr>
          </w:p>
        </w:tc>
        <w:tc>
          <w:tcPr>
            <w:tcW w:w="97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of the Sabre Corporation’s Current Report on Form 8-K filed with the Securities and Exchange Commission on June 8, 2023).</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10.127</w:t>
            </w:r>
          </w:p>
        </w:tc>
        <w:tc>
          <w:tcPr>
            <w:tcW w:w="10320" w:type="dxa"/>
            <w:vAlign w:val="bottom"/>
            <w:gridSpan w:val="44"/>
          </w:tcPr>
          <w:p>
            <w:pPr>
              <w:spacing w:after="0"/>
              <w:rPr>
                <w:rFonts w:ascii="Arial" w:cs="Arial" w:eastAsia="Arial" w:hAnsi="Arial"/>
                <w:sz w:val="16"/>
                <w:szCs w:val="16"/>
                <w:color w:val="0000FF"/>
              </w:rPr>
            </w:pPr>
            <w:hyperlink r:id="rId271">
              <w:r>
                <w:rPr>
                  <w:rFonts w:ascii="Arial" w:cs="Arial" w:eastAsia="Arial" w:hAnsi="Arial"/>
                  <w:sz w:val="16"/>
                  <w:szCs w:val="16"/>
                  <w:color w:val="0000FF"/>
                </w:rPr>
                <w:t>Term Loan Credit Agreement, dated as of June 13, 2023, among Sabre Financial Borrower, LLC, as borrower, Sabre Financing</w:t>
              </w:r>
            </w:hyperlink>
          </w:p>
        </w:tc>
      </w:tr>
      <w:tr>
        <w:trPr>
          <w:trHeight w:val="142"/>
        </w:trPr>
        <w:tc>
          <w:tcPr>
            <w:tcW w:w="1380" w:type="dxa"/>
            <w:vAlign w:val="bottom"/>
          </w:tcPr>
          <w:p>
            <w:pPr>
              <w:spacing w:after="0"/>
              <w:rPr>
                <w:sz w:val="12"/>
                <w:szCs w:val="12"/>
                <w:color w:val="auto"/>
              </w:rPr>
            </w:pPr>
          </w:p>
        </w:tc>
        <w:tc>
          <w:tcPr>
            <w:tcW w:w="1016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Holdings, LLC, as holdings, the subsidiary guarantors party thereto, the lenders party thereto and Wilmington Trust, National</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Association, as administrative agent (incorporated by reference to Exhibit 10.1 of the Sabre Corporation’s Current Report on Form 8-K</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508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filed with the Securities and Exchange Commission on June 16, 2023).</w:t>
              </w:r>
            </w:hyperlink>
          </w:p>
        </w:tc>
        <w:tc>
          <w:tcPr>
            <w:tcW w:w="4960" w:type="dxa"/>
            <w:vAlign w:val="bottom"/>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10.128</w:t>
            </w:r>
          </w:p>
        </w:tc>
        <w:tc>
          <w:tcPr>
            <w:tcW w:w="10320" w:type="dxa"/>
            <w:vAlign w:val="bottom"/>
            <w:gridSpan w:val="44"/>
          </w:tcPr>
          <w:p>
            <w:pPr>
              <w:spacing w:after="0"/>
              <w:rPr>
                <w:rFonts w:ascii="Arial" w:cs="Arial" w:eastAsia="Arial" w:hAnsi="Arial"/>
                <w:sz w:val="16"/>
                <w:szCs w:val="16"/>
                <w:color w:val="0000FF"/>
              </w:rPr>
            </w:pPr>
            <w:hyperlink r:id="rId272">
              <w:r>
                <w:rPr>
                  <w:rFonts w:ascii="Arial" w:cs="Arial" w:eastAsia="Arial" w:hAnsi="Arial"/>
                  <w:sz w:val="16"/>
                  <w:szCs w:val="16"/>
                  <w:color w:val="0000FF"/>
                </w:rPr>
                <w:t>Guaranty, dated as of June 13, 2023, among Sabre Financing Holdings, LLC, as holdings, certain subsidiaries party thereto, and</w:t>
              </w:r>
            </w:hyperlink>
          </w:p>
        </w:tc>
      </w:tr>
      <w:tr>
        <w:trPr>
          <w:trHeight w:val="142"/>
        </w:trPr>
        <w:tc>
          <w:tcPr>
            <w:tcW w:w="1380" w:type="dxa"/>
            <w:vAlign w:val="bottom"/>
          </w:tcPr>
          <w:p>
            <w:pPr>
              <w:spacing w:after="0"/>
              <w:rPr>
                <w:sz w:val="12"/>
                <w:szCs w:val="12"/>
                <w:color w:val="auto"/>
              </w:rPr>
            </w:pPr>
          </w:p>
        </w:tc>
        <w:tc>
          <w:tcPr>
            <w:tcW w:w="100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72">
              <w:r>
                <w:rPr>
                  <w:rFonts w:ascii="Arial" w:cs="Arial" w:eastAsia="Arial" w:hAnsi="Arial"/>
                  <w:sz w:val="16"/>
                  <w:szCs w:val="16"/>
                  <w:color w:val="0000FF"/>
                </w:rPr>
                <w:t>Wilmington Trust, National Association, as administrative agent (incorporated by reference to Exhibit 10.2 of the Sabre Corporation’s</w:t>
              </w:r>
            </w:hyperlink>
          </w:p>
        </w:tc>
        <w:tc>
          <w:tcPr>
            <w:tcW w:w="2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72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72">
              <w:r>
                <w:rPr>
                  <w:rFonts w:ascii="Arial" w:cs="Arial" w:eastAsia="Arial" w:hAnsi="Arial"/>
                  <w:sz w:val="16"/>
                  <w:szCs w:val="16"/>
                  <w:color w:val="0000FF"/>
                </w:rPr>
                <w:t>Current Report on Form 8-K filed with the Securities and Exchange Commission on June 16, 2023)).</w:t>
              </w:r>
            </w:hyperlink>
          </w:p>
        </w:tc>
        <w:tc>
          <w:tcPr>
            <w:tcW w:w="27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10.129</w:t>
            </w:r>
          </w:p>
        </w:tc>
        <w:tc>
          <w:tcPr>
            <w:tcW w:w="10320" w:type="dxa"/>
            <w:vAlign w:val="bottom"/>
            <w:gridSpan w:val="44"/>
          </w:tcPr>
          <w:p>
            <w:pPr>
              <w:spacing w:after="0"/>
              <w:rPr>
                <w:rFonts w:ascii="Arial" w:cs="Arial" w:eastAsia="Arial" w:hAnsi="Arial"/>
                <w:sz w:val="16"/>
                <w:szCs w:val="16"/>
                <w:color w:val="0000FF"/>
              </w:rPr>
            </w:pPr>
            <w:hyperlink r:id="rId273">
              <w:r>
                <w:rPr>
                  <w:rFonts w:ascii="Arial" w:cs="Arial" w:eastAsia="Arial" w:hAnsi="Arial"/>
                  <w:sz w:val="16"/>
                  <w:szCs w:val="16"/>
                  <w:color w:val="0000FF"/>
                </w:rPr>
                <w:t>First Lien Pari Passu Credit Agreement, dated as of June 13, 2023, among Sabre GLBL Inc., as borrower, Sabre Holdings Corporation,</w:t>
              </w:r>
            </w:hyperlink>
          </w:p>
        </w:tc>
      </w:tr>
      <w:tr>
        <w:trPr>
          <w:trHeight w:val="142"/>
        </w:trPr>
        <w:tc>
          <w:tcPr>
            <w:tcW w:w="138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as holdings, Sabre Financial Borrower, LLC, as lender, and Wilmington Trust, National Association, as administrative agent (incorporated</w:t>
              </w:r>
            </w:hyperlink>
          </w:p>
        </w:tc>
        <w:tc>
          <w:tcPr>
            <w:tcW w:w="60" w:type="dxa"/>
            <w:vAlign w:val="bottom"/>
            <w:tcBorders>
              <w:bottom w:val="single" w:sz="8" w:color="0000FF"/>
            </w:tcBorders>
            <w:gridSpan w:val="3"/>
          </w:tcPr>
          <w:p>
            <w:pPr>
              <w:spacing w:after="0"/>
              <w:rPr>
                <w:sz w:val="12"/>
                <w:szCs w:val="12"/>
                <w:color w:val="auto"/>
              </w:rPr>
            </w:pPr>
          </w:p>
        </w:tc>
        <w:tc>
          <w:tcPr>
            <w:tcW w:w="120" w:type="dxa"/>
            <w:vAlign w:val="bottom"/>
            <w:tcBorders>
              <w:bottom w:val="single" w:sz="8" w:color="0000FF"/>
            </w:tcBorders>
            <w:gridSpan w:val="6"/>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80" w:type="dxa"/>
            <w:vAlign w:val="bottom"/>
            <w:tcBorders>
              <w:bottom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0280" w:type="dxa"/>
            <w:vAlign w:val="bottom"/>
            <w:gridSpan w:val="42"/>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by reference to Exhibit 10.3 of the Sabre Corporation’s Current Report on Form 8-K filed with the Securities and Exchange Commission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98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on June 16, 2023).</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5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10.130</w:t>
            </w:r>
          </w:p>
        </w:tc>
        <w:tc>
          <w:tcPr>
            <w:tcW w:w="10320" w:type="dxa"/>
            <w:vAlign w:val="bottom"/>
            <w:gridSpan w:val="44"/>
          </w:tcPr>
          <w:p>
            <w:pPr>
              <w:spacing w:after="0"/>
              <w:rPr>
                <w:rFonts w:ascii="Arial" w:cs="Arial" w:eastAsia="Arial" w:hAnsi="Arial"/>
                <w:sz w:val="16"/>
                <w:szCs w:val="16"/>
                <w:color w:val="0000FF"/>
              </w:rPr>
            </w:pPr>
            <w:hyperlink r:id="rId274">
              <w:r>
                <w:rPr>
                  <w:rFonts w:ascii="Arial" w:cs="Arial" w:eastAsia="Arial" w:hAnsi="Arial"/>
                  <w:sz w:val="16"/>
                  <w:szCs w:val="16"/>
                  <w:color w:val="0000FF"/>
                </w:rPr>
                <w:t>Guaranty, dated as of June 13, 2023, among Sabre Holdings Corporation, as holdings, certain subsidiaries party thereto, and</w:t>
              </w:r>
            </w:hyperlink>
          </w:p>
        </w:tc>
      </w:tr>
      <w:tr>
        <w:trPr>
          <w:trHeight w:val="142"/>
        </w:trPr>
        <w:tc>
          <w:tcPr>
            <w:tcW w:w="1380" w:type="dxa"/>
            <w:vAlign w:val="bottom"/>
          </w:tcPr>
          <w:p>
            <w:pPr>
              <w:spacing w:after="0"/>
              <w:rPr>
                <w:sz w:val="12"/>
                <w:szCs w:val="12"/>
                <w:color w:val="auto"/>
              </w:rPr>
            </w:pPr>
          </w:p>
        </w:tc>
        <w:tc>
          <w:tcPr>
            <w:tcW w:w="100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74">
              <w:r>
                <w:rPr>
                  <w:rFonts w:ascii="Arial" w:cs="Arial" w:eastAsia="Arial" w:hAnsi="Arial"/>
                  <w:sz w:val="16"/>
                  <w:szCs w:val="16"/>
                  <w:color w:val="0000FF"/>
                </w:rPr>
                <w:t>Wilmington Trust, National Association, as administrative agent (incorporated by reference to Exhibit 10.4 of the Sabre Corporation’s</w:t>
              </w:r>
            </w:hyperlink>
          </w:p>
        </w:tc>
        <w:tc>
          <w:tcPr>
            <w:tcW w:w="40" w:type="dxa"/>
            <w:vAlign w:val="bottom"/>
            <w:gridSpan w:val="2"/>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99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74">
              <w:r>
                <w:rPr>
                  <w:rFonts w:ascii="Arial" w:cs="Arial" w:eastAsia="Arial" w:hAnsi="Arial"/>
                  <w:sz w:val="16"/>
                  <w:szCs w:val="16"/>
                  <w:color w:val="0000FF"/>
                </w:rPr>
                <w:t>Current Report on Form 8-K filed with the Securities and Exchange Commission on June 16,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5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10.131+</w:t>
            </w:r>
          </w:p>
        </w:tc>
        <w:tc>
          <w:tcPr>
            <w:tcW w:w="10320" w:type="dxa"/>
            <w:vAlign w:val="bottom"/>
            <w:gridSpan w:val="44"/>
          </w:tcPr>
          <w:p>
            <w:pPr>
              <w:spacing w:after="0"/>
              <w:rPr>
                <w:rFonts w:ascii="Arial" w:cs="Arial" w:eastAsia="Arial" w:hAnsi="Arial"/>
                <w:sz w:val="16"/>
                <w:szCs w:val="16"/>
                <w:color w:val="0000FF"/>
              </w:rPr>
            </w:pPr>
            <w:hyperlink r:id="rId275">
              <w:r>
                <w:rPr>
                  <w:rFonts w:ascii="Arial" w:cs="Arial" w:eastAsia="Arial" w:hAnsi="Arial"/>
                  <w:sz w:val="16"/>
                  <w:szCs w:val="16"/>
                  <w:color w:val="0000FF"/>
                </w:rPr>
                <w:t>Form of Non-Employee Director Restricted Unit Grant Agreement under the Sabre Corporation 2022 Director Equity Compensation Plan</w:t>
              </w:r>
            </w:hyperlink>
          </w:p>
        </w:tc>
      </w:tr>
      <w:tr>
        <w:trPr>
          <w:trHeight w:val="142"/>
        </w:trPr>
        <w:tc>
          <w:tcPr>
            <w:tcW w:w="1380" w:type="dxa"/>
            <w:vAlign w:val="bottom"/>
          </w:tcPr>
          <w:p>
            <w:pPr>
              <w:spacing w:after="0"/>
              <w:rPr>
                <w:sz w:val="12"/>
                <w:szCs w:val="12"/>
                <w:color w:val="auto"/>
              </w:rPr>
            </w:pPr>
          </w:p>
        </w:tc>
        <w:tc>
          <w:tcPr>
            <w:tcW w:w="1030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(incorporated by reference to Exhibit 10.123 of the Sabre Corporation’s Quarterly Report on Form 10-Q filed with the Securities and</w:t>
              </w:r>
            </w:hyperlink>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02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Exchange Commission on August 3, 2023).</w:t>
              </w:r>
            </w:hyperlink>
          </w:p>
        </w:tc>
        <w:tc>
          <w:tcPr>
            <w:tcW w:w="80" w:type="dxa"/>
            <w:vAlign w:val="bottom"/>
            <w:gridSpan w:val="4"/>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25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10.132+</w:t>
            </w:r>
          </w:p>
        </w:tc>
        <w:tc>
          <w:tcPr>
            <w:tcW w:w="10320" w:type="dxa"/>
            <w:vAlign w:val="bottom"/>
            <w:gridSpan w:val="44"/>
          </w:tcPr>
          <w:p>
            <w:pPr>
              <w:spacing w:after="0"/>
              <w:rPr>
                <w:rFonts w:ascii="Arial" w:cs="Arial" w:eastAsia="Arial" w:hAnsi="Arial"/>
                <w:sz w:val="16"/>
                <w:szCs w:val="16"/>
                <w:color w:val="0000FF"/>
              </w:rPr>
            </w:pPr>
            <w:hyperlink r:id="rId276">
              <w:r>
                <w:rPr>
                  <w:rFonts w:ascii="Arial" w:cs="Arial" w:eastAsia="Arial" w:hAnsi="Arial"/>
                  <w:sz w:val="16"/>
                  <w:szCs w:val="16"/>
                  <w:color w:val="0000FF"/>
                </w:rPr>
                <w:t>Form of Executive Restricted Stock Unit Grant Agreement under the Sabre Corporation 2023 Omnibus Incentive Compensation Plan</w:t>
              </w:r>
            </w:hyperlink>
          </w:p>
        </w:tc>
      </w:tr>
      <w:tr>
        <w:trPr>
          <w:trHeight w:val="142"/>
        </w:trPr>
        <w:tc>
          <w:tcPr>
            <w:tcW w:w="1380" w:type="dxa"/>
            <w:vAlign w:val="bottom"/>
          </w:tcPr>
          <w:p>
            <w:pPr>
              <w:spacing w:after="0"/>
              <w:rPr>
                <w:sz w:val="12"/>
                <w:szCs w:val="12"/>
                <w:color w:val="auto"/>
              </w:rPr>
            </w:pPr>
          </w:p>
        </w:tc>
        <w:tc>
          <w:tcPr>
            <w:tcW w:w="99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76">
              <w:r>
                <w:rPr>
                  <w:rFonts w:ascii="Arial" w:cs="Arial" w:eastAsia="Arial" w:hAnsi="Arial"/>
                  <w:sz w:val="16"/>
                  <w:szCs w:val="16"/>
                  <w:color w:val="0000FF"/>
                </w:rPr>
                <w:t>(incorporated by reference to Exhibit 10.124 of the Sabre Corporation’s Quarterly Report on Form 10-Q filed with the Securities and</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20" w:type="dxa"/>
            <w:vAlign w:val="bottom"/>
            <w:gridSpan w:val="11"/>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02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76">
              <w:r>
                <w:rPr>
                  <w:rFonts w:ascii="Arial" w:cs="Arial" w:eastAsia="Arial" w:hAnsi="Arial"/>
                  <w:sz w:val="16"/>
                  <w:szCs w:val="16"/>
                  <w:color w:val="0000FF"/>
                </w:rPr>
                <w:t>Exchange Commission on August 3, 2023).</w:t>
              </w:r>
            </w:hyperlink>
          </w:p>
        </w:tc>
        <w:tc>
          <w:tcPr>
            <w:tcW w:w="80" w:type="dxa"/>
            <w:vAlign w:val="bottom"/>
            <w:gridSpan w:val="4"/>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10.133+</w:t>
            </w:r>
          </w:p>
        </w:tc>
        <w:tc>
          <w:tcPr>
            <w:tcW w:w="10320" w:type="dxa"/>
            <w:vAlign w:val="bottom"/>
            <w:gridSpan w:val="44"/>
          </w:tcPr>
          <w:p>
            <w:pPr>
              <w:spacing w:after="0"/>
              <w:rPr>
                <w:rFonts w:ascii="Arial" w:cs="Arial" w:eastAsia="Arial" w:hAnsi="Arial"/>
                <w:sz w:val="16"/>
                <w:szCs w:val="16"/>
                <w:color w:val="0000FF"/>
              </w:rPr>
            </w:pPr>
            <w:hyperlink r:id="rId277">
              <w:r>
                <w:rPr>
                  <w:rFonts w:ascii="Arial" w:cs="Arial" w:eastAsia="Arial" w:hAnsi="Arial"/>
                  <w:sz w:val="16"/>
                  <w:szCs w:val="16"/>
                  <w:color w:val="0000FF"/>
                </w:rPr>
                <w:t>Form of Executive Restricted Stock Unit Grant Agreement under the Sabre Corporation 2023 Omnibus Incentive Compensation Plan</w:t>
              </w:r>
            </w:hyperlink>
          </w:p>
        </w:tc>
      </w:tr>
      <w:tr>
        <w:trPr>
          <w:trHeight w:val="142"/>
        </w:trPr>
        <w:tc>
          <w:tcPr>
            <w:tcW w:w="1380" w:type="dxa"/>
            <w:vAlign w:val="bottom"/>
          </w:tcPr>
          <w:p>
            <w:pPr>
              <w:spacing w:after="0"/>
              <w:rPr>
                <w:sz w:val="12"/>
                <w:szCs w:val="12"/>
                <w:color w:val="auto"/>
              </w:rPr>
            </w:pPr>
          </w:p>
        </w:tc>
        <w:tc>
          <w:tcPr>
            <w:tcW w:w="99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77">
              <w:r>
                <w:rPr>
                  <w:rFonts w:ascii="Arial" w:cs="Arial" w:eastAsia="Arial" w:hAnsi="Arial"/>
                  <w:sz w:val="16"/>
                  <w:szCs w:val="16"/>
                  <w:color w:val="0000FF"/>
                </w:rPr>
                <w:t>(incorporated by reference to Exhibit 10.125 of the Sabre Corporation’s Quarterly Report on Form 10-Q filed with the Securities and</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20" w:type="dxa"/>
            <w:vAlign w:val="bottom"/>
            <w:gridSpan w:val="11"/>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02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77">
              <w:r>
                <w:rPr>
                  <w:rFonts w:ascii="Arial" w:cs="Arial" w:eastAsia="Arial" w:hAnsi="Arial"/>
                  <w:sz w:val="16"/>
                  <w:szCs w:val="16"/>
                  <w:color w:val="0000FF"/>
                </w:rPr>
                <w:t>Exchange Commission on August 3, 2023).</w:t>
              </w:r>
            </w:hyperlink>
          </w:p>
        </w:tc>
        <w:tc>
          <w:tcPr>
            <w:tcW w:w="80" w:type="dxa"/>
            <w:vAlign w:val="bottom"/>
            <w:gridSpan w:val="4"/>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196"/>
        </w:trPr>
        <w:tc>
          <w:tcPr>
            <w:tcW w:w="1380" w:type="dxa"/>
            <w:vAlign w:val="bottom"/>
          </w:tcPr>
          <w:p>
            <w:pPr>
              <w:ind w:left="20"/>
              <w:spacing w:after="0"/>
              <w:rPr>
                <w:sz w:val="20"/>
                <w:szCs w:val="20"/>
                <w:color w:val="auto"/>
              </w:rPr>
            </w:pPr>
            <w:r>
              <w:rPr>
                <w:rFonts w:ascii="Arial" w:cs="Arial" w:eastAsia="Arial" w:hAnsi="Arial"/>
                <w:sz w:val="16"/>
                <w:szCs w:val="16"/>
                <w:color w:val="auto"/>
              </w:rPr>
              <w:t>10.134+</w:t>
            </w:r>
          </w:p>
        </w:tc>
        <w:tc>
          <w:tcPr>
            <w:tcW w:w="10320" w:type="dxa"/>
            <w:vAlign w:val="bottom"/>
            <w:gridSpan w:val="44"/>
          </w:tcPr>
          <w:p>
            <w:pPr>
              <w:spacing w:after="0"/>
              <w:rPr>
                <w:rFonts w:ascii="Arial" w:cs="Arial" w:eastAsia="Arial" w:hAnsi="Arial"/>
                <w:sz w:val="16"/>
                <w:szCs w:val="16"/>
                <w:color w:val="0000FF"/>
              </w:rPr>
            </w:pPr>
            <w:hyperlink r:id="rId278">
              <w:r>
                <w:rPr>
                  <w:rFonts w:ascii="Arial" w:cs="Arial" w:eastAsia="Arial" w:hAnsi="Arial"/>
                  <w:sz w:val="16"/>
                  <w:szCs w:val="16"/>
                  <w:color w:val="0000FF"/>
                </w:rPr>
                <w:t>Executive Restricted Stock Unit Grant Agreement under the Sabre Corporation 2023 Omnibus Incentive Compensation Plan made as of</w:t>
              </w:r>
            </w:hyperlink>
          </w:p>
        </w:tc>
      </w:tr>
      <w:tr>
        <w:trPr>
          <w:trHeight w:val="142"/>
        </w:trPr>
        <w:tc>
          <w:tcPr>
            <w:tcW w:w="138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278">
              <w:r>
                <w:rPr>
                  <w:rFonts w:ascii="Arial" w:cs="Arial" w:eastAsia="Arial" w:hAnsi="Arial"/>
                  <w:sz w:val="16"/>
                  <w:szCs w:val="16"/>
                  <w:color w:val="0000FF"/>
                </w:rPr>
                <w:t>May 15, 2023 between Sabre Corporation and Sean Menke (incorporated by reference to Exhibit 10.126 of the Sabre Corporation’s</w:t>
              </w:r>
            </w:hyperlink>
          </w:p>
        </w:tc>
        <w:tc>
          <w:tcPr>
            <w:tcW w:w="120" w:type="dxa"/>
            <w:vAlign w:val="bottom"/>
            <w:tcBorders>
              <w:bottom w:val="single" w:sz="8" w:color="0000FF"/>
            </w:tcBorders>
            <w:gridSpan w:val="6"/>
          </w:tcPr>
          <w:p>
            <w:pPr>
              <w:spacing w:after="0"/>
              <w:rPr>
                <w:sz w:val="12"/>
                <w:szCs w:val="12"/>
                <w:color w:val="auto"/>
              </w:rPr>
            </w:pPr>
          </w:p>
        </w:tc>
        <w:tc>
          <w:tcPr>
            <w:tcW w:w="220" w:type="dxa"/>
            <w:vAlign w:val="bottom"/>
            <w:gridSpan w:val="11"/>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0100" w:type="dxa"/>
            <w:vAlign w:val="bottom"/>
            <w:gridSpan w:val="33"/>
          </w:tcPr>
          <w:p>
            <w:pPr>
              <w:spacing w:after="0" w:line="142" w:lineRule="exact"/>
              <w:rPr>
                <w:rFonts w:ascii="Arial" w:cs="Arial" w:eastAsia="Arial" w:hAnsi="Arial"/>
                <w:sz w:val="16"/>
                <w:szCs w:val="16"/>
                <w:color w:val="0000FF"/>
              </w:rPr>
            </w:pPr>
            <w:hyperlink r:id="rId278">
              <w:r>
                <w:rPr>
                  <w:rFonts w:ascii="Arial" w:cs="Arial" w:eastAsia="Arial" w:hAnsi="Arial"/>
                  <w:sz w:val="16"/>
                  <w:szCs w:val="16"/>
                  <w:color w:val="0000FF"/>
                </w:rPr>
                <w:t>Quarterly Report on Form 10-Q filed with the Securities and Exchange Commission on August 3, 2023).</w:t>
              </w:r>
            </w:hyperlink>
          </w:p>
        </w:tc>
        <w:tc>
          <w:tcPr>
            <w:tcW w:w="220" w:type="dxa"/>
            <w:vAlign w:val="bottom"/>
            <w:gridSpan w:val="11"/>
          </w:tcPr>
          <w:p>
            <w:pPr>
              <w:spacing w:after="0"/>
              <w:rPr>
                <w:sz w:val="12"/>
                <w:szCs w:val="12"/>
                <w:color w:val="auto"/>
              </w:rPr>
            </w:pPr>
          </w:p>
        </w:tc>
      </w:tr>
      <w:tr>
        <w:trPr>
          <w:trHeight w:val="883"/>
        </w:trPr>
        <w:tc>
          <w:tcPr>
            <w:tcW w:w="1380" w:type="dxa"/>
            <w:vAlign w:val="bottom"/>
          </w:tcPr>
          <w:p>
            <w:pPr>
              <w:spacing w:after="0"/>
              <w:rPr>
                <w:sz w:val="24"/>
                <w:szCs w:val="24"/>
                <w:color w:val="auto"/>
              </w:rPr>
            </w:pPr>
          </w:p>
        </w:tc>
        <w:tc>
          <w:tcPr>
            <w:tcW w:w="5080" w:type="dxa"/>
            <w:vAlign w:val="bottom"/>
            <w:tcBorders>
              <w:top w:val="single" w:sz="8" w:color="0000FF"/>
            </w:tcBorders>
            <w:gridSpan w:val="5"/>
          </w:tcPr>
          <w:p>
            <w:pPr>
              <w:ind w:left="4120"/>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0000FF"/>
            </w:tcBorders>
          </w:tcPr>
          <w:p>
            <w:pPr>
              <w:spacing w:after="0"/>
              <w:rPr>
                <w:sz w:val="24"/>
                <w:szCs w:val="24"/>
                <w:color w:val="auto"/>
              </w:rPr>
            </w:pPr>
          </w:p>
        </w:tc>
        <w:tc>
          <w:tcPr>
            <w:tcW w:w="19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1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2" w:name="page113"/>
    <w:bookmarkEnd w:id="112"/>
    <w:tbl>
      <w:tblPr>
        <w:tblLayout w:type="fixed"/>
        <w:tblInd w:w="20"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Arial" w:cs="Arial" w:eastAsia="Arial" w:hAnsi="Arial"/>
                <w:sz w:val="16"/>
                <w:szCs w:val="16"/>
                <w:color w:val="auto"/>
              </w:rPr>
              <w:t>10.135</w:t>
            </w:r>
          </w:p>
        </w:tc>
        <w:tc>
          <w:tcPr>
            <w:tcW w:w="9940" w:type="dxa"/>
            <w:vAlign w:val="bottom"/>
            <w:gridSpan w:val="20"/>
          </w:tcPr>
          <w:p>
            <w:pPr>
              <w:spacing w:after="0"/>
              <w:rPr>
                <w:rFonts w:ascii="Arial" w:cs="Arial" w:eastAsia="Arial" w:hAnsi="Arial"/>
                <w:sz w:val="16"/>
                <w:szCs w:val="16"/>
                <w:color w:val="0000FF"/>
              </w:rPr>
            </w:pPr>
            <w:hyperlink r:id="rId281">
              <w:r>
                <w:rPr>
                  <w:rFonts w:ascii="Arial" w:cs="Arial" w:eastAsia="Arial" w:hAnsi="Arial"/>
                  <w:sz w:val="16"/>
                  <w:szCs w:val="16"/>
                  <w:color w:val="0000FF"/>
                </w:rPr>
                <w:t>Indenture, dated as of September 7, 2023 among Sabre GLBL Inc., each of the guarantors party thereto and Computershare Trust</w:t>
              </w:r>
            </w:hyperlink>
          </w:p>
        </w:tc>
      </w:tr>
      <w:tr>
        <w:trPr>
          <w:trHeight w:val="142"/>
        </w:trPr>
        <w:tc>
          <w:tcPr>
            <w:tcW w:w="1360" w:type="dxa"/>
            <w:vAlign w:val="bottom"/>
          </w:tcPr>
          <w:p>
            <w:pPr>
              <w:spacing w:after="0"/>
              <w:rPr>
                <w:sz w:val="12"/>
                <w:szCs w:val="12"/>
                <w:color w:val="auto"/>
              </w:rPr>
            </w:pPr>
          </w:p>
        </w:tc>
        <w:tc>
          <w:tcPr>
            <w:tcW w:w="99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81">
              <w:r>
                <w:rPr>
                  <w:rFonts w:ascii="Arial" w:cs="Arial" w:eastAsia="Arial" w:hAnsi="Arial"/>
                  <w:sz w:val="16"/>
                  <w:szCs w:val="16"/>
                  <w:color w:val="0000FF"/>
                </w:rPr>
                <w:t>Company, National Association, as trustee and collateral agent incorporated by reference to Exhibit 4.1 of the Sabre Corporation’s</w:t>
              </w:r>
            </w:hyperlink>
          </w:p>
        </w:tc>
        <w:tc>
          <w:tcPr>
            <w:tcW w:w="20" w:type="dxa"/>
            <w:vAlign w:val="bottom"/>
          </w:tcPr>
          <w:p>
            <w:pPr>
              <w:spacing w:after="0"/>
              <w:rPr>
                <w:sz w:val="12"/>
                <w:szCs w:val="12"/>
                <w:color w:val="auto"/>
              </w:rPr>
            </w:pPr>
          </w:p>
        </w:tc>
      </w:tr>
      <w:tr>
        <w:trPr>
          <w:trHeight w:val="142"/>
        </w:trPr>
        <w:tc>
          <w:tcPr>
            <w:tcW w:w="1360" w:type="dxa"/>
            <w:vAlign w:val="bottom"/>
          </w:tcPr>
          <w:p>
            <w:pPr>
              <w:spacing w:after="0"/>
              <w:rPr>
                <w:sz w:val="12"/>
                <w:szCs w:val="12"/>
                <w:color w:val="auto"/>
              </w:rPr>
            </w:pPr>
          </w:p>
        </w:tc>
        <w:tc>
          <w:tcPr>
            <w:tcW w:w="75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81">
              <w:r>
                <w:rPr>
                  <w:rFonts w:ascii="Arial" w:cs="Arial" w:eastAsia="Arial" w:hAnsi="Arial"/>
                  <w:sz w:val="16"/>
                  <w:szCs w:val="16"/>
                  <w:color w:val="0000FF"/>
                </w:rPr>
                <w:t>Current Report on Form 8-K filed with the Securities and Exchange Commission on September 7, 2023).</w:t>
              </w:r>
            </w:hyperlink>
          </w:p>
        </w:tc>
        <w:tc>
          <w:tcPr>
            <w:tcW w:w="240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10.136</w:t>
            </w:r>
          </w:p>
        </w:tc>
        <w:tc>
          <w:tcPr>
            <w:tcW w:w="9940" w:type="dxa"/>
            <w:vAlign w:val="bottom"/>
            <w:gridSpan w:val="20"/>
          </w:tcPr>
          <w:p>
            <w:pPr>
              <w:spacing w:after="0"/>
              <w:rPr>
                <w:rFonts w:ascii="Arial" w:cs="Arial" w:eastAsia="Arial" w:hAnsi="Arial"/>
                <w:sz w:val="16"/>
                <w:szCs w:val="16"/>
                <w:color w:val="0000FF"/>
              </w:rPr>
            </w:pPr>
            <w:hyperlink r:id="rId282">
              <w:r>
                <w:rPr>
                  <w:rFonts w:ascii="Arial" w:cs="Arial" w:eastAsia="Arial" w:hAnsi="Arial"/>
                  <w:sz w:val="16"/>
                  <w:szCs w:val="16"/>
                  <w:color w:val="0000FF"/>
                </w:rPr>
                <w:t>Form of 8.625% Senior Secured Notes due 2027incorporated by reference to Exhibit 4.2 of the Sabre Corporation’s Current Report on</w:t>
              </w:r>
            </w:hyperlink>
          </w:p>
        </w:tc>
      </w:tr>
      <w:tr>
        <w:trPr>
          <w:trHeight w:val="142"/>
        </w:trPr>
        <w:tc>
          <w:tcPr>
            <w:tcW w:w="1360" w:type="dxa"/>
            <w:vAlign w:val="bottom"/>
          </w:tcPr>
          <w:p>
            <w:pPr>
              <w:spacing w:after="0"/>
              <w:rPr>
                <w:sz w:val="12"/>
                <w:szCs w:val="12"/>
                <w:color w:val="auto"/>
              </w:rPr>
            </w:pPr>
          </w:p>
        </w:tc>
        <w:tc>
          <w:tcPr>
            <w:tcW w:w="61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82">
              <w:r>
                <w:rPr>
                  <w:rFonts w:ascii="Arial" w:cs="Arial" w:eastAsia="Arial" w:hAnsi="Arial"/>
                  <w:sz w:val="16"/>
                  <w:szCs w:val="16"/>
                  <w:color w:val="0000FF"/>
                </w:rPr>
                <w:t>Form 8-K filed with the Securities and Exchange Commission on September 7, 2023).</w:t>
              </w:r>
            </w:hyperlink>
          </w:p>
        </w:tc>
        <w:tc>
          <w:tcPr>
            <w:tcW w:w="364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10.137</w:t>
            </w:r>
          </w:p>
        </w:tc>
        <w:tc>
          <w:tcPr>
            <w:tcW w:w="9940" w:type="dxa"/>
            <w:vAlign w:val="bottom"/>
            <w:gridSpan w:val="20"/>
          </w:tcPr>
          <w:p>
            <w:pPr>
              <w:spacing w:after="0"/>
              <w:rPr>
                <w:rFonts w:ascii="Arial" w:cs="Arial" w:eastAsia="Arial" w:hAnsi="Arial"/>
                <w:sz w:val="16"/>
                <w:szCs w:val="16"/>
                <w:color w:val="0000FF"/>
              </w:rPr>
            </w:pPr>
            <w:hyperlink r:id="rId283">
              <w:r>
                <w:rPr>
                  <w:rFonts w:ascii="Arial" w:cs="Arial" w:eastAsia="Arial" w:hAnsi="Arial"/>
                  <w:sz w:val="16"/>
                  <w:szCs w:val="16"/>
                  <w:color w:val="0000FF"/>
                </w:rPr>
                <w:t>Pledge and Security Agreement, dated as of September 7, 2023, among Sabre GLBL Inc., Sabre Holdings Corporation, the subsidiary</w:t>
              </w:r>
            </w:hyperlink>
          </w:p>
        </w:tc>
      </w:tr>
      <w:tr>
        <w:trPr>
          <w:trHeight w:val="142"/>
        </w:trPr>
        <w:tc>
          <w:tcPr>
            <w:tcW w:w="1360" w:type="dxa"/>
            <w:vAlign w:val="bottom"/>
          </w:tcPr>
          <w:p>
            <w:pPr>
              <w:spacing w:after="0"/>
              <w:rPr>
                <w:sz w:val="12"/>
                <w:szCs w:val="12"/>
                <w:color w:val="auto"/>
              </w:rPr>
            </w:pPr>
          </w:p>
        </w:tc>
        <w:tc>
          <w:tcPr>
            <w:tcW w:w="98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83">
              <w:r>
                <w:rPr>
                  <w:rFonts w:ascii="Arial" w:cs="Arial" w:eastAsia="Arial" w:hAnsi="Arial"/>
                  <w:sz w:val="16"/>
                  <w:szCs w:val="16"/>
                  <w:color w:val="0000FF"/>
                </w:rPr>
                <w:t>guarantors party thereto and Computershare Trust Company, National Association, as collateral agent (incorporated by reference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36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83">
              <w:r>
                <w:rPr>
                  <w:rFonts w:ascii="Arial" w:cs="Arial" w:eastAsia="Arial" w:hAnsi="Arial"/>
                  <w:sz w:val="16"/>
                  <w:szCs w:val="16"/>
                  <w:color w:val="0000FF"/>
                </w:rPr>
                <w:t>Exhibit 10.1 of the Sabre Corporation’s Current Report on Form 8-K filed with the Securities and Exchange Commission on September</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360" w:type="dxa"/>
            <w:vAlign w:val="bottom"/>
          </w:tcPr>
          <w:p>
            <w:pPr>
              <w:spacing w:after="0"/>
              <w:rPr>
                <w:sz w:val="12"/>
                <w:szCs w:val="12"/>
                <w:color w:val="auto"/>
              </w:rPr>
            </w:pPr>
          </w:p>
        </w:tc>
        <w:tc>
          <w:tcPr>
            <w:tcW w:w="640" w:type="dxa"/>
            <w:vAlign w:val="bottom"/>
            <w:tcBorders>
              <w:bottom w:val="single" w:sz="8" w:color="0000FF"/>
            </w:tcBorders>
          </w:tcPr>
          <w:p>
            <w:pPr>
              <w:spacing w:after="0" w:line="142" w:lineRule="exact"/>
              <w:rPr>
                <w:rFonts w:ascii="Arial" w:cs="Arial" w:eastAsia="Arial" w:hAnsi="Arial"/>
                <w:sz w:val="16"/>
                <w:szCs w:val="16"/>
                <w:color w:val="0000FF"/>
                <w:w w:val="98"/>
              </w:rPr>
            </w:pPr>
            <w:hyperlink r:id="rId283">
              <w:r>
                <w:rPr>
                  <w:rFonts w:ascii="Arial" w:cs="Arial" w:eastAsia="Arial" w:hAnsi="Arial"/>
                  <w:sz w:val="16"/>
                  <w:szCs w:val="16"/>
                  <w:color w:val="0000FF"/>
                  <w:w w:val="98"/>
                </w:rPr>
                <w:t>7, 2023).</w:t>
              </w:r>
            </w:hyperlink>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10.138*</w:t>
            </w:r>
          </w:p>
        </w:tc>
        <w:tc>
          <w:tcPr>
            <w:tcW w:w="9940" w:type="dxa"/>
            <w:vAlign w:val="bottom"/>
            <w:gridSpan w:val="20"/>
          </w:tcPr>
          <w:p>
            <w:pPr>
              <w:spacing w:after="0"/>
              <w:rPr>
                <w:sz w:val="20"/>
                <w:szCs w:val="20"/>
                <w:color w:val="auto"/>
              </w:rPr>
            </w:pPr>
            <w:r>
              <w:rPr>
                <w:rFonts w:ascii="Arial" w:cs="Arial" w:eastAsia="Arial" w:hAnsi="Arial"/>
                <w:sz w:val="16"/>
                <w:szCs w:val="16"/>
                <w:color w:val="0000FF"/>
              </w:rPr>
              <w:t>Amendment Number 25 dated as of 10 March 2023 to that certain Service Agreement No. 1 effective as of 1 August 2020 by and</w:t>
            </w:r>
          </w:p>
        </w:tc>
      </w:tr>
      <w:tr>
        <w:trPr>
          <w:trHeight w:val="142"/>
        </w:trPr>
        <w:tc>
          <w:tcPr>
            <w:tcW w:w="136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between DXC Technology Services LLC and Sabre GLBL Inc.</w:t>
            </w:r>
          </w:p>
        </w:tc>
        <w:tc>
          <w:tcPr>
            <w:tcW w:w="54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10.139*</w:t>
            </w:r>
          </w:p>
        </w:tc>
        <w:tc>
          <w:tcPr>
            <w:tcW w:w="9940" w:type="dxa"/>
            <w:vAlign w:val="bottom"/>
            <w:gridSpan w:val="20"/>
          </w:tcPr>
          <w:p>
            <w:pPr>
              <w:spacing w:after="0"/>
              <w:rPr>
                <w:sz w:val="20"/>
                <w:szCs w:val="20"/>
                <w:color w:val="auto"/>
              </w:rPr>
            </w:pPr>
            <w:r>
              <w:rPr>
                <w:rFonts w:ascii="Arial" w:cs="Arial" w:eastAsia="Arial" w:hAnsi="Arial"/>
                <w:sz w:val="16"/>
                <w:szCs w:val="16"/>
                <w:color w:val="0000FF"/>
              </w:rPr>
              <w:t>Amendment Number 26 dated as of 21 December 2023 to that certain Service Agreement No. 1 effective as of 1 August 2020 by and</w:t>
            </w:r>
          </w:p>
        </w:tc>
      </w:tr>
      <w:tr>
        <w:trPr>
          <w:trHeight w:val="142"/>
        </w:trPr>
        <w:tc>
          <w:tcPr>
            <w:tcW w:w="1360" w:type="dxa"/>
            <w:vAlign w:val="bottom"/>
          </w:tcPr>
          <w:p>
            <w:pPr>
              <w:spacing w:after="0"/>
              <w:rPr>
                <w:sz w:val="12"/>
                <w:szCs w:val="12"/>
                <w:color w:val="auto"/>
              </w:rPr>
            </w:pPr>
          </w:p>
        </w:tc>
        <w:tc>
          <w:tcPr>
            <w:tcW w:w="988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between DXC Technology Services LLC and Sabre GLBL, Inc.</w:t>
            </w:r>
          </w:p>
        </w:tc>
        <w:tc>
          <w:tcPr>
            <w:tcW w:w="60" w:type="dxa"/>
            <w:vAlign w:val="bottom"/>
            <w:gridSpan w:val="3"/>
          </w:tcPr>
          <w:p>
            <w:pPr>
              <w:spacing w:after="0"/>
              <w:rPr>
                <w:sz w:val="12"/>
                <w:szCs w:val="12"/>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21.1*</w:t>
            </w:r>
          </w:p>
        </w:tc>
        <w:tc>
          <w:tcPr>
            <w:tcW w:w="448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List of Subsidiaries</w:t>
            </w:r>
          </w:p>
        </w:tc>
        <w:tc>
          <w:tcPr>
            <w:tcW w:w="5460" w:type="dxa"/>
            <w:vAlign w:val="bottom"/>
            <w:gridSpan w:val="1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23.1*</w:t>
            </w:r>
          </w:p>
        </w:tc>
        <w:tc>
          <w:tcPr>
            <w:tcW w:w="9940" w:type="dxa"/>
            <w:vAlign w:val="bottom"/>
            <w:gridSpan w:val="20"/>
          </w:tcPr>
          <w:p>
            <w:pPr>
              <w:spacing w:after="0"/>
              <w:rPr>
                <w:sz w:val="20"/>
                <w:szCs w:val="20"/>
                <w:color w:val="auto"/>
              </w:rPr>
            </w:pPr>
            <w:r>
              <w:rPr>
                <w:rFonts w:ascii="Arial" w:cs="Arial" w:eastAsia="Arial" w:hAnsi="Arial"/>
                <w:sz w:val="16"/>
                <w:szCs w:val="16"/>
                <w:color w:val="0000FF"/>
              </w:rPr>
              <w:t>Consent of Ernst &amp; Young LLP</w:t>
            </w:r>
          </w:p>
        </w:tc>
      </w:tr>
      <w:tr>
        <w:trPr>
          <w:trHeight w:val="20"/>
        </w:trPr>
        <w:tc>
          <w:tcPr>
            <w:tcW w:w="136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24.1*</w:t>
            </w:r>
          </w:p>
        </w:tc>
        <w:tc>
          <w:tcPr>
            <w:tcW w:w="34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Powers of Attorney (included on signature page)</w:t>
            </w:r>
          </w:p>
        </w:tc>
        <w:tc>
          <w:tcPr>
            <w:tcW w:w="6460" w:type="dxa"/>
            <w:vAlign w:val="bottom"/>
            <w:gridSpan w:val="16"/>
          </w:tcPr>
          <w:p>
            <w:pPr>
              <w:spacing w:after="0"/>
              <w:rPr>
                <w:sz w:val="17"/>
                <w:szCs w:val="17"/>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31.1*</w:t>
            </w:r>
          </w:p>
        </w:tc>
        <w:tc>
          <w:tcPr>
            <w:tcW w:w="70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Certification of Chief Executive Officer pursuant to Section 302 of the Sarbanes-Oxley Act of 2002</w:t>
            </w:r>
          </w:p>
        </w:tc>
        <w:tc>
          <w:tcPr>
            <w:tcW w:w="2920" w:type="dxa"/>
            <w:vAlign w:val="bottom"/>
            <w:gridSpan w:val="10"/>
          </w:tcPr>
          <w:p>
            <w:pPr>
              <w:spacing w:after="0"/>
              <w:rPr>
                <w:sz w:val="17"/>
                <w:szCs w:val="17"/>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31.2*</w:t>
            </w:r>
          </w:p>
        </w:tc>
        <w:tc>
          <w:tcPr>
            <w:tcW w:w="69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Certification of Chief Financial Officer pursuant to Section 302 of the Sarbanes-Oxley Act of 2002</w:t>
            </w:r>
          </w:p>
        </w:tc>
        <w:tc>
          <w:tcPr>
            <w:tcW w:w="2980" w:type="dxa"/>
            <w:vAlign w:val="bottom"/>
            <w:gridSpan w:val="11"/>
          </w:tcPr>
          <w:p>
            <w:pPr>
              <w:spacing w:after="0"/>
              <w:rPr>
                <w:sz w:val="17"/>
                <w:szCs w:val="17"/>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32.1*</w:t>
            </w:r>
          </w:p>
        </w:tc>
        <w:tc>
          <w:tcPr>
            <w:tcW w:w="70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Sarbanes-Oxley Act of 2002</w:t>
            </w:r>
          </w:p>
        </w:tc>
        <w:tc>
          <w:tcPr>
            <w:tcW w:w="2920" w:type="dxa"/>
            <w:vAlign w:val="bottom"/>
            <w:gridSpan w:val="10"/>
          </w:tcPr>
          <w:p>
            <w:pPr>
              <w:spacing w:after="0"/>
              <w:rPr>
                <w:sz w:val="17"/>
                <w:szCs w:val="17"/>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32.2*</w:t>
            </w:r>
          </w:p>
        </w:tc>
        <w:tc>
          <w:tcPr>
            <w:tcW w:w="69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Sarbanes-Oxley Act of 2002</w:t>
            </w:r>
          </w:p>
        </w:tc>
        <w:tc>
          <w:tcPr>
            <w:tcW w:w="2980" w:type="dxa"/>
            <w:vAlign w:val="bottom"/>
            <w:gridSpan w:val="11"/>
          </w:tcPr>
          <w:p>
            <w:pPr>
              <w:spacing w:after="0"/>
              <w:rPr>
                <w:sz w:val="17"/>
                <w:szCs w:val="17"/>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color w:val="auto"/>
              </w:rPr>
              <w:t>97.1*</w:t>
            </w:r>
          </w:p>
        </w:tc>
        <w:tc>
          <w:tcPr>
            <w:tcW w:w="9940" w:type="dxa"/>
            <w:vAlign w:val="bottom"/>
            <w:gridSpan w:val="20"/>
          </w:tcPr>
          <w:p>
            <w:pPr>
              <w:spacing w:after="0"/>
              <w:rPr>
                <w:sz w:val="20"/>
                <w:szCs w:val="20"/>
                <w:color w:val="auto"/>
              </w:rPr>
            </w:pPr>
            <w:r>
              <w:rPr>
                <w:rFonts w:ascii="Arial" w:cs="Arial" w:eastAsia="Arial" w:hAnsi="Arial"/>
                <w:sz w:val="16"/>
                <w:szCs w:val="16"/>
                <w:color w:val="0000FF"/>
              </w:rPr>
              <w:t>Sabre Corporation Clawback Policy relating to recovery of erroneously awarded compensation, as required by applicable listing</w:t>
            </w:r>
          </w:p>
        </w:tc>
      </w:tr>
      <w:tr>
        <w:trPr>
          <w:trHeight w:val="142"/>
        </w:trPr>
        <w:tc>
          <w:tcPr>
            <w:tcW w:w="136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standards adopted pursuant to 17 CFR 240.10D-1</w:t>
            </w:r>
          </w:p>
        </w:tc>
        <w:tc>
          <w:tcPr>
            <w:tcW w:w="6220" w:type="dxa"/>
            <w:vAlign w:val="bottom"/>
            <w:tcBorders>
              <w:top w:val="single" w:sz="8" w:color="0000FF"/>
            </w:tcBorders>
            <w:gridSpan w:val="10"/>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83"/>
        </w:trPr>
        <w:tc>
          <w:tcPr>
            <w:tcW w:w="1360" w:type="dxa"/>
            <w:vAlign w:val="bottom"/>
          </w:tcPr>
          <w:p>
            <w:pPr>
              <w:spacing w:after="0" w:line="183" w:lineRule="exact"/>
              <w:rPr>
                <w:sz w:val="20"/>
                <w:szCs w:val="20"/>
                <w:color w:val="auto"/>
              </w:rPr>
            </w:pPr>
            <w:r>
              <w:rPr>
                <w:rFonts w:ascii="Arial" w:cs="Arial" w:eastAsia="Arial" w:hAnsi="Arial"/>
                <w:sz w:val="16"/>
                <w:szCs w:val="16"/>
                <w:color w:val="auto"/>
              </w:rPr>
              <w:t>101.INS*</w:t>
            </w:r>
          </w:p>
        </w:tc>
        <w:tc>
          <w:tcPr>
            <w:tcW w:w="9940" w:type="dxa"/>
            <w:vAlign w:val="bottom"/>
            <w:gridSpan w:val="20"/>
          </w:tcPr>
          <w:p>
            <w:pPr>
              <w:spacing w:after="0" w:line="183"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215"/>
        </w:trPr>
        <w:tc>
          <w:tcPr>
            <w:tcW w:w="1360" w:type="dxa"/>
            <w:vAlign w:val="bottom"/>
          </w:tcPr>
          <w:p>
            <w:pPr>
              <w:spacing w:after="0"/>
              <w:rPr>
                <w:sz w:val="18"/>
                <w:szCs w:val="18"/>
                <w:color w:val="auto"/>
              </w:rPr>
            </w:pPr>
          </w:p>
        </w:tc>
        <w:tc>
          <w:tcPr>
            <w:tcW w:w="9940" w:type="dxa"/>
            <w:vAlign w:val="bottom"/>
            <w:gridSpan w:val="20"/>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15"/>
        </w:trPr>
        <w:tc>
          <w:tcPr>
            <w:tcW w:w="1360" w:type="dxa"/>
            <w:vAlign w:val="bottom"/>
          </w:tcPr>
          <w:p>
            <w:pPr>
              <w:spacing w:after="0"/>
              <w:rPr>
                <w:sz w:val="20"/>
                <w:szCs w:val="20"/>
                <w:color w:val="auto"/>
              </w:rPr>
            </w:pPr>
            <w:r>
              <w:rPr>
                <w:rFonts w:ascii="Arial" w:cs="Arial" w:eastAsia="Arial" w:hAnsi="Arial"/>
                <w:sz w:val="16"/>
                <w:szCs w:val="16"/>
                <w:color w:val="auto"/>
              </w:rPr>
              <w:t>101.SCH*</w:t>
            </w:r>
          </w:p>
        </w:tc>
        <w:tc>
          <w:tcPr>
            <w:tcW w:w="9940" w:type="dxa"/>
            <w:vAlign w:val="bottom"/>
            <w:gridSpan w:val="20"/>
          </w:tcPr>
          <w:p>
            <w:pPr>
              <w:spacing w:after="0"/>
              <w:rPr>
                <w:sz w:val="20"/>
                <w:szCs w:val="20"/>
                <w:color w:val="auto"/>
              </w:rPr>
            </w:pPr>
            <w:r>
              <w:rPr>
                <w:rFonts w:ascii="Arial" w:cs="Arial" w:eastAsia="Arial" w:hAnsi="Arial"/>
                <w:sz w:val="16"/>
                <w:szCs w:val="16"/>
                <w:color w:val="auto"/>
              </w:rPr>
              <w:t>Inline XBRL Taxonomy Extension Schema</w:t>
            </w: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101.CAL*</w:t>
            </w:r>
          </w:p>
        </w:tc>
        <w:tc>
          <w:tcPr>
            <w:tcW w:w="9940" w:type="dxa"/>
            <w:vAlign w:val="bottom"/>
            <w:gridSpan w:val="20"/>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101.DEF*</w:t>
            </w:r>
          </w:p>
        </w:tc>
        <w:tc>
          <w:tcPr>
            <w:tcW w:w="9940" w:type="dxa"/>
            <w:vAlign w:val="bottom"/>
            <w:gridSpan w:val="20"/>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101.LAB*</w:t>
            </w:r>
          </w:p>
        </w:tc>
        <w:tc>
          <w:tcPr>
            <w:tcW w:w="9940" w:type="dxa"/>
            <w:vAlign w:val="bottom"/>
            <w:gridSpan w:val="20"/>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216"/>
        </w:trPr>
        <w:tc>
          <w:tcPr>
            <w:tcW w:w="1360" w:type="dxa"/>
            <w:vAlign w:val="bottom"/>
          </w:tcPr>
          <w:p>
            <w:pPr>
              <w:spacing w:after="0"/>
              <w:rPr>
                <w:sz w:val="20"/>
                <w:szCs w:val="20"/>
                <w:color w:val="auto"/>
              </w:rPr>
            </w:pPr>
            <w:r>
              <w:rPr>
                <w:rFonts w:ascii="Arial" w:cs="Arial" w:eastAsia="Arial" w:hAnsi="Arial"/>
                <w:sz w:val="16"/>
                <w:szCs w:val="16"/>
                <w:color w:val="auto"/>
              </w:rPr>
              <w:t>101.PRE*</w:t>
            </w:r>
          </w:p>
        </w:tc>
        <w:tc>
          <w:tcPr>
            <w:tcW w:w="9940" w:type="dxa"/>
            <w:vAlign w:val="bottom"/>
            <w:gridSpan w:val="20"/>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164"/>
        </w:trPr>
        <w:tc>
          <w:tcPr>
            <w:tcW w:w="1360" w:type="dxa"/>
            <w:vAlign w:val="bottom"/>
          </w:tcPr>
          <w:p>
            <w:pPr>
              <w:spacing w:after="0" w:line="164" w:lineRule="exact"/>
              <w:rPr>
                <w:sz w:val="20"/>
                <w:szCs w:val="20"/>
                <w:color w:val="auto"/>
              </w:rPr>
            </w:pPr>
            <w:r>
              <w:rPr>
                <w:rFonts w:ascii="Arial" w:cs="Arial" w:eastAsia="Arial" w:hAnsi="Arial"/>
                <w:sz w:val="16"/>
                <w:szCs w:val="16"/>
                <w:color w:val="auto"/>
              </w:rPr>
              <w:t>104*</w:t>
            </w:r>
          </w:p>
        </w:tc>
        <w:tc>
          <w:tcPr>
            <w:tcW w:w="9940" w:type="dxa"/>
            <w:vAlign w:val="bottom"/>
            <w:gridSpan w:val="20"/>
          </w:tcPr>
          <w:p>
            <w:pPr>
              <w:spacing w:after="0" w:line="164" w:lineRule="exact"/>
              <w:rPr>
                <w:sz w:val="20"/>
                <w:szCs w:val="20"/>
                <w:color w:val="auto"/>
              </w:rPr>
            </w:pPr>
            <w:r>
              <w:rPr>
                <w:rFonts w:ascii="Arial" w:cs="Arial" w:eastAsia="Arial" w:hAnsi="Arial"/>
                <w:sz w:val="16"/>
                <w:szCs w:val="16"/>
                <w:color w:val="auto"/>
              </w:rPr>
              <w:t>Cover Page Interactive Data File - the cover page interactive data file does not appear in the Interactive Data File because its XBRL tags</w:t>
            </w:r>
          </w:p>
        </w:tc>
      </w:tr>
      <w:tr>
        <w:trPr>
          <w:trHeight w:val="215"/>
        </w:trPr>
        <w:tc>
          <w:tcPr>
            <w:tcW w:w="1360" w:type="dxa"/>
            <w:vAlign w:val="bottom"/>
          </w:tcPr>
          <w:p>
            <w:pPr>
              <w:spacing w:after="0"/>
              <w:rPr>
                <w:sz w:val="18"/>
                <w:szCs w:val="18"/>
                <w:color w:val="auto"/>
              </w:rPr>
            </w:pPr>
          </w:p>
        </w:tc>
        <w:tc>
          <w:tcPr>
            <w:tcW w:w="9940" w:type="dxa"/>
            <w:vAlign w:val="bottom"/>
            <w:gridSpan w:val="20"/>
          </w:tcPr>
          <w:p>
            <w:pPr>
              <w:spacing w:after="0"/>
              <w:rPr>
                <w:sz w:val="20"/>
                <w:szCs w:val="20"/>
                <w:color w:val="auto"/>
              </w:rPr>
            </w:pPr>
            <w:r>
              <w:rPr>
                <w:rFonts w:ascii="Arial" w:cs="Arial" w:eastAsia="Arial" w:hAnsi="Arial"/>
                <w:sz w:val="16"/>
                <w:szCs w:val="16"/>
                <w:color w:val="auto"/>
              </w:rPr>
              <w:t>are embedded within the Inline XBRL document.</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37" w:lineRule="exact"/>
        <w:rPr>
          <w:sz w:val="20"/>
          <w:szCs w:val="20"/>
          <w:color w:val="auto"/>
        </w:rPr>
      </w:pPr>
    </w:p>
    <w:p>
      <w:pPr>
        <w:ind w:left="320" w:hanging="294"/>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pacing w:after="0" w:line="32" w:lineRule="exact"/>
        <w:rPr>
          <w:sz w:val="20"/>
          <w:szCs w:val="20"/>
          <w:color w:val="auto"/>
        </w:rPr>
      </w:pPr>
    </w:p>
    <w:p>
      <w:pPr>
        <w:ind w:left="20" w:right="2880" w:firstLine="6"/>
        <w:spacing w:after="0" w:line="281" w:lineRule="auto"/>
        <w:tabs>
          <w:tab w:leader="none" w:pos="317"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Confidential treatment has been granted to portions of this exhibit by the Securities and Exchange Commission. * Filed herewith.</w:t>
      </w:r>
    </w:p>
    <w:p>
      <w:pPr>
        <w:spacing w:after="0" w:line="1" w:lineRule="exact"/>
        <w:rPr>
          <w:sz w:val="20"/>
          <w:szCs w:val="20"/>
          <w:color w:val="auto"/>
        </w:rPr>
      </w:pPr>
    </w:p>
    <w:p>
      <w:pPr>
        <w:ind w:left="320" w:right="220" w:hanging="294"/>
        <w:spacing w:after="0" w:line="234"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74"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SABRE CORPORATION</w:t>
      </w:r>
    </w:p>
    <w:p>
      <w:pPr>
        <w:spacing w:after="0" w:line="248" w:lineRule="exact"/>
        <w:rPr>
          <w:sz w:val="20"/>
          <w:szCs w:val="20"/>
          <w:color w:val="auto"/>
        </w:rPr>
      </w:pPr>
    </w:p>
    <w:p>
      <w:pPr>
        <w:ind w:left="20"/>
        <w:spacing w:after="0"/>
        <w:tabs>
          <w:tab w:leader="none" w:pos="600" w:val="left"/>
          <w:tab w:leader="none" w:pos="7060" w:val="left"/>
        </w:tabs>
        <w:rPr>
          <w:sz w:val="20"/>
          <w:szCs w:val="20"/>
          <w:color w:val="auto"/>
        </w:rPr>
      </w:pPr>
      <w:r>
        <w:rPr>
          <w:rFonts w:ascii="Arial" w:cs="Arial" w:eastAsia="Arial" w:hAnsi="Arial"/>
          <w:sz w:val="16"/>
          <w:szCs w:val="16"/>
          <w:color w:val="auto"/>
        </w:rPr>
        <w:t>Date:</w:t>
        <w:tab/>
        <w:t>February 15, 2024</w:t>
      </w:r>
      <w:r>
        <w:rPr>
          <w:sz w:val="20"/>
          <w:szCs w:val="20"/>
          <w:color w:val="auto"/>
        </w:rPr>
        <w:tab/>
      </w:r>
      <w:r>
        <w:rPr>
          <w:rFonts w:ascii="Arial" w:cs="Arial" w:eastAsia="Arial" w:hAnsi="Arial"/>
          <w:sz w:val="16"/>
          <w:szCs w:val="16"/>
          <w:color w:val="auto"/>
        </w:rPr>
        <w:t>By: /s/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20955</wp:posOffset>
            </wp:positionV>
            <wp:extent cx="24599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8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Executive Vice President and</w:t>
      </w:r>
    </w:p>
    <w:p>
      <w:pPr>
        <w:spacing w:after="0" w:line="32"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Chief Financial Officer</w:t>
      </w:r>
    </w:p>
    <w:p>
      <w:pPr>
        <w:spacing w:after="0" w:line="2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KNOW ALL BY THESE PRESENTS, that each individual whose signature appears below constitutes and appoints Kurt Ekert, Michael Randolfi, and Steve Milton, and each of them, his or her true and lawful attorney-in-fact and agent, with full power of substitution, for him or her and in his or her name, place and stead, in any and all capacities, to execute any or all amendments to this Annual Report on Form 10-K and to file the same, with all exhibits thereto, and all documents in connection therewith, with the Securities and Exchange Commission, granting unto said attorney-in-fact and agent,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82" w:lineRule="exact"/>
        <w:rPr>
          <w:sz w:val="20"/>
          <w:szCs w:val="20"/>
          <w:color w:val="auto"/>
        </w:rPr>
      </w:pPr>
    </w:p>
    <w:p>
      <w:pPr>
        <w:ind w:right="360" w:firstLine="486"/>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Kurt Ekert</w:t>
            </w:r>
          </w:p>
        </w:tc>
        <w:tc>
          <w:tcPr>
            <w:tcW w:w="4920" w:type="dxa"/>
            <w:vAlign w:val="bottom"/>
          </w:tcPr>
          <w:p>
            <w:pPr>
              <w:ind w:left="320"/>
              <w:spacing w:after="0"/>
              <w:rPr>
                <w:sz w:val="20"/>
                <w:szCs w:val="20"/>
                <w:color w:val="auto"/>
              </w:rPr>
            </w:pPr>
            <w:r>
              <w:rPr>
                <w:rFonts w:ascii="Arial" w:cs="Arial" w:eastAsia="Arial" w:hAnsi="Arial"/>
                <w:sz w:val="16"/>
                <w:szCs w:val="16"/>
                <w:color w:val="auto"/>
              </w:rPr>
              <w:t>Chief Executive Officer, President and 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10"/>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Kurt Ekert</w:t>
            </w:r>
          </w:p>
        </w:tc>
        <w:tc>
          <w:tcPr>
            <w:tcW w:w="4920" w:type="dxa"/>
            <w:vAlign w:val="bottom"/>
          </w:tcPr>
          <w:p>
            <w:pPr>
              <w:ind w:left="320"/>
              <w:spacing w:after="0"/>
              <w:rPr>
                <w:sz w:val="20"/>
                <w:szCs w:val="20"/>
                <w:color w:val="auto"/>
              </w:rPr>
            </w:pPr>
            <w:r>
              <w:rPr>
                <w:rFonts w:ascii="Arial" w:cs="Arial" w:eastAsia="Arial" w:hAnsi="Arial"/>
                <w:sz w:val="16"/>
                <w:szCs w:val="16"/>
                <w:color w:val="auto"/>
              </w:rPr>
              <w:t>(Principal Executive Officer)</w:t>
            </w:r>
          </w:p>
        </w:tc>
        <w:tc>
          <w:tcPr>
            <w:tcW w:w="2340" w:type="dxa"/>
            <w:vAlign w:val="bottom"/>
          </w:tcPr>
          <w:p>
            <w:pPr>
              <w:spacing w:after="0"/>
              <w:rPr>
                <w:sz w:val="18"/>
                <w:szCs w:val="18"/>
                <w:color w:val="auto"/>
              </w:rPr>
            </w:pPr>
          </w:p>
        </w:tc>
      </w:tr>
      <w:tr>
        <w:trPr>
          <w:trHeight w:val="431"/>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Randolfi</w:t>
            </w:r>
          </w:p>
        </w:tc>
        <w:tc>
          <w:tcPr>
            <w:tcW w:w="4920" w:type="dxa"/>
            <w:vAlign w:val="bottom"/>
          </w:tcPr>
          <w:p>
            <w:pPr>
              <w:ind w:left="320"/>
              <w:spacing w:after="0"/>
              <w:rPr>
                <w:sz w:val="20"/>
                <w:szCs w:val="20"/>
                <w:color w:val="auto"/>
              </w:rPr>
            </w:pPr>
            <w:r>
              <w:rPr>
                <w:rFonts w:ascii="Arial" w:cs="Arial" w:eastAsia="Arial" w:hAnsi="Arial"/>
                <w:sz w:val="16"/>
                <w:szCs w:val="16"/>
                <w:color w:val="auto"/>
              </w:rPr>
              <w:t>Executive Vice President and Chief Financial Officer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10"/>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Michael Randolfi</w:t>
            </w:r>
          </w:p>
        </w:tc>
        <w:tc>
          <w:tcPr>
            <w:tcW w:w="4920" w:type="dxa"/>
            <w:vAlign w:val="bottom"/>
          </w:tcPr>
          <w:p>
            <w:pPr>
              <w:ind w:left="320"/>
              <w:spacing w:after="0"/>
              <w:rPr>
                <w:sz w:val="20"/>
                <w:szCs w:val="20"/>
                <w:color w:val="auto"/>
              </w:rPr>
            </w:pPr>
            <w:r>
              <w:rPr>
                <w:rFonts w:ascii="Arial" w:cs="Arial" w:eastAsia="Arial" w:hAnsi="Arial"/>
                <w:sz w:val="16"/>
                <w:szCs w:val="16"/>
                <w:color w:val="auto"/>
              </w:rPr>
              <w:t>(Principal Financial Officer)</w:t>
            </w:r>
          </w:p>
        </w:tc>
        <w:tc>
          <w:tcPr>
            <w:tcW w:w="2340" w:type="dxa"/>
            <w:vAlign w:val="bottom"/>
          </w:tcPr>
          <w:p>
            <w:pPr>
              <w:spacing w:after="0"/>
              <w:rPr>
                <w:sz w:val="18"/>
                <w:szCs w:val="18"/>
                <w:color w:val="auto"/>
              </w:rPr>
            </w:pPr>
          </w:p>
        </w:tc>
      </w:tr>
      <w:tr>
        <w:trPr>
          <w:trHeight w:val="431"/>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Jami B. Kindle</w:t>
            </w:r>
          </w:p>
        </w:tc>
        <w:tc>
          <w:tcPr>
            <w:tcW w:w="4920" w:type="dxa"/>
            <w:vAlign w:val="bottom"/>
          </w:tcPr>
          <w:p>
            <w:pPr>
              <w:ind w:left="320"/>
              <w:spacing w:after="0"/>
              <w:rPr>
                <w:sz w:val="20"/>
                <w:szCs w:val="20"/>
                <w:color w:val="auto"/>
              </w:rPr>
            </w:pPr>
            <w:r>
              <w:rPr>
                <w:rFonts w:ascii="Arial" w:cs="Arial" w:eastAsia="Arial" w:hAnsi="Arial"/>
                <w:sz w:val="16"/>
                <w:szCs w:val="16"/>
                <w:color w:val="auto"/>
              </w:rPr>
              <w:t>Senior Vice President and Chief Accounting Officer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10"/>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Jami B. Kindle</w:t>
            </w:r>
          </w:p>
        </w:tc>
        <w:tc>
          <w:tcPr>
            <w:tcW w:w="4920" w:type="dxa"/>
            <w:vAlign w:val="bottom"/>
          </w:tcPr>
          <w:p>
            <w:pPr>
              <w:ind w:left="320"/>
              <w:spacing w:after="0"/>
              <w:rPr>
                <w:sz w:val="20"/>
                <w:szCs w:val="20"/>
                <w:color w:val="auto"/>
              </w:rPr>
            </w:pPr>
            <w:r>
              <w:rPr>
                <w:rFonts w:ascii="Arial" w:cs="Arial" w:eastAsia="Arial" w:hAnsi="Arial"/>
                <w:sz w:val="16"/>
                <w:szCs w:val="16"/>
                <w:color w:val="auto"/>
              </w:rPr>
              <w:t>(Principal Accounting Officer)</w:t>
            </w:r>
          </w:p>
        </w:tc>
        <w:tc>
          <w:tcPr>
            <w:tcW w:w="2340" w:type="dxa"/>
            <w:vAlign w:val="bottom"/>
          </w:tcPr>
          <w:p>
            <w:pPr>
              <w:spacing w:after="0"/>
              <w:rPr>
                <w:sz w:val="18"/>
                <w:szCs w:val="18"/>
                <w:color w:val="auto"/>
              </w:rPr>
            </w:pPr>
          </w:p>
        </w:tc>
      </w:tr>
      <w:tr>
        <w:trPr>
          <w:trHeight w:val="365"/>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George Bravante, Jr.</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George Bravante, Jr.</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365"/>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Hervé Couturier</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Hervé Couturier</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365"/>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Rachel Gonzalez</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Rachel Gonzalez</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Gail Mandel</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Gail Mandel</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Sean Menke</w:t>
            </w:r>
          </w:p>
        </w:tc>
        <w:tc>
          <w:tcPr>
            <w:tcW w:w="4920" w:type="dxa"/>
            <w:vAlign w:val="bottom"/>
          </w:tcPr>
          <w:p>
            <w:pPr>
              <w:ind w:left="320"/>
              <w:spacing w:after="0"/>
              <w:rPr>
                <w:sz w:val="20"/>
                <w:szCs w:val="20"/>
                <w:color w:val="auto"/>
              </w:rPr>
            </w:pPr>
            <w:r>
              <w:rPr>
                <w:rFonts w:ascii="Arial" w:cs="Arial" w:eastAsia="Arial" w:hAnsi="Arial"/>
                <w:sz w:val="16"/>
                <w:szCs w:val="16"/>
                <w:color w:val="auto"/>
              </w:rPr>
              <w:t>Executive Chair of the Board and 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Sean Menke</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Phyllis Newhouse</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Phyllis Newhouse</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Karl Peterson</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17, 2023</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Karl Peterson</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Zane Rowe</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Zane Rowe</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Gregg Saretsky</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Gregg Saretsky</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Scott</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John Scott</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446"/>
        </w:trPr>
        <w:tc>
          <w:tcPr>
            <w:tcW w:w="50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Wendi Sturgis</w:t>
            </w:r>
          </w:p>
        </w:tc>
        <w:tc>
          <w:tcPr>
            <w:tcW w:w="4920" w:type="dxa"/>
            <w:vAlign w:val="bottom"/>
          </w:tcPr>
          <w:p>
            <w:pPr>
              <w:ind w:left="320"/>
              <w:spacing w:after="0"/>
              <w:rPr>
                <w:sz w:val="20"/>
                <w:szCs w:val="20"/>
                <w:color w:val="auto"/>
              </w:rPr>
            </w:pPr>
            <w:r>
              <w:rPr>
                <w:rFonts w:ascii="Arial" w:cs="Arial" w:eastAsia="Arial" w:hAnsi="Arial"/>
                <w:sz w:val="16"/>
                <w:szCs w:val="16"/>
                <w:color w:val="auto"/>
              </w:rPr>
              <w:t>Director</w:t>
            </w:r>
          </w:p>
        </w:tc>
        <w:tc>
          <w:tcPr>
            <w:tcW w:w="2340" w:type="dxa"/>
            <w:vAlign w:val="bottom"/>
          </w:tcPr>
          <w:p>
            <w:pPr>
              <w:ind w:left="840"/>
              <w:spacing w:after="0"/>
              <w:rPr>
                <w:sz w:val="20"/>
                <w:szCs w:val="20"/>
                <w:color w:val="auto"/>
              </w:rPr>
            </w:pPr>
            <w:r>
              <w:rPr>
                <w:rFonts w:ascii="Arial" w:cs="Arial" w:eastAsia="Arial" w:hAnsi="Arial"/>
                <w:sz w:val="16"/>
                <w:szCs w:val="16"/>
                <w:color w:val="auto"/>
              </w:rPr>
              <w:t>February 15, 2024</w:t>
            </w:r>
          </w:p>
        </w:tc>
      </w:tr>
      <w:tr>
        <w:trPr>
          <w:trHeight w:val="209"/>
        </w:trPr>
        <w:tc>
          <w:tcPr>
            <w:tcW w:w="5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Wendi Sturgis</w:t>
            </w:r>
          </w:p>
        </w:tc>
        <w:tc>
          <w:tcPr>
            <w:tcW w:w="49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863"/>
        </w:trPr>
        <w:tc>
          <w:tcPr>
            <w:tcW w:w="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920" w:type="dxa"/>
            <w:vAlign w:val="bottom"/>
          </w:tcPr>
          <w:p>
            <w:pPr>
              <w:ind w:left="1520"/>
              <w:spacing w:after="0"/>
              <w:rPr>
                <w:sz w:val="20"/>
                <w:szCs w:val="20"/>
                <w:color w:val="auto"/>
              </w:rPr>
            </w:pPr>
            <w:r>
              <w:rPr>
                <w:rFonts w:ascii="Arial" w:cs="Arial" w:eastAsia="Arial" w:hAnsi="Arial"/>
                <w:sz w:val="16"/>
                <w:szCs w:val="16"/>
                <w:color w:val="auto"/>
              </w:rPr>
              <w:t>113</w:t>
            </w:r>
          </w:p>
        </w:tc>
        <w:tc>
          <w:tcPr>
            <w:tcW w:w="2340" w:type="dxa"/>
            <w:vAlign w:val="bottom"/>
          </w:tcPr>
          <w:p>
            <w:pPr>
              <w:spacing w:after="0"/>
              <w:rPr>
                <w:sz w:val="24"/>
                <w:szCs w:val="24"/>
                <w:color w:val="auto"/>
              </w:rPr>
            </w:pPr>
          </w:p>
        </w:tc>
      </w:tr>
      <w:tr>
        <w:trPr>
          <w:trHeight w:val="117"/>
        </w:trPr>
        <w:tc>
          <w:tcPr>
            <w:tcW w:w="5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2023, 2022 AND 2021</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Balance at</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Charged to</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Write-offs and</w:t>
            </w:r>
          </w:p>
        </w:tc>
        <w:tc>
          <w:tcPr>
            <w:tcW w:w="160" w:type="dxa"/>
            <w:vAlign w:val="bottom"/>
          </w:tcPr>
          <w:p>
            <w:pPr>
              <w:spacing w:after="0"/>
              <w:rPr>
                <w:sz w:val="13"/>
                <w:szCs w:val="13"/>
                <w:color w:val="auto"/>
              </w:rPr>
            </w:pPr>
          </w:p>
        </w:tc>
        <w:tc>
          <w:tcPr>
            <w:tcW w:w="1060" w:type="dxa"/>
            <w:vAlign w:val="bottom"/>
            <w:vMerge w:val="restart"/>
          </w:tcPr>
          <w:p>
            <w:pPr>
              <w:jc w:val="right"/>
              <w:ind w:right="224"/>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22"/>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Expense or</w:t>
            </w:r>
          </w:p>
        </w:tc>
        <w:tc>
          <w:tcPr>
            <w:tcW w:w="1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Beginning</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Other Accounts</w:t>
            </w:r>
          </w:p>
        </w:tc>
        <w:tc>
          <w:tcPr>
            <w:tcW w:w="16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 Adjustments</w:t>
            </w:r>
          </w:p>
        </w:tc>
        <w:tc>
          <w:tcPr>
            <w:tcW w:w="160" w:type="dxa"/>
            <w:vAlign w:val="bottom"/>
          </w:tcPr>
          <w:p>
            <w:pPr>
              <w:spacing w:after="0"/>
              <w:rPr>
                <w:sz w:val="15"/>
                <w:szCs w:val="15"/>
                <w:color w:val="auto"/>
              </w:rPr>
            </w:pPr>
          </w:p>
        </w:tc>
        <w:tc>
          <w:tcPr>
            <w:tcW w:w="1060" w:type="dxa"/>
            <w:vAlign w:val="bottom"/>
          </w:tcPr>
          <w:p>
            <w:pPr>
              <w:jc w:val="right"/>
              <w:ind w:right="124"/>
              <w:spacing w:after="0"/>
              <w:rPr>
                <w:sz w:val="20"/>
                <w:szCs w:val="20"/>
                <w:color w:val="auto"/>
              </w:rPr>
            </w:pPr>
            <w:r>
              <w:rPr>
                <w:rFonts w:ascii="Arial" w:cs="Arial" w:eastAsia="Arial" w:hAnsi="Arial"/>
                <w:sz w:val="13"/>
                <w:szCs w:val="13"/>
                <w:b w:val="1"/>
                <w:bCs w:val="1"/>
                <w:color w:val="auto"/>
                <w:w w:val="99"/>
              </w:rPr>
              <w:t>End of Period</w:t>
            </w:r>
          </w:p>
        </w:tc>
        <w:tc>
          <w:tcPr>
            <w:tcW w:w="0" w:type="dxa"/>
            <w:vAlign w:val="bottom"/>
          </w:tcPr>
          <w:p>
            <w:pPr>
              <w:spacing w:after="0"/>
              <w:rPr>
                <w:sz w:val="1"/>
                <w:szCs w:val="1"/>
                <w:color w:val="auto"/>
              </w:rPr>
            </w:pPr>
          </w:p>
        </w:tc>
      </w:tr>
      <w:tr>
        <w:trPr>
          <w:trHeight w:val="21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651.4</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Year ended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Year ended December 31, 2021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268.1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80"/>
          </w:cols>
          <w:pgMar w:left="360" w:top="895" w:right="35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SABRE CORPORATION’S SECURITIES REGISTERED</w:t>
      </w:r>
    </w:p>
    <w:p>
      <w:pPr>
        <w:jc w:val="center"/>
        <w:spacing w:after="0"/>
        <w:rPr>
          <w:sz w:val="20"/>
          <w:szCs w:val="20"/>
          <w:color w:val="auto"/>
        </w:rPr>
      </w:pPr>
      <w:r>
        <w:rPr>
          <w:rFonts w:ascii="Arial" w:cs="Arial" w:eastAsia="Arial" w:hAnsi="Arial"/>
          <w:sz w:val="20"/>
          <w:szCs w:val="20"/>
          <w:b w:val="1"/>
          <w:bCs w:val="1"/>
          <w:color w:val="auto"/>
        </w:rPr>
        <w:t>PURSUANT TO SECTION 12 OF THE SECURITIES EXCHANGE ACT OF 1934</w:t>
      </w:r>
    </w:p>
    <w:p>
      <w:pPr>
        <w:spacing w:after="0" w:line="211" w:lineRule="exact"/>
        <w:rPr>
          <w:sz w:val="20"/>
          <w:szCs w:val="20"/>
          <w:color w:val="auto"/>
        </w:rPr>
      </w:pPr>
    </w:p>
    <w:p>
      <w:pPr>
        <w:ind w:right="20" w:firstLine="583"/>
        <w:spacing w:after="0" w:line="241" w:lineRule="auto"/>
        <w:rPr>
          <w:sz w:val="20"/>
          <w:szCs w:val="20"/>
          <w:color w:val="auto"/>
        </w:rPr>
      </w:pPr>
      <w:r>
        <w:rPr>
          <w:rFonts w:ascii="Arial" w:cs="Arial" w:eastAsia="Arial" w:hAnsi="Arial"/>
          <w:sz w:val="20"/>
          <w:szCs w:val="20"/>
          <w:color w:val="auto"/>
        </w:rPr>
        <w:t>The following is a description of the material terms of the common stock, $0.01 par value per share (the “common stock”), of Sabre Corporation (the “Company,” “we,” “our” or “us”), which is the only security of the Company registered pursuant to Section 12 of the Securities Exchange Act of 1934, as amended (the “Exchange Act”).</w:t>
      </w:r>
    </w:p>
    <w:p>
      <w:pPr>
        <w:spacing w:after="0" w:line="198" w:lineRule="exact"/>
        <w:rPr>
          <w:sz w:val="20"/>
          <w:szCs w:val="20"/>
          <w:color w:val="auto"/>
        </w:rPr>
      </w:pPr>
    </w:p>
    <w:p>
      <w:pPr>
        <w:ind w:right="140" w:firstLine="583"/>
        <w:spacing w:after="0" w:line="237" w:lineRule="auto"/>
        <w:rPr>
          <w:sz w:val="20"/>
          <w:szCs w:val="20"/>
          <w:color w:val="auto"/>
        </w:rPr>
      </w:pPr>
      <w:r>
        <w:rPr>
          <w:rFonts w:ascii="Arial" w:cs="Arial" w:eastAsia="Arial" w:hAnsi="Arial"/>
          <w:sz w:val="20"/>
          <w:szCs w:val="20"/>
          <w:color w:val="auto"/>
        </w:rPr>
        <w:t>This description may not contain all of the information that is important to you. To understand them fully, you should read our fourth amended and restated certificate of incorporation (the “Certificate of Incorporation”) and seventh amended and restated bylaws (the “Bylaws”), copies of which are filed as exhibits to our Annual Report on Form 10-K, as well as the relevant portions of the Delaware General Corporation Law, as amended (“DGCL”).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Generally</w:t>
      </w:r>
    </w:p>
    <w:p>
      <w:pPr>
        <w:spacing w:after="0" w:line="218" w:lineRule="exact"/>
        <w:rPr>
          <w:sz w:val="20"/>
          <w:szCs w:val="20"/>
          <w:color w:val="auto"/>
        </w:rPr>
      </w:pPr>
    </w:p>
    <w:p>
      <w:pPr>
        <w:ind w:right="120" w:firstLine="583"/>
        <w:spacing w:after="0" w:line="271" w:lineRule="auto"/>
        <w:rPr>
          <w:sz w:val="20"/>
          <w:szCs w:val="20"/>
          <w:color w:val="auto"/>
        </w:rPr>
      </w:pPr>
      <w:r>
        <w:rPr>
          <w:rFonts w:ascii="Arial" w:cs="Arial" w:eastAsia="Arial" w:hAnsi="Arial"/>
          <w:sz w:val="20"/>
          <w:szCs w:val="20"/>
          <w:color w:val="auto"/>
        </w:rPr>
        <w:t>Our Certificate of Incorporation authorizes the issuance of up to 1 billion shares of common stock, par value $0.01. None of our outstanding common stock has been designated as non-voting.</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231" w:lineRule="exact"/>
        <w:rPr>
          <w:sz w:val="20"/>
          <w:szCs w:val="20"/>
          <w:color w:val="auto"/>
        </w:rPr>
      </w:pPr>
    </w:p>
    <w:p>
      <w:pPr>
        <w:ind w:right="180" w:firstLine="583"/>
        <w:spacing w:after="0" w:line="246" w:lineRule="auto"/>
        <w:rPr>
          <w:sz w:val="20"/>
          <w:szCs w:val="20"/>
          <w:color w:val="auto"/>
        </w:rPr>
      </w:pPr>
      <w:r>
        <w:rPr>
          <w:rFonts w:ascii="Arial" w:cs="Arial" w:eastAsia="Arial" w:hAnsi="Arial"/>
          <w:sz w:val="20"/>
          <w:szCs w:val="20"/>
          <w:color w:val="auto"/>
        </w:rPr>
        <w:t>Except as otherwise provided in our Certificate of Incorporation or required by law,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Except for the election of directors, if a quorum is present, an action on a matter is approved if the votes cast favoring the action or matter exceed the votes cast against the action or matter, unless the vote of a greater number is required by applicable law, the DGCL, our Certificate of Incorporation or our Bylaws. The election of directors in an uncontested election will be determined by a majority of the votes cast with respect to that director’s election, requiring the number of votes cast “for” a director’s election to exceed the number of votes cast “against” that director. The rights, preferences and privileges of holders of common stock are subject to, and may be impacted by, the rights of the holders of shares of any series of preferred stock that we may designate and issue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18" w:lineRule="exact"/>
        <w:rPr>
          <w:sz w:val="20"/>
          <w:szCs w:val="20"/>
          <w:color w:val="auto"/>
        </w:rPr>
      </w:pPr>
    </w:p>
    <w:p>
      <w:pPr>
        <w:ind w:right="280" w:firstLine="583"/>
        <w:spacing w:after="0" w:line="271" w:lineRule="auto"/>
        <w:rPr>
          <w:sz w:val="20"/>
          <w:szCs w:val="20"/>
          <w:color w:val="auto"/>
        </w:rPr>
      </w:pPr>
      <w:r>
        <w:rPr>
          <w:rFonts w:ascii="Arial" w:cs="Arial" w:eastAsia="Arial" w:hAnsi="Arial"/>
          <w:sz w:val="20"/>
          <w:szCs w:val="20"/>
          <w:color w:val="auto"/>
        </w:rPr>
        <w:t>Holders of our common stock are entitled to receive ratably those dividends, if any, as may be declared by the board of directors out of legally available funds.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Liquidation, Dissolution, and Winding Up</w:t>
      </w:r>
    </w:p>
    <w:p>
      <w:pPr>
        <w:spacing w:after="0" w:line="218" w:lineRule="exact"/>
        <w:rPr>
          <w:sz w:val="20"/>
          <w:szCs w:val="20"/>
          <w:color w:val="auto"/>
        </w:rPr>
      </w:pPr>
    </w:p>
    <w:p>
      <w:pPr>
        <w:ind w:right="380" w:firstLine="583"/>
        <w:spacing w:after="0" w:line="243" w:lineRule="auto"/>
        <w:rPr>
          <w:sz w:val="20"/>
          <w:szCs w:val="20"/>
          <w:color w:val="auto"/>
        </w:rPr>
      </w:pPr>
      <w:r>
        <w:rPr>
          <w:rFonts w:ascii="Arial" w:cs="Arial" w:eastAsia="Arial" w:hAnsi="Arial"/>
          <w:sz w:val="20"/>
          <w:szCs w:val="20"/>
          <w:color w:val="auto"/>
        </w:rPr>
        <w:t>Upon our liquidation, dissolution or winding up, the holders of our common stock will be entitled to share ratably in the net assets legally available for distribution to stockholders after the payment of all of our debts and other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Preemptive Rights</w:t>
      </w:r>
    </w:p>
    <w:p>
      <w:pPr>
        <w:spacing w:after="0" w:line="231" w:lineRule="exact"/>
        <w:rPr>
          <w:sz w:val="20"/>
          <w:szCs w:val="20"/>
          <w:color w:val="auto"/>
        </w:rPr>
      </w:pPr>
    </w:p>
    <w:p>
      <w:pPr>
        <w:ind w:right="560" w:firstLine="583"/>
        <w:spacing w:after="0" w:line="257" w:lineRule="auto"/>
        <w:rPr>
          <w:sz w:val="20"/>
          <w:szCs w:val="20"/>
          <w:color w:val="auto"/>
        </w:rPr>
      </w:pPr>
      <w:r>
        <w:rPr>
          <w:rFonts w:ascii="Arial" w:cs="Arial" w:eastAsia="Arial" w:hAnsi="Arial"/>
          <w:sz w:val="20"/>
          <w:szCs w:val="20"/>
          <w:color w:val="auto"/>
        </w:rPr>
        <w:t>Holders of our common stock have no preemptive or conversion rights or other subscription rights, and there are no redemption or sinking funds provisions applicable to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Equiniti Trust Company, LLC, is the transfer agent and registrar for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Exchange</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Our common stock is listed on The Nasdaq Stock Market under the symbol “SABR.”</w:t>
      </w:r>
    </w:p>
    <w:p>
      <w:pPr>
        <w:sectPr>
          <w:pgSz w:w="11900" w:h="16838" w:orient="portrait"/>
          <w:cols w:equalWidth="0" w:num="1">
            <w:col w:w="11240"/>
          </w:cols>
          <w:pgMar w:left="320" w:top="725" w:right="3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b w:val="1"/>
          <w:bCs w:val="1"/>
          <w:color w:val="auto"/>
        </w:rPr>
        <w:t>Assessment</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All outstanding shares of our common stock are fully paid and nonassessable.</w:t>
      </w:r>
    </w:p>
    <w:p>
      <w:pPr>
        <w:spacing w:after="0" w:line="200"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Preferred Stock</w:t>
      </w:r>
    </w:p>
    <w:p>
      <w:pPr>
        <w:spacing w:after="0" w:line="218" w:lineRule="exact"/>
        <w:rPr>
          <w:sz w:val="20"/>
          <w:szCs w:val="20"/>
          <w:color w:val="auto"/>
        </w:rPr>
      </w:pPr>
    </w:p>
    <w:p>
      <w:pPr>
        <w:ind w:right="140" w:firstLine="583"/>
        <w:spacing w:after="0" w:line="239" w:lineRule="auto"/>
        <w:rPr>
          <w:sz w:val="20"/>
          <w:szCs w:val="20"/>
          <w:color w:val="auto"/>
        </w:rPr>
      </w:pPr>
      <w:r>
        <w:rPr>
          <w:rFonts w:ascii="Arial" w:cs="Arial" w:eastAsia="Arial" w:hAnsi="Arial"/>
          <w:sz w:val="19"/>
          <w:szCs w:val="19"/>
          <w:color w:val="auto"/>
        </w:rPr>
        <w:t>Our Certificate of Incorporation authorizes the issuance of up to 225 million shares of preferred stock. Under our Certificate of Incorporation, our board of directors may issue additional shares of preferred stock, without stockholder approval,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9"/>
          <w:szCs w:val="19"/>
          <w:color w:val="auto"/>
        </w:rPr>
        <w:t>in such series and with such designations, preferences, conversion or other rights, powers, including voting powers, and qualifications, limitations or restrictions thereof, as the board of directors deems appropriate. The board of directors could, without stockholder approval, issue shares of preferred stock with voting, conversion and other rights that could adversely affect the voting power and impact other rights of the holders of the common stock. Our board of directors may issue shares of</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preferred stock as an anti-takeover measure without any further action by the holders of common stock. This may have the effect of delaying, deferring or preventing a change of control of our company by increasing the number of shares necessary to gain control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Certificate of Incorporation and Our Bylaws</w:t>
      </w:r>
    </w:p>
    <w:p>
      <w:pPr>
        <w:spacing w:after="0" w:line="231" w:lineRule="exact"/>
        <w:rPr>
          <w:sz w:val="20"/>
          <w:szCs w:val="20"/>
          <w:color w:val="auto"/>
        </w:rPr>
      </w:pPr>
    </w:p>
    <w:p>
      <w:pPr>
        <w:ind w:firstLine="583"/>
        <w:spacing w:after="0" w:line="261" w:lineRule="auto"/>
        <w:rPr>
          <w:sz w:val="20"/>
          <w:szCs w:val="20"/>
          <w:color w:val="auto"/>
        </w:rPr>
      </w:pPr>
      <w:r>
        <w:rPr>
          <w:rFonts w:ascii="Arial" w:cs="Arial" w:eastAsia="Arial" w:hAnsi="Arial"/>
          <w:sz w:val="20"/>
          <w:szCs w:val="20"/>
          <w:color w:val="auto"/>
        </w:rPr>
        <w:t>Our Certificate of Incorporation and our Bylaws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 These provisions include:</w:t>
      </w:r>
    </w:p>
    <w:p>
      <w:pPr>
        <w:spacing w:after="0" w:line="194" w:lineRule="exact"/>
        <w:rPr>
          <w:sz w:val="20"/>
          <w:szCs w:val="20"/>
          <w:color w:val="auto"/>
        </w:rPr>
      </w:pPr>
    </w:p>
    <w:p>
      <w:pPr>
        <w:ind w:right="40" w:firstLine="583"/>
        <w:spacing w:after="0" w:line="246" w:lineRule="auto"/>
        <w:rPr>
          <w:sz w:val="20"/>
          <w:szCs w:val="20"/>
          <w:color w:val="auto"/>
        </w:rPr>
      </w:pPr>
      <w:r>
        <w:rPr>
          <w:rFonts w:ascii="Arial" w:cs="Arial" w:eastAsia="Arial" w:hAnsi="Arial"/>
          <w:sz w:val="20"/>
          <w:szCs w:val="20"/>
          <w:i w:val="1"/>
          <w:iCs w:val="1"/>
          <w:color w:val="auto"/>
        </w:rPr>
        <w:t>Authorized but Unissued or Undesignated Capital Stock</w:t>
      </w:r>
      <w:r>
        <w:rPr>
          <w:rFonts w:ascii="Arial" w:cs="Arial" w:eastAsia="Arial" w:hAnsi="Arial"/>
          <w:sz w:val="20"/>
          <w:szCs w:val="20"/>
          <w:color w:val="auto"/>
        </w:rPr>
        <w:t>. Our authorized capital stock consists of 1 billion shares of</w:t>
      </w:r>
      <w:r>
        <w:rPr>
          <w:rFonts w:ascii="Arial" w:cs="Arial" w:eastAsia="Arial" w:hAnsi="Arial"/>
          <w:sz w:val="20"/>
          <w:szCs w:val="20"/>
          <w:i w:val="1"/>
          <w:iCs w:val="1"/>
          <w:color w:val="auto"/>
        </w:rPr>
        <w:t xml:space="preserve"> </w:t>
      </w:r>
      <w:r>
        <w:rPr>
          <w:rFonts w:ascii="Arial" w:cs="Arial" w:eastAsia="Arial" w:hAnsi="Arial"/>
          <w:sz w:val="20"/>
          <w:szCs w:val="20"/>
          <w:color w:val="auto"/>
        </w:rPr>
        <w:t>common stock and 225 million shares of preferred stock. A large quantity of authorized but unissued shares may deter potential takeover attempts because of the ability of our board of directors to authorize the issuance of some or all of these shares to a friendly party, or to the public,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of control. The preferred stock could also be used in connection with the issuance of a shareholder rights plan, sometimes referred to as a “poison pill.” Our board of directors is able to implement a shareholder rights plan without further action by our stockholders. The board of directors does not intend to seek stockholder approval prior to any issuance of preferred or common stock, unless otherwise required by law.</w:t>
      </w:r>
    </w:p>
    <w:p>
      <w:pPr>
        <w:spacing w:after="0" w:line="250" w:lineRule="exact"/>
        <w:rPr>
          <w:sz w:val="20"/>
          <w:szCs w:val="20"/>
          <w:color w:val="auto"/>
        </w:rPr>
      </w:pPr>
    </w:p>
    <w:p>
      <w:pPr>
        <w:ind w:right="580" w:firstLine="583"/>
        <w:spacing w:after="0" w:line="328" w:lineRule="auto"/>
        <w:rPr>
          <w:sz w:val="20"/>
          <w:szCs w:val="20"/>
          <w:color w:val="auto"/>
        </w:rPr>
      </w:pPr>
      <w:r>
        <w:rPr>
          <w:rFonts w:ascii="Arial" w:cs="Arial" w:eastAsia="Arial" w:hAnsi="Arial"/>
          <w:sz w:val="20"/>
          <w:szCs w:val="20"/>
          <w:i w:val="1"/>
          <w:iCs w:val="1"/>
          <w:color w:val="auto"/>
        </w:rPr>
        <w:t>Action by Written Consent</w:t>
      </w:r>
      <w:r>
        <w:rPr>
          <w:rFonts w:ascii="Arial" w:cs="Arial" w:eastAsia="Arial" w:hAnsi="Arial"/>
          <w:sz w:val="20"/>
          <w:szCs w:val="20"/>
          <w:color w:val="auto"/>
        </w:rPr>
        <w:t>. Our Certificate of Incorporation provides that stockholder action can be taken only at an</w:t>
      </w:r>
      <w:r>
        <w:rPr>
          <w:rFonts w:ascii="Arial" w:cs="Arial" w:eastAsia="Arial" w:hAnsi="Arial"/>
          <w:sz w:val="20"/>
          <w:szCs w:val="20"/>
          <w:i w:val="1"/>
          <w:iCs w:val="1"/>
          <w:color w:val="auto"/>
        </w:rPr>
        <w:t xml:space="preserve"> </w:t>
      </w:r>
      <w:r>
        <w:rPr>
          <w:rFonts w:ascii="Arial" w:cs="Arial" w:eastAsia="Arial" w:hAnsi="Arial"/>
          <w:sz w:val="20"/>
          <w:szCs w:val="20"/>
          <w:color w:val="auto"/>
        </w:rPr>
        <w:t>annual meeting or special meeting of stockholders and cannot be taken by written consent in lieu of a meeting.</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9"/>
          <w:szCs w:val="19"/>
          <w:i w:val="1"/>
          <w:iCs w:val="1"/>
          <w:color w:val="auto"/>
        </w:rPr>
        <w:t>Special Meetings of Stockholders</w:t>
      </w:r>
      <w:r>
        <w:rPr>
          <w:rFonts w:ascii="Arial" w:cs="Arial" w:eastAsia="Arial" w:hAnsi="Arial"/>
          <w:sz w:val="19"/>
          <w:szCs w:val="19"/>
          <w:color w:val="auto"/>
        </w:rPr>
        <w:t>. Our Certificate of Incorporation provides that special meetings of our stockholders may</w:t>
      </w:r>
    </w:p>
    <w:p>
      <w:pPr>
        <w:spacing w:after="0" w:line="16" w:lineRule="exact"/>
        <w:rPr>
          <w:sz w:val="20"/>
          <w:szCs w:val="20"/>
          <w:color w:val="auto"/>
        </w:rPr>
      </w:pPr>
    </w:p>
    <w:p>
      <w:pPr>
        <w:ind w:right="740"/>
        <w:spacing w:after="0" w:line="232" w:lineRule="auto"/>
        <w:rPr>
          <w:sz w:val="20"/>
          <w:szCs w:val="20"/>
          <w:color w:val="auto"/>
        </w:rPr>
      </w:pPr>
      <w:r>
        <w:rPr>
          <w:rFonts w:ascii="Arial" w:cs="Arial" w:eastAsia="Arial" w:hAnsi="Arial"/>
          <w:sz w:val="20"/>
          <w:szCs w:val="20"/>
          <w:color w:val="auto"/>
        </w:rPr>
        <w:t>be called only by our board of directors or the chairman of the board of directors. Our Bylaws prohibit the conduct of any business at a special meeting other than as specified in the notice for such meeting.</w:t>
      </w:r>
    </w:p>
    <w:p>
      <w:pPr>
        <w:spacing w:after="0" w:line="212" w:lineRule="exact"/>
        <w:rPr>
          <w:sz w:val="20"/>
          <w:szCs w:val="20"/>
          <w:color w:val="auto"/>
        </w:rPr>
      </w:pPr>
    </w:p>
    <w:p>
      <w:pPr>
        <w:ind w:right="100" w:firstLine="583"/>
        <w:spacing w:after="0" w:line="246" w:lineRule="auto"/>
        <w:rPr>
          <w:sz w:val="20"/>
          <w:szCs w:val="20"/>
          <w:color w:val="auto"/>
        </w:rPr>
      </w:pPr>
      <w:r>
        <w:rPr>
          <w:rFonts w:ascii="Arial" w:cs="Arial" w:eastAsia="Arial" w:hAnsi="Arial"/>
          <w:sz w:val="20"/>
          <w:szCs w:val="20"/>
          <w:i w:val="1"/>
          <w:iCs w:val="1"/>
          <w:color w:val="auto"/>
        </w:rPr>
        <w:t>Advance Notice Procedures</w:t>
      </w:r>
      <w:r>
        <w:rPr>
          <w:rFonts w:ascii="Arial" w:cs="Arial" w:eastAsia="Arial" w:hAnsi="Arial"/>
          <w:sz w:val="20"/>
          <w:szCs w:val="20"/>
          <w:color w:val="auto"/>
        </w:rPr>
        <w:t>. Our Bylaws establish advance notice procedures with respect to stockholder proposals and</w:t>
      </w:r>
      <w:r>
        <w:rPr>
          <w:rFonts w:ascii="Arial" w:cs="Arial" w:eastAsia="Arial" w:hAnsi="Arial"/>
          <w:sz w:val="20"/>
          <w:szCs w:val="20"/>
          <w:i w:val="1"/>
          <w:iCs w:val="1"/>
          <w:color w:val="auto"/>
        </w:rPr>
        <w:t xml:space="preserve"> </w:t>
      </w:r>
      <w:r>
        <w:rPr>
          <w:rFonts w:ascii="Arial" w:cs="Arial" w:eastAsia="Arial" w:hAnsi="Arial"/>
          <w:sz w:val="20"/>
          <w:szCs w:val="20"/>
          <w:color w:val="auto"/>
        </w:rPr>
        <w:t>the nomination of candidates for election as directors, other than nominations made by or at the direction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Our Bylaws also specify requirements as to the form and content of a stockholder’s notice. Under our Bylaws, the board of directors may adopt by resolution the rules and regulations for the conduct of meetings. Except to the extent inconsistent with such rules and regulations adopted by the board of directors, the chairman of the meeting of stockholders shall have the right to adopt rules and regulations for the conduct of meetings, which may have the effect of precluding the conduct of certain business at</w:t>
      </w:r>
    </w:p>
    <w:p>
      <w:pPr>
        <w:sectPr>
          <w:pgSz w:w="11900" w:h="16838" w:orient="portrait"/>
          <w:cols w:equalWidth="0" w:num="1">
            <w:col w:w="11220"/>
          </w:cols>
          <w:pgMar w:left="320" w:top="723" w:right="359" w:bottom="1440" w:gutter="0" w:footer="0" w:header="0"/>
        </w:sectPr>
      </w:pPr>
    </w:p>
    <w:bookmarkStart w:id="118" w:name="page119"/>
    <w:bookmarkEnd w:id="118"/>
    <w:p>
      <w:pPr>
        <w:jc w:val="both"/>
        <w:ind w:right="780"/>
        <w:spacing w:after="0" w:line="255" w:lineRule="auto"/>
        <w:rPr>
          <w:sz w:val="20"/>
          <w:szCs w:val="20"/>
          <w:color w:val="auto"/>
        </w:rPr>
      </w:pPr>
      <w:r>
        <w:rPr>
          <w:rFonts w:ascii="Arial" w:cs="Arial" w:eastAsia="Arial" w:hAnsi="Arial"/>
          <w:sz w:val="20"/>
          <w:szCs w:val="20"/>
          <w:color w:val="auto"/>
        </w:rPr>
        <w:t>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212" w:lineRule="exact"/>
        <w:rPr>
          <w:sz w:val="20"/>
          <w:szCs w:val="20"/>
          <w:color w:val="auto"/>
        </w:rPr>
      </w:pPr>
    </w:p>
    <w:p>
      <w:pPr>
        <w:ind w:right="80" w:firstLine="583"/>
        <w:spacing w:after="0" w:line="244" w:lineRule="auto"/>
        <w:rPr>
          <w:sz w:val="20"/>
          <w:szCs w:val="20"/>
          <w:color w:val="auto"/>
        </w:rPr>
      </w:pPr>
      <w:r>
        <w:rPr>
          <w:rFonts w:ascii="Arial" w:cs="Arial" w:eastAsia="Arial" w:hAnsi="Arial"/>
          <w:sz w:val="20"/>
          <w:szCs w:val="20"/>
          <w:i w:val="1"/>
          <w:iCs w:val="1"/>
          <w:color w:val="auto"/>
        </w:rPr>
        <w:t>Proxy Access</w:t>
      </w:r>
      <w:r>
        <w:rPr>
          <w:rFonts w:ascii="Arial" w:cs="Arial" w:eastAsia="Arial" w:hAnsi="Arial"/>
          <w:sz w:val="20"/>
          <w:szCs w:val="20"/>
          <w:color w:val="auto"/>
        </w:rPr>
        <w:t>. Our Bylaws permit a qualified stockholder or group of stockholders to include up to a specified number of</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 nominees in our proxy materials for an annual meeting of stockholders. To qualify, the stockholder (or group of up to 20 stockholders) must have continuously owned for at least three years 3% or more of our outstanding common stock. The maximum number of stockholder nominees permitted under the proxy access provisions of our Bylaws is generally the greater of (x) two or (y) 20% of the total number of our directors in office (rounded down to the nearest whole number) as of the last day on which notice of a nomination may be delivered. Notice of a nomination under these provisions must generally be received at our principal executive offices no earlier than 150 days and no later than 120 days before the anniversary of the date that we commenced mailing of our definitive proxy statement for the previous year’s annual meeting of stockholders. The notice must contain certain information specified in our Bylaws. The complete proxy access provisions for director nominations are set forth in our Bylaws.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 with Interested Stockholders</w:t>
      </w:r>
    </w:p>
    <w:p>
      <w:pPr>
        <w:spacing w:after="0" w:line="231" w:lineRule="exact"/>
        <w:rPr>
          <w:sz w:val="20"/>
          <w:szCs w:val="20"/>
          <w:color w:val="auto"/>
        </w:rPr>
      </w:pPr>
    </w:p>
    <w:p>
      <w:pPr>
        <w:ind w:right="80" w:firstLine="583"/>
        <w:spacing w:after="0" w:line="257" w:lineRule="auto"/>
        <w:rPr>
          <w:sz w:val="20"/>
          <w:szCs w:val="20"/>
          <w:color w:val="auto"/>
        </w:rPr>
      </w:pPr>
      <w:r>
        <w:rPr>
          <w:rFonts w:ascii="Arial" w:cs="Arial" w:eastAsia="Arial" w:hAnsi="Arial"/>
          <w:sz w:val="20"/>
          <w:szCs w:val="20"/>
          <w:color w:val="auto"/>
        </w:rPr>
        <w:t>Pursuant to our Certificate of Incorporation, we are subject to the provisions of Section 203 of the DGCL, which regulates business combinations with “interested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Opportunities</w:t>
      </w:r>
    </w:p>
    <w:p>
      <w:pPr>
        <w:spacing w:after="0" w:line="218" w:lineRule="exact"/>
        <w:rPr>
          <w:sz w:val="20"/>
          <w:szCs w:val="20"/>
          <w:color w:val="auto"/>
        </w:rPr>
      </w:pPr>
    </w:p>
    <w:p>
      <w:pPr>
        <w:ind w:firstLine="583"/>
        <w:spacing w:after="0" w:line="250" w:lineRule="auto"/>
        <w:rPr>
          <w:sz w:val="20"/>
          <w:szCs w:val="20"/>
          <w:color w:val="auto"/>
        </w:rPr>
      </w:pPr>
      <w:r>
        <w:rPr>
          <w:rFonts w:ascii="Arial" w:cs="Arial" w:eastAsia="Arial" w:hAnsi="Arial"/>
          <w:sz w:val="20"/>
          <w:szCs w:val="20"/>
          <w:color w:val="auto"/>
        </w:rPr>
        <w:t>Our Certificate of Incorporation provides that we renounce, to the fullest extent permitted by applicable law, any interest or expectancy in the business opportunities of certain Exempted Persons (as defined in our Certificate of Incorporation). In addition our Certificate of Incorporation provides that the Exempted Persons have no obligation to offer us or even communicate to us an opportunity to participate in business opportunities presented to such Exempted Person even if the opportunity is one that we might reasonably have pursued (and therefore may be free to compete with us in the same business or similar businesses of which we or our affiliates now engage or propose to engage) and that, to the fullest extent permitted by applicable law, the Exempted Persons will not be liable to us or our stockholders for breach of any duty by reason of any such activities described immediately above. Stockholders are deemed to have notice of and consented to this provision of our Certificate of Incorporation.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 of Liability and Indemnification of Officers and Directors</w:t>
      </w:r>
    </w:p>
    <w:p>
      <w:pPr>
        <w:spacing w:after="0" w:line="231" w:lineRule="exact"/>
        <w:rPr>
          <w:sz w:val="20"/>
          <w:szCs w:val="20"/>
          <w:color w:val="auto"/>
        </w:rPr>
      </w:pPr>
    </w:p>
    <w:p>
      <w:pPr>
        <w:ind w:right="80" w:firstLine="583"/>
        <w:spacing w:after="0" w:line="246" w:lineRule="auto"/>
        <w:rPr>
          <w:sz w:val="20"/>
          <w:szCs w:val="20"/>
          <w:color w:val="auto"/>
        </w:rPr>
      </w:pPr>
      <w:r>
        <w:rPr>
          <w:rFonts w:ascii="Arial" w:cs="Arial" w:eastAsia="Arial" w:hAnsi="Arial"/>
          <w:sz w:val="20"/>
          <w:szCs w:val="20"/>
          <w:color w:val="auto"/>
        </w:rPr>
        <w:t>Our Certificate of Incorporation provides that no director shall be personally liable to us or any of our stockholders for monetary damages for breach of fiduciary duty as a director, except to the extent such exemption from liability or limitation thereof is not permitted under the DGCL. Our Bylaws provide that we will indemnify, to the fullest extent permitted by the DGCL, any person made or threatened to be made a party to any action or is involved in a proceeding by reason of the fact that the person is or was our director or officer, or our director or officer who, while a director or officer, is or was serving at our request as a director, officer, employee, agent or manager of another corporation, partnership, limited liability company, joint venture, trust or other enterprise or non-profit entity, including service with respect to an employee benefit plan. Our Bylaws also provide that, subject to applicable law, we may, by action of our board of directors, grant rights to indemnification and</w:t>
      </w:r>
    </w:p>
    <w:p>
      <w:pPr>
        <w:spacing w:after="0" w:line="207" w:lineRule="exact"/>
        <w:rPr>
          <w:sz w:val="20"/>
          <w:szCs w:val="20"/>
          <w:color w:val="auto"/>
        </w:rPr>
      </w:pPr>
    </w:p>
    <w:p>
      <w:pPr>
        <w:jc w:val="both"/>
        <w:ind w:right="140"/>
        <w:spacing w:after="0" w:line="248" w:lineRule="auto"/>
        <w:rPr>
          <w:sz w:val="20"/>
          <w:szCs w:val="20"/>
          <w:color w:val="auto"/>
        </w:rPr>
      </w:pPr>
      <w:r>
        <w:rPr>
          <w:rFonts w:ascii="Arial" w:cs="Arial" w:eastAsia="Arial" w:hAnsi="Arial"/>
          <w:sz w:val="20"/>
          <w:szCs w:val="20"/>
          <w:color w:val="auto"/>
        </w:rPr>
        <w:t>advancement of expenses to persons other than our directors and officers with such scope and effect as the board of directors may then determine. We have entered into customary indemnification agreements with each of our directors that provide them, in general, with customary indemnification in connection with their service to us or on our behalf.</w:t>
      </w:r>
    </w:p>
    <w:p>
      <w:pPr>
        <w:spacing w:after="0" w:line="192" w:lineRule="exact"/>
        <w:rPr>
          <w:sz w:val="20"/>
          <w:szCs w:val="20"/>
          <w:color w:val="auto"/>
        </w:rPr>
      </w:pPr>
    </w:p>
    <w:p>
      <w:pPr>
        <w:ind w:right="60" w:firstLine="583"/>
        <w:spacing w:after="0" w:line="247" w:lineRule="auto"/>
        <w:rPr>
          <w:sz w:val="20"/>
          <w:szCs w:val="20"/>
          <w:color w:val="auto"/>
        </w:rPr>
      </w:pPr>
      <w:r>
        <w:rPr>
          <w:rFonts w:ascii="Arial" w:cs="Arial" w:eastAsia="Arial" w:hAnsi="Arial"/>
          <w:sz w:val="20"/>
          <w:szCs w:val="20"/>
          <w:color w:val="auto"/>
        </w:rPr>
        <w:t>Insofar as indemnification for liabilities arising under the Securities Act of 1933, as amended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739" w:right="3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Choice of Forum</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Our Certificate of Incorporation provides that unless we consent to the selection of an alternate forum, the Court of</w:t>
      </w:r>
    </w:p>
    <w:p>
      <w:pPr>
        <w:spacing w:after="0" w:line="4" w:lineRule="exact"/>
        <w:rPr>
          <w:sz w:val="20"/>
          <w:szCs w:val="20"/>
          <w:color w:val="auto"/>
        </w:rPr>
      </w:pPr>
    </w:p>
    <w:p>
      <w:pPr>
        <w:ind w:right="260"/>
        <w:spacing w:after="0" w:line="229" w:lineRule="auto"/>
        <w:rPr>
          <w:sz w:val="20"/>
          <w:szCs w:val="20"/>
          <w:color w:val="auto"/>
        </w:rPr>
      </w:pPr>
      <w:r>
        <w:rPr>
          <w:rFonts w:ascii="Arial" w:cs="Arial" w:eastAsia="Arial" w:hAnsi="Arial"/>
          <w:sz w:val="19"/>
          <w:szCs w:val="19"/>
          <w:color w:val="auto"/>
        </w:rPr>
        <w:t>Chancery of the State of Delaware is the sole and exclusive forum for any derivative action or proceeding brought on our behalf; any action asserting a breach of fiduciary duty; any action asserting a claim against us arising pursuant to the DGCL,</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Certificate of Incorporation or Bylaws; or any action asserting a claim against us that is governed by the internal affairs doctrine. Any person or entity purchasing or otherwise acquiring any interest in our securities shall be deemed to have notice of and consented to the forum provisions in our Certificate of Incorporation.</w:t>
      </w:r>
    </w:p>
    <w:p>
      <w:pPr>
        <w:sectPr>
          <w:pgSz w:w="11900" w:h="16838" w:orient="portrait"/>
          <w:cols w:equalWidth="0" w:num="1">
            <w:col w:w="11120"/>
          </w:cols>
          <w:pgMar w:left="320" w:top="966" w:right="45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10.138</w:t>
      </w:r>
    </w:p>
    <w:p>
      <w:pPr>
        <w:jc w:val="right"/>
        <w:spacing w:after="0" w:line="211" w:lineRule="auto"/>
        <w:rPr>
          <w:sz w:val="20"/>
          <w:szCs w:val="20"/>
          <w:color w:val="auto"/>
        </w:rPr>
      </w:pPr>
      <w:r>
        <w:rPr>
          <w:rFonts w:ascii="Times New Roman" w:cs="Times New Roman" w:eastAsia="Times New Roman" w:hAnsi="Times New Roman"/>
          <w:sz w:val="20"/>
          <w:szCs w:val="20"/>
          <w:b w:val="1"/>
          <w:bCs w:val="1"/>
          <w:color w:val="auto"/>
        </w:rPr>
        <w:t>10 March 2023</w:t>
      </w:r>
    </w:p>
    <w:p>
      <w:pPr>
        <w:jc w:val="right"/>
        <w:spacing w:after="0"/>
        <w:rPr>
          <w:sz w:val="20"/>
          <w:szCs w:val="20"/>
          <w:color w:val="auto"/>
        </w:rPr>
      </w:pPr>
      <w:r>
        <w:rPr>
          <w:rFonts w:ascii="Times New Roman" w:cs="Times New Roman" w:eastAsia="Times New Roman" w:hAnsi="Times New Roman"/>
          <w:sz w:val="20"/>
          <w:szCs w:val="20"/>
          <w:b w:val="1"/>
          <w:bCs w:val="1"/>
          <w:color w:val="auto"/>
        </w:rPr>
        <w:t>AMENDMENT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AMENDMENT NUMBER 25 TO</w:t>
      </w:r>
    </w:p>
    <w:p>
      <w:pPr>
        <w:ind w:left="4240"/>
        <w:spacing w:after="0"/>
        <w:rPr>
          <w:sz w:val="20"/>
          <w:szCs w:val="20"/>
          <w:color w:val="auto"/>
        </w:rPr>
      </w:pPr>
      <w:r>
        <w:rPr>
          <w:rFonts w:ascii="Times New Roman" w:cs="Times New Roman" w:eastAsia="Times New Roman" w:hAnsi="Times New Roman"/>
          <w:sz w:val="20"/>
          <w:szCs w:val="20"/>
          <w:b w:val="1"/>
          <w:bCs w:val="1"/>
          <w:color w:val="auto"/>
        </w:rPr>
        <w:t>SERVICE AGREEMENT NO. 1</w:t>
      </w:r>
    </w:p>
    <w:p>
      <w:pPr>
        <w:spacing w:after="0" w:line="176" w:lineRule="exact"/>
        <w:rPr>
          <w:sz w:val="20"/>
          <w:szCs w:val="20"/>
          <w:color w:val="auto"/>
        </w:rPr>
      </w:pPr>
    </w:p>
    <w:p>
      <w:pPr>
        <w:ind w:firstLine="242"/>
        <w:spacing w:after="0" w:line="224" w:lineRule="auto"/>
        <w:rPr>
          <w:sz w:val="20"/>
          <w:szCs w:val="20"/>
          <w:color w:val="auto"/>
        </w:rPr>
      </w:pPr>
      <w:r>
        <w:rPr>
          <w:rFonts w:ascii="Times New Roman" w:cs="Times New Roman" w:eastAsia="Times New Roman" w:hAnsi="Times New Roman"/>
          <w:sz w:val="20"/>
          <w:szCs w:val="20"/>
          <w:color w:val="auto"/>
        </w:rPr>
        <w:t>This Amendment Number 25 (“</w:t>
      </w:r>
      <w:r>
        <w:rPr>
          <w:rFonts w:ascii="Times New Roman" w:cs="Times New Roman" w:eastAsia="Times New Roman" w:hAnsi="Times New Roman"/>
          <w:sz w:val="20"/>
          <w:szCs w:val="20"/>
          <w:b w:val="1"/>
          <w:bCs w:val="1"/>
          <w:i w:val="1"/>
          <w:iCs w:val="1"/>
          <w:color w:val="auto"/>
        </w:rPr>
        <w:t>Amendment 25</w:t>
      </w:r>
      <w:r>
        <w:rPr>
          <w:rFonts w:ascii="Times New Roman" w:cs="Times New Roman" w:eastAsia="Times New Roman" w:hAnsi="Times New Roman"/>
          <w:sz w:val="20"/>
          <w:szCs w:val="20"/>
          <w:color w:val="auto"/>
        </w:rPr>
        <w:t>”), dated as of 10 March 2023 (“</w:t>
      </w:r>
      <w:r>
        <w:rPr>
          <w:rFonts w:ascii="Times New Roman" w:cs="Times New Roman" w:eastAsia="Times New Roman" w:hAnsi="Times New Roman"/>
          <w:sz w:val="20"/>
          <w:szCs w:val="20"/>
          <w:b w:val="1"/>
          <w:bCs w:val="1"/>
          <w:i w:val="1"/>
          <w:iCs w:val="1"/>
          <w:color w:val="auto"/>
        </w:rPr>
        <w:t>Amendment 25 Effective Date</w:t>
      </w:r>
      <w:r>
        <w:rPr>
          <w:rFonts w:ascii="Times New Roman" w:cs="Times New Roman" w:eastAsia="Times New Roman" w:hAnsi="Times New Roman"/>
          <w:sz w:val="20"/>
          <w:szCs w:val="20"/>
          <w:color w:val="auto"/>
        </w:rPr>
        <w:t>”), by and between DXC Technology Services LLC, successor in interest to HP Enterprise Services, LLC (“</w:t>
      </w:r>
      <w:r>
        <w:rPr>
          <w:rFonts w:ascii="Times New Roman" w:cs="Times New Roman" w:eastAsia="Times New Roman" w:hAnsi="Times New Roman"/>
          <w:sz w:val="20"/>
          <w:szCs w:val="20"/>
          <w:b w:val="1"/>
          <w:bCs w:val="1"/>
          <w:i w:val="1"/>
          <w:iCs w:val="1"/>
          <w:color w:val="auto"/>
        </w:rPr>
        <w:t>Provider</w:t>
      </w:r>
      <w:r>
        <w:rPr>
          <w:rFonts w:ascii="Times New Roman" w:cs="Times New Roman" w:eastAsia="Times New Roman" w:hAnsi="Times New Roman"/>
          <w:sz w:val="20"/>
          <w:szCs w:val="20"/>
          <w:color w:val="auto"/>
        </w:rPr>
        <w:t>”) and Sabre GLBL Inc. (“</w:t>
      </w:r>
      <w:r>
        <w:rPr>
          <w:rFonts w:ascii="Times New Roman" w:cs="Times New Roman" w:eastAsia="Times New Roman" w:hAnsi="Times New Roman"/>
          <w:sz w:val="20"/>
          <w:szCs w:val="20"/>
          <w:b w:val="1"/>
          <w:bCs w:val="1"/>
          <w:i w:val="1"/>
          <w:iCs w:val="1"/>
          <w:color w:val="auto"/>
        </w:rPr>
        <w:t>Customer</w:t>
      </w:r>
      <w:r>
        <w:rPr>
          <w:rFonts w:ascii="Times New Roman" w:cs="Times New Roman" w:eastAsia="Times New Roman" w:hAnsi="Times New Roman"/>
          <w:sz w:val="20"/>
          <w:szCs w:val="20"/>
          <w:color w:val="auto"/>
        </w:rPr>
        <w:t>”) amends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certain Service Agreement No. 1, by and between Provider and Customer, dated as of 1 August 2020 (“</w:t>
      </w:r>
      <w:r>
        <w:rPr>
          <w:rFonts w:ascii="Times New Roman" w:cs="Times New Roman" w:eastAsia="Times New Roman" w:hAnsi="Times New Roman"/>
          <w:sz w:val="20"/>
          <w:szCs w:val="20"/>
          <w:b w:val="1"/>
          <w:bCs w:val="1"/>
          <w:i w:val="1"/>
          <w:iCs w:val="1"/>
          <w:color w:val="auto"/>
        </w:rPr>
        <w:t>Service Agreement No. 1</w:t>
      </w:r>
      <w:r>
        <w:rPr>
          <w:rFonts w:ascii="Times New Roman" w:cs="Times New Roman" w:eastAsia="Times New Roman" w:hAnsi="Times New Roman"/>
          <w:sz w:val="20"/>
          <w:szCs w:val="20"/>
          <w:color w:val="auto"/>
        </w:rPr>
        <w:t>”), made pursuant to that certain Amended and Restated Master Services Agreement by and between Provider and Customer, also dated as of 1</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August 2020 (the “</w:t>
      </w:r>
      <w:r>
        <w:rPr>
          <w:rFonts w:ascii="Times New Roman" w:cs="Times New Roman" w:eastAsia="Times New Roman" w:hAnsi="Times New Roman"/>
          <w:sz w:val="19"/>
          <w:szCs w:val="19"/>
          <w:b w:val="1"/>
          <w:bCs w:val="1"/>
          <w:i w:val="1"/>
          <w:iCs w:val="1"/>
          <w:color w:val="auto"/>
        </w:rPr>
        <w:t>Master Agreement</w:t>
      </w:r>
      <w:r>
        <w:rPr>
          <w:rFonts w:ascii="Times New Roman" w:cs="Times New Roman" w:eastAsia="Times New Roman" w:hAnsi="Times New Roman"/>
          <w:sz w:val="19"/>
          <w:szCs w:val="19"/>
          <w:color w:val="auto"/>
        </w:rPr>
        <w:t>”). The Master Agreement and Service Agreement No. 1 are collectively known as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WHEREAS, Customer and Provider desire to amend certain terms and conditions of Service Agreement No. 1, as further described herein.</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NOW, THEREFORE, in consideration of the mutual covenants contained herein, and intending to be legally bound, Customer and</w:t>
      </w:r>
    </w:p>
    <w:p>
      <w:pPr>
        <w:spacing w:after="0"/>
        <w:rPr>
          <w:sz w:val="20"/>
          <w:szCs w:val="20"/>
          <w:color w:val="auto"/>
        </w:rPr>
      </w:pPr>
      <w:r>
        <w:rPr>
          <w:rFonts w:ascii="Times New Roman" w:cs="Times New Roman" w:eastAsia="Times New Roman" w:hAnsi="Times New Roman"/>
          <w:sz w:val="20"/>
          <w:szCs w:val="20"/>
          <w:color w:val="auto"/>
        </w:rPr>
        <w:t>Provider hereby agree as follows:</w:t>
      </w:r>
    </w:p>
    <w:p>
      <w:pPr>
        <w:spacing w:after="0" w:line="176" w:lineRule="exact"/>
        <w:rPr>
          <w:sz w:val="20"/>
          <w:szCs w:val="20"/>
          <w:color w:val="auto"/>
        </w:rPr>
      </w:pPr>
    </w:p>
    <w:p>
      <w:pPr>
        <w:jc w:val="both"/>
        <w:ind w:left="660" w:right="240" w:hanging="652"/>
        <w:spacing w:after="0" w:line="232" w:lineRule="auto"/>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Attachments and Appendices to Service Agreement No. 1</w:t>
      </w:r>
      <w:r>
        <w:rPr>
          <w:rFonts w:ascii="Times New Roman" w:cs="Times New Roman" w:eastAsia="Times New Roman" w:hAnsi="Times New Roman"/>
          <w:sz w:val="20"/>
          <w:szCs w:val="20"/>
          <w:color w:val="auto"/>
        </w:rPr>
        <w:t>. In order to reflect the amendments agreed to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the following documents are hereby replaced in their entirety in the form attached to this Amendment 25 as the applicable Attachment number referred to in the below table for such document:</w:t>
      </w:r>
    </w:p>
    <w:p>
      <w:pPr>
        <w:spacing w:after="0" w:line="190" w:lineRule="exact"/>
        <w:rPr>
          <w:sz w:val="20"/>
          <w:szCs w:val="20"/>
          <w:color w:val="auto"/>
        </w:rPr>
      </w:pPr>
    </w:p>
    <w:tbl>
      <w:tblPr>
        <w:tblLayout w:type="fixed"/>
        <w:tblInd w:w="430" w:type="dxa"/>
        <w:tblCellMar>
          <w:top w:w="0" w:type="dxa"/>
          <w:left w:w="0" w:type="dxa"/>
          <w:bottom w:w="0" w:type="dxa"/>
          <w:right w:w="0" w:type="dxa"/>
        </w:tblCellMar>
      </w:tblPr>
      <w:tr>
        <w:trPr>
          <w:trHeight w:val="203"/>
        </w:trPr>
        <w:tc>
          <w:tcPr>
            <w:tcW w:w="2980" w:type="dxa"/>
            <w:vAlign w:val="bottom"/>
            <w:tcBorders>
              <w:top w:val="single" w:sz="8" w:color="auto"/>
              <w:left w:val="single" w:sz="8" w:color="auto"/>
              <w:right w:val="single" w:sz="8" w:color="auto"/>
            </w:tcBorders>
            <w:shd w:val="clear" w:color="auto" w:fill="D9D9D9"/>
          </w:tcPr>
          <w:p>
            <w:pPr>
              <w:ind w:left="40"/>
              <w:spacing w:after="0" w:line="203" w:lineRule="exact"/>
              <w:rPr>
                <w:sz w:val="20"/>
                <w:szCs w:val="20"/>
                <w:color w:val="auto"/>
              </w:rPr>
            </w:pPr>
            <w:r>
              <w:rPr>
                <w:rFonts w:ascii="Times New Roman" w:cs="Times New Roman" w:eastAsia="Times New Roman" w:hAnsi="Times New Roman"/>
                <w:sz w:val="20"/>
                <w:szCs w:val="20"/>
                <w:b w:val="1"/>
                <w:bCs w:val="1"/>
                <w:color w:val="auto"/>
              </w:rPr>
              <w:t>Service Agreement No. 1</w:t>
            </w:r>
          </w:p>
        </w:tc>
        <w:tc>
          <w:tcPr>
            <w:tcW w:w="4260" w:type="dxa"/>
            <w:vAlign w:val="bottom"/>
            <w:tcBorders>
              <w:top w:val="single" w:sz="8" w:color="auto"/>
              <w:right w:val="single" w:sz="8" w:color="auto"/>
            </w:tcBorders>
            <w:shd w:val="clear" w:color="auto" w:fill="D9D9D9"/>
          </w:tcPr>
          <w:p>
            <w:pPr>
              <w:ind w:left="60"/>
              <w:spacing w:after="0" w:line="203" w:lineRule="exact"/>
              <w:rPr>
                <w:sz w:val="20"/>
                <w:szCs w:val="20"/>
                <w:color w:val="auto"/>
              </w:rPr>
            </w:pPr>
            <w:r>
              <w:rPr>
                <w:rFonts w:ascii="Times New Roman" w:cs="Times New Roman" w:eastAsia="Times New Roman" w:hAnsi="Times New Roman"/>
                <w:sz w:val="20"/>
                <w:szCs w:val="20"/>
                <w:b w:val="1"/>
                <w:bCs w:val="1"/>
                <w:color w:val="auto"/>
              </w:rPr>
              <w:t>Document Name</w:t>
            </w:r>
          </w:p>
        </w:tc>
        <w:tc>
          <w:tcPr>
            <w:tcW w:w="3100" w:type="dxa"/>
            <w:vAlign w:val="bottom"/>
            <w:tcBorders>
              <w:top w:val="single" w:sz="8" w:color="auto"/>
              <w:right w:val="single" w:sz="8" w:color="auto"/>
            </w:tcBorders>
            <w:shd w:val="clear" w:color="auto" w:fill="D9D9D9"/>
          </w:tcPr>
          <w:p>
            <w:pPr>
              <w:ind w:left="60"/>
              <w:spacing w:after="0" w:line="203" w:lineRule="exact"/>
              <w:rPr>
                <w:sz w:val="20"/>
                <w:szCs w:val="20"/>
                <w:color w:val="auto"/>
              </w:rPr>
            </w:pPr>
            <w:r>
              <w:rPr>
                <w:rFonts w:ascii="Times New Roman" w:cs="Times New Roman" w:eastAsia="Times New Roman" w:hAnsi="Times New Roman"/>
                <w:sz w:val="20"/>
                <w:szCs w:val="20"/>
                <w:b w:val="1"/>
                <w:bCs w:val="1"/>
                <w:color w:val="auto"/>
              </w:rPr>
              <w:t>Amendment 25 Attachment</w:t>
            </w:r>
          </w:p>
        </w:tc>
      </w:tr>
      <w:tr>
        <w:trPr>
          <w:trHeight w:val="256"/>
        </w:trPr>
        <w:tc>
          <w:tcPr>
            <w:tcW w:w="29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0"/>
                <w:szCs w:val="20"/>
                <w:b w:val="1"/>
                <w:bCs w:val="1"/>
                <w:color w:val="auto"/>
              </w:rPr>
              <w:t>Document Reference</w:t>
            </w:r>
          </w:p>
        </w:tc>
        <w:tc>
          <w:tcPr>
            <w:tcW w:w="4260" w:type="dxa"/>
            <w:vAlign w:val="bottom"/>
            <w:tcBorders>
              <w:bottom w:val="single" w:sz="8" w:color="auto"/>
              <w:right w:val="single" w:sz="8" w:color="auto"/>
            </w:tcBorders>
            <w:shd w:val="clear" w:color="auto" w:fill="D9D9D9"/>
          </w:tcPr>
          <w:p>
            <w:pPr>
              <w:spacing w:after="0"/>
              <w:rPr>
                <w:sz w:val="22"/>
                <w:szCs w:val="22"/>
                <w:color w:val="auto"/>
              </w:rPr>
            </w:pPr>
          </w:p>
        </w:tc>
        <w:tc>
          <w:tcPr>
            <w:tcW w:w="3100" w:type="dxa"/>
            <w:vAlign w:val="bottom"/>
            <w:tcBorders>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0"/>
                <w:szCs w:val="20"/>
                <w:b w:val="1"/>
                <w:bCs w:val="1"/>
                <w:color w:val="auto"/>
              </w:rPr>
              <w:t>Number</w:t>
            </w:r>
          </w:p>
        </w:tc>
      </w:tr>
      <w:tr>
        <w:trPr>
          <w:trHeight w:val="270"/>
        </w:trPr>
        <w:tc>
          <w:tcPr>
            <w:tcW w:w="2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C-1</w:t>
            </w:r>
          </w:p>
        </w:tc>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 Definitions</w:t>
            </w:r>
          </w:p>
        </w:tc>
        <w:tc>
          <w:tcPr>
            <w:tcW w:w="3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1</w:t>
            </w:r>
          </w:p>
        </w:tc>
      </w:tr>
      <w:tr>
        <w:trPr>
          <w:trHeight w:val="21"/>
        </w:trPr>
        <w:tc>
          <w:tcPr>
            <w:tcW w:w="2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C-3</w:t>
            </w:r>
          </w:p>
        </w:tc>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Pricing and Baselines</w:t>
            </w:r>
          </w:p>
        </w:tc>
        <w:tc>
          <w:tcPr>
            <w:tcW w:w="3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2</w:t>
            </w:r>
          </w:p>
        </w:tc>
      </w:tr>
      <w:tr>
        <w:trPr>
          <w:trHeight w:val="21"/>
        </w:trPr>
        <w:tc>
          <w:tcPr>
            <w:tcW w:w="2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T</w:t>
            </w:r>
          </w:p>
        </w:tc>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Facilities</w:t>
            </w:r>
          </w:p>
        </w:tc>
        <w:tc>
          <w:tcPr>
            <w:tcW w:w="3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3</w:t>
            </w:r>
          </w:p>
        </w:tc>
      </w:tr>
      <w:tr>
        <w:trPr>
          <w:trHeight w:val="21"/>
        </w:trPr>
        <w:tc>
          <w:tcPr>
            <w:tcW w:w="2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660" w:right="380" w:hanging="652"/>
        <w:spacing w:after="0" w:line="245"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25 may be executed in several counterparts, all of which taken together shall constitute a single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between the Parties.</w:t>
      </w:r>
    </w:p>
    <w:p>
      <w:pPr>
        <w:spacing w:after="0" w:line="137" w:lineRule="exact"/>
        <w:rPr>
          <w:rFonts w:ascii="Times New Roman" w:cs="Times New Roman" w:eastAsia="Times New Roman" w:hAnsi="Times New Roman"/>
          <w:sz w:val="20"/>
          <w:szCs w:val="20"/>
          <w:color w:val="auto"/>
        </w:rPr>
      </w:pPr>
    </w:p>
    <w:p>
      <w:pPr>
        <w:ind w:left="660" w:right="460" w:hanging="652"/>
        <w:spacing w:after="0" w:line="245"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Unless otherwise defined herein, the capitalized terms used in this Amendment 25 shall have the same meaning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assigned to such capitalized terms in the Agreement.</w:t>
      </w:r>
    </w:p>
    <w:p>
      <w:pPr>
        <w:spacing w:after="0" w:line="137" w:lineRule="exact"/>
        <w:rPr>
          <w:rFonts w:ascii="Times New Roman" w:cs="Times New Roman" w:eastAsia="Times New Roman" w:hAnsi="Times New Roman"/>
          <w:sz w:val="20"/>
          <w:szCs w:val="20"/>
          <w:color w:val="auto"/>
        </w:rPr>
      </w:pPr>
    </w:p>
    <w:p>
      <w:pPr>
        <w:ind w:left="660" w:right="300" w:hanging="652"/>
        <w:spacing w:after="0" w:line="223" w:lineRule="auto"/>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Ratifications</w:t>
      </w:r>
      <w:r>
        <w:rPr>
          <w:rFonts w:ascii="Times New Roman" w:cs="Times New Roman" w:eastAsia="Times New Roman" w:hAnsi="Times New Roman"/>
          <w:sz w:val="20"/>
          <w:szCs w:val="20"/>
          <w:color w:val="auto"/>
        </w:rPr>
        <w:t>. The terms and provisions set forth in this Amendment 25 shall modify and supersede all inconsistent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set forth in the Agreement (and all prior agreements, letters, proposals, discussions and other documents) regarding the matters addressed in this Amendment 25</w:t>
      </w:r>
      <w:r>
        <w:rPr>
          <w:rFonts w:ascii="Times New Roman" w:cs="Times New Roman" w:eastAsia="Times New Roman" w:hAnsi="Times New Roman"/>
          <w:sz w:val="20"/>
          <w:szCs w:val="20"/>
          <w:color w:val="3366FF"/>
        </w:rPr>
        <w:t>.</w:t>
      </w:r>
      <w:r>
        <w:rPr>
          <w:rFonts w:ascii="Times New Roman" w:cs="Times New Roman" w:eastAsia="Times New Roman" w:hAnsi="Times New Roman"/>
          <w:sz w:val="20"/>
          <w:szCs w:val="20"/>
          <w:color w:val="auto"/>
        </w:rPr>
        <w:t xml:space="preserve"> Except as otherwise expressly modified herein, all other terms and conditions of the Agreement shall remain in full force and effect and are ratified and confirmed as if set forth herein verbatim.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1 of 2</w:t>
      </w:r>
    </w:p>
    <w:p>
      <w:pPr>
        <w:spacing w:after="0" w:line="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SABRE AND DXC CONFIDENTIAL INFORMATION</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Amendment 25</w:t>
      </w:r>
    </w:p>
    <w:p>
      <w:pPr>
        <w:sectPr>
          <w:pgSz w:w="11900" w:h="16838" w:orient="portrait"/>
          <w:cols w:equalWidth="0" w:num="1">
            <w:col w:w="11240"/>
          </w:cols>
          <w:pgMar w:left="320" w:top="9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10.138</w:t>
      </w:r>
    </w:p>
    <w:p>
      <w:pPr>
        <w:jc w:val="right"/>
        <w:spacing w:after="0" w:line="211" w:lineRule="auto"/>
        <w:rPr>
          <w:sz w:val="20"/>
          <w:szCs w:val="20"/>
          <w:color w:val="auto"/>
        </w:rPr>
      </w:pPr>
      <w:r>
        <w:rPr>
          <w:rFonts w:ascii="Times New Roman" w:cs="Times New Roman" w:eastAsia="Times New Roman" w:hAnsi="Times New Roman"/>
          <w:sz w:val="20"/>
          <w:szCs w:val="20"/>
          <w:b w:val="1"/>
          <w:bCs w:val="1"/>
          <w:color w:val="auto"/>
        </w:rPr>
        <w:t>10 March 2023</w:t>
      </w:r>
    </w:p>
    <w:p>
      <w:pPr>
        <w:jc w:val="right"/>
        <w:spacing w:after="0"/>
        <w:rPr>
          <w:sz w:val="20"/>
          <w:szCs w:val="20"/>
          <w:color w:val="auto"/>
        </w:rPr>
      </w:pPr>
      <w:r>
        <w:rPr>
          <w:rFonts w:ascii="Times New Roman" w:cs="Times New Roman" w:eastAsia="Times New Roman" w:hAnsi="Times New Roman"/>
          <w:sz w:val="20"/>
          <w:szCs w:val="20"/>
          <w:b w:val="1"/>
          <w:bCs w:val="1"/>
          <w:color w:val="auto"/>
        </w:rPr>
        <w:t>AMENDMENT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Provider and Customer have each caused this Amendment to be executed as below:</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SABRE GLBL INC.</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w:t>
            </w:r>
          </w:p>
        </w:tc>
        <w:tc>
          <w:tcPr>
            <w:tcW w:w="25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Josh Fishman</w:t>
            </w:r>
          </w:p>
        </w:tc>
        <w:tc>
          <w:tcPr>
            <w:tcW w:w="1080" w:type="dxa"/>
            <w:vAlign w:val="bottom"/>
          </w:tcPr>
          <w:p>
            <w:pPr>
              <w:spacing w:after="0"/>
              <w:rPr>
                <w:sz w:val="19"/>
                <w:szCs w:val="19"/>
                <w:color w:val="auto"/>
              </w:rPr>
            </w:pPr>
          </w:p>
        </w:tc>
      </w:tr>
      <w:tr>
        <w:trPr>
          <w:trHeight w:val="425"/>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Josh Fishman</w:t>
            </w:r>
          </w:p>
        </w:tc>
        <w:tc>
          <w:tcPr>
            <w:tcW w:w="1400" w:type="dxa"/>
            <w:vAlign w:val="bottom"/>
            <w:gridSpan w:val="3"/>
          </w:tcPr>
          <w:p>
            <w:pPr>
              <w:spacing w:after="0"/>
              <w:rPr>
                <w:sz w:val="24"/>
                <w:szCs w:val="24"/>
                <w:color w:val="auto"/>
              </w:rPr>
            </w:pPr>
          </w:p>
        </w:tc>
      </w:tr>
      <w:tr>
        <w:trPr>
          <w:trHeight w:val="426"/>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0" w:type="dxa"/>
            <w:vAlign w:val="bottom"/>
            <w:tcBorders>
              <w:bottom w:val="single" w:sz="8" w:color="auto"/>
            </w:tcBorders>
            <w:gridSpan w:val="2"/>
          </w:tcPr>
          <w:p>
            <w:pPr>
              <w:spacing w:after="0"/>
              <w:rPr>
                <w:sz w:val="24"/>
                <w:szCs w:val="24"/>
                <w:color w:val="auto"/>
              </w:rPr>
            </w:pPr>
          </w:p>
        </w:tc>
        <w:tc>
          <w:tcPr>
            <w:tcW w:w="3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VP and Business Unit Controller</w:t>
            </w: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80" w:type="dxa"/>
            <w:vAlign w:val="bottom"/>
            <w:tcBorders>
              <w:bottom w:val="single" w:sz="8" w:color="auto"/>
            </w:tcBorders>
            <w:gridSpan w:val="2"/>
          </w:tcPr>
          <w:p>
            <w:pPr>
              <w:spacing w:after="0"/>
              <w:rPr>
                <w:sz w:val="24"/>
                <w:szCs w:val="24"/>
                <w:color w:val="auto"/>
              </w:rPr>
            </w:pPr>
          </w:p>
        </w:tc>
        <w:tc>
          <w:tcPr>
            <w:tcW w:w="2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March 17, 2023</w:t>
            </w:r>
          </w:p>
        </w:tc>
        <w:tc>
          <w:tcPr>
            <w:tcW w:w="134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DXC TECHNOLOGY SERVICES LLC</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w:t>
            </w:r>
          </w:p>
        </w:tc>
        <w:tc>
          <w:tcPr>
            <w:tcW w:w="2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Joe Sequeira</w:t>
            </w:r>
          </w:p>
        </w:tc>
        <w:tc>
          <w:tcPr>
            <w:tcW w:w="1740" w:type="dxa"/>
            <w:vAlign w:val="bottom"/>
          </w:tcPr>
          <w:p>
            <w:pPr>
              <w:spacing w:after="0"/>
              <w:rPr>
                <w:sz w:val="19"/>
                <w:szCs w:val="19"/>
                <w:color w:val="auto"/>
              </w:rPr>
            </w:pPr>
          </w:p>
        </w:tc>
      </w:tr>
      <w:tr>
        <w:trPr>
          <w:trHeight w:val="412"/>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Joe Sequeira</w:t>
            </w:r>
          </w:p>
        </w:tc>
        <w:tc>
          <w:tcPr>
            <w:tcW w:w="2060" w:type="dxa"/>
            <w:vAlign w:val="bottom"/>
            <w:gridSpan w:val="3"/>
          </w:tcPr>
          <w:p>
            <w:pPr>
              <w:spacing w:after="0"/>
              <w:rPr>
                <w:sz w:val="24"/>
                <w:szCs w:val="24"/>
                <w:color w:val="auto"/>
              </w:rPr>
            </w:pPr>
          </w:p>
        </w:tc>
      </w:tr>
      <w:tr>
        <w:trPr>
          <w:trHeight w:val="42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0" w:type="dxa"/>
            <w:vAlign w:val="bottom"/>
            <w:tcBorders>
              <w:bottom w:val="single" w:sz="8" w:color="auto"/>
            </w:tcBorders>
            <w:gridSpan w:val="2"/>
          </w:tcPr>
          <w:p>
            <w:pPr>
              <w:spacing w:after="0"/>
              <w:rPr>
                <w:sz w:val="24"/>
                <w:szCs w:val="24"/>
                <w:color w:val="auto"/>
              </w:rPr>
            </w:pPr>
          </w:p>
        </w:tc>
        <w:tc>
          <w:tcPr>
            <w:tcW w:w="41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0"/>
                <w:szCs w:val="20"/>
                <w:color w:val="auto"/>
              </w:rPr>
              <w:t>DXC Account General Manager - Sabre</w:t>
            </w:r>
          </w:p>
        </w:tc>
      </w:tr>
      <w:tr>
        <w:trPr>
          <w:trHeight w:val="426"/>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80" w:type="dxa"/>
            <w:vAlign w:val="bottom"/>
            <w:tcBorders>
              <w:bottom w:val="single" w:sz="8" w:color="auto"/>
            </w:tcBorders>
            <w:gridSpan w:val="2"/>
          </w:tcPr>
          <w:p>
            <w:pPr>
              <w:spacing w:after="0"/>
              <w:rPr>
                <w:sz w:val="24"/>
                <w:szCs w:val="24"/>
                <w:color w:val="auto"/>
              </w:rPr>
            </w:pPr>
          </w:p>
        </w:tc>
        <w:tc>
          <w:tcPr>
            <w:tcW w:w="2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March 20, 2023</w:t>
            </w:r>
          </w:p>
        </w:tc>
        <w:tc>
          <w:tcPr>
            <w:tcW w:w="192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2 of 2</w:t>
      </w: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SABRE AND DXC CONFIDENTIAL INFORMATION</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Amendment 25</w:t>
      </w:r>
    </w:p>
    <w:p>
      <w:pPr>
        <w:sectPr>
          <w:pgSz w:w="11900" w:h="16838" w:orient="portrait"/>
          <w:cols w:equalWidth="0" w:num="1">
            <w:col w:w="11240"/>
          </w:cols>
          <w:pgMar w:left="320" w:top="94" w:right="339" w:bottom="1440" w:gutter="0" w:footer="0" w:header="0"/>
        </w:sectPr>
      </w:pPr>
    </w:p>
    <w:bookmarkStart w:id="122" w:name="page123"/>
    <w:bookmarkEnd w:id="122"/>
    <w:p>
      <w:pPr>
        <w:ind w:left="10140"/>
        <w:spacing w:after="0"/>
        <w:rPr>
          <w:sz w:val="20"/>
          <w:szCs w:val="20"/>
          <w:color w:val="auto"/>
        </w:rPr>
      </w:pPr>
      <w:r>
        <w:rPr>
          <w:rFonts w:ascii="Times New Roman" w:cs="Times New Roman" w:eastAsia="Times New Roman" w:hAnsi="Times New Roman"/>
          <w:sz w:val="17"/>
          <w:szCs w:val="17"/>
          <w:b w:val="1"/>
          <w:bCs w:val="1"/>
          <w:color w:val="auto"/>
        </w:rPr>
        <w:t>Exhibit 10.139</w:t>
      </w:r>
    </w:p>
    <w:p>
      <w:pPr>
        <w:ind w:left="10120"/>
        <w:spacing w:after="0" w:line="224" w:lineRule="auto"/>
        <w:rPr>
          <w:sz w:val="20"/>
          <w:szCs w:val="20"/>
          <w:color w:val="auto"/>
        </w:rPr>
      </w:pPr>
      <w:r>
        <w:rPr>
          <w:rFonts w:ascii="Times New Roman" w:cs="Times New Roman" w:eastAsia="Times New Roman" w:hAnsi="Times New Roman"/>
          <w:sz w:val="19"/>
          <w:szCs w:val="19"/>
          <w:b w:val="1"/>
          <w:bCs w:val="1"/>
          <w:color w:val="auto"/>
        </w:rPr>
        <w:t>21 DEC 2023</w:t>
      </w:r>
    </w:p>
    <w:p>
      <w:pPr>
        <w:ind w:left="9660"/>
        <w:spacing w:after="0"/>
        <w:rPr>
          <w:sz w:val="20"/>
          <w:szCs w:val="20"/>
          <w:color w:val="auto"/>
        </w:rPr>
      </w:pPr>
      <w:r>
        <w:rPr>
          <w:rFonts w:ascii="Times New Roman" w:cs="Times New Roman" w:eastAsia="Times New Roman" w:hAnsi="Times New Roman"/>
          <w:sz w:val="19"/>
          <w:szCs w:val="19"/>
          <w:b w:val="1"/>
          <w:bCs w:val="1"/>
          <w:color w:val="auto"/>
        </w:rPr>
        <w:t>AMENDMENT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AMENDMENT NUMBER 26 TO</w:t>
      </w:r>
    </w:p>
    <w:p>
      <w:pPr>
        <w:ind w:left="4240"/>
        <w:spacing w:after="0"/>
        <w:rPr>
          <w:sz w:val="20"/>
          <w:szCs w:val="20"/>
          <w:color w:val="auto"/>
        </w:rPr>
      </w:pPr>
      <w:r>
        <w:rPr>
          <w:rFonts w:ascii="Times New Roman" w:cs="Times New Roman" w:eastAsia="Times New Roman" w:hAnsi="Times New Roman"/>
          <w:sz w:val="20"/>
          <w:szCs w:val="20"/>
          <w:b w:val="1"/>
          <w:bCs w:val="1"/>
          <w:color w:val="auto"/>
        </w:rPr>
        <w:t>SERVICE AGREEMENT NO. 1</w:t>
      </w:r>
    </w:p>
    <w:p>
      <w:pPr>
        <w:spacing w:after="0" w:line="176" w:lineRule="exact"/>
        <w:rPr>
          <w:sz w:val="20"/>
          <w:szCs w:val="20"/>
          <w:color w:val="auto"/>
        </w:rPr>
      </w:pPr>
    </w:p>
    <w:p>
      <w:pPr>
        <w:ind w:firstLine="194"/>
        <w:spacing w:after="0" w:line="236" w:lineRule="auto"/>
        <w:rPr>
          <w:sz w:val="20"/>
          <w:szCs w:val="20"/>
          <w:color w:val="auto"/>
        </w:rPr>
      </w:pPr>
      <w:r>
        <w:rPr>
          <w:rFonts w:ascii="Times New Roman" w:cs="Times New Roman" w:eastAsia="Times New Roman" w:hAnsi="Times New Roman"/>
          <w:sz w:val="19"/>
          <w:szCs w:val="19"/>
          <w:color w:val="auto"/>
        </w:rPr>
        <w:t>This Amendment Number 26 (“</w:t>
      </w:r>
      <w:r>
        <w:rPr>
          <w:rFonts w:ascii="Times New Roman" w:cs="Times New Roman" w:eastAsia="Times New Roman" w:hAnsi="Times New Roman"/>
          <w:sz w:val="19"/>
          <w:szCs w:val="19"/>
          <w:b w:val="1"/>
          <w:bCs w:val="1"/>
          <w:i w:val="1"/>
          <w:iCs w:val="1"/>
          <w:color w:val="auto"/>
        </w:rPr>
        <w:t>Amendment 26</w:t>
      </w:r>
      <w:r>
        <w:rPr>
          <w:rFonts w:ascii="Times New Roman" w:cs="Times New Roman" w:eastAsia="Times New Roman" w:hAnsi="Times New Roman"/>
          <w:sz w:val="19"/>
          <w:szCs w:val="19"/>
          <w:color w:val="auto"/>
        </w:rPr>
        <w:t>”), dated as of 21 December 2023 (“</w:t>
      </w:r>
      <w:r>
        <w:rPr>
          <w:rFonts w:ascii="Times New Roman" w:cs="Times New Roman" w:eastAsia="Times New Roman" w:hAnsi="Times New Roman"/>
          <w:sz w:val="19"/>
          <w:szCs w:val="19"/>
          <w:b w:val="1"/>
          <w:bCs w:val="1"/>
          <w:i w:val="1"/>
          <w:iCs w:val="1"/>
          <w:color w:val="auto"/>
        </w:rPr>
        <w:t>Amendment 26 Effective Date</w:t>
      </w:r>
      <w:r>
        <w:rPr>
          <w:rFonts w:ascii="Times New Roman" w:cs="Times New Roman" w:eastAsia="Times New Roman" w:hAnsi="Times New Roman"/>
          <w:sz w:val="19"/>
          <w:szCs w:val="19"/>
          <w:color w:val="auto"/>
        </w:rPr>
        <w:t>”), by and between DXC Technology Services LLC, successor in interest to HP Enterprise Services, LLC (“</w:t>
      </w:r>
      <w:r>
        <w:rPr>
          <w:rFonts w:ascii="Times New Roman" w:cs="Times New Roman" w:eastAsia="Times New Roman" w:hAnsi="Times New Roman"/>
          <w:sz w:val="19"/>
          <w:szCs w:val="19"/>
          <w:b w:val="1"/>
          <w:bCs w:val="1"/>
          <w:i w:val="1"/>
          <w:iCs w:val="1"/>
          <w:color w:val="auto"/>
        </w:rPr>
        <w:t>Provider</w:t>
      </w:r>
      <w:r>
        <w:rPr>
          <w:rFonts w:ascii="Times New Roman" w:cs="Times New Roman" w:eastAsia="Times New Roman" w:hAnsi="Times New Roman"/>
          <w:sz w:val="19"/>
          <w:szCs w:val="19"/>
          <w:color w:val="auto"/>
        </w:rPr>
        <w:t>”) and Sabre GLBL Inc. (“</w:t>
      </w:r>
      <w:r>
        <w:rPr>
          <w:rFonts w:ascii="Times New Roman" w:cs="Times New Roman" w:eastAsia="Times New Roman" w:hAnsi="Times New Roman"/>
          <w:sz w:val="19"/>
          <w:szCs w:val="19"/>
          <w:b w:val="1"/>
          <w:bCs w:val="1"/>
          <w:i w:val="1"/>
          <w:iCs w:val="1"/>
          <w:color w:val="auto"/>
        </w:rPr>
        <w:t>Customer</w:t>
      </w:r>
      <w:r>
        <w:rPr>
          <w:rFonts w:ascii="Times New Roman" w:cs="Times New Roman" w:eastAsia="Times New Roman" w:hAnsi="Times New Roman"/>
          <w:sz w:val="19"/>
          <w:szCs w:val="19"/>
          <w:color w:val="auto"/>
        </w:rPr>
        <w:t>”) amends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certain Service Agreement No. 1, by and between Provider and Customer, dated as of 1 August 2020 (“</w:t>
      </w:r>
      <w:r>
        <w:rPr>
          <w:rFonts w:ascii="Times New Roman" w:cs="Times New Roman" w:eastAsia="Times New Roman" w:hAnsi="Times New Roman"/>
          <w:sz w:val="20"/>
          <w:szCs w:val="20"/>
          <w:b w:val="1"/>
          <w:bCs w:val="1"/>
          <w:i w:val="1"/>
          <w:iCs w:val="1"/>
          <w:color w:val="auto"/>
        </w:rPr>
        <w:t>Service Agreement No. 1</w:t>
      </w:r>
      <w:r>
        <w:rPr>
          <w:rFonts w:ascii="Times New Roman" w:cs="Times New Roman" w:eastAsia="Times New Roman" w:hAnsi="Times New Roman"/>
          <w:sz w:val="20"/>
          <w:szCs w:val="20"/>
          <w:color w:val="auto"/>
        </w:rPr>
        <w:t>”), made pursuant to that certain Amended and Restated Master Services Agreement by and between Provider and Customer, also dated as of 1</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August 2020 (the “</w:t>
      </w:r>
      <w:r>
        <w:rPr>
          <w:rFonts w:ascii="Times New Roman" w:cs="Times New Roman" w:eastAsia="Times New Roman" w:hAnsi="Times New Roman"/>
          <w:sz w:val="19"/>
          <w:szCs w:val="19"/>
          <w:b w:val="1"/>
          <w:bCs w:val="1"/>
          <w:i w:val="1"/>
          <w:iCs w:val="1"/>
          <w:color w:val="auto"/>
        </w:rPr>
        <w:t>Master Agreement</w:t>
      </w:r>
      <w:r>
        <w:rPr>
          <w:rFonts w:ascii="Times New Roman" w:cs="Times New Roman" w:eastAsia="Times New Roman" w:hAnsi="Times New Roman"/>
          <w:sz w:val="19"/>
          <w:szCs w:val="19"/>
          <w:color w:val="auto"/>
        </w:rPr>
        <w:t>”). The Master Agreement and Service Agreement No. 1 are collectively known as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WHEREAS, Customer and Provider desire to amend certain terms and conditions of Service Agreement No. 1, as further described herein.</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NOW, THEREFORE, in consideration of the mutual covenants contained herein, and intending to be legally bound, Customer and</w:t>
      </w:r>
    </w:p>
    <w:p>
      <w:pPr>
        <w:spacing w:after="0"/>
        <w:rPr>
          <w:sz w:val="20"/>
          <w:szCs w:val="20"/>
          <w:color w:val="auto"/>
        </w:rPr>
      </w:pPr>
      <w:r>
        <w:rPr>
          <w:rFonts w:ascii="Times New Roman" w:cs="Times New Roman" w:eastAsia="Times New Roman" w:hAnsi="Times New Roman"/>
          <w:sz w:val="20"/>
          <w:szCs w:val="20"/>
          <w:color w:val="auto"/>
        </w:rPr>
        <w:t>Provider hereby agree as follows:</w:t>
      </w:r>
    </w:p>
    <w:p>
      <w:pPr>
        <w:spacing w:after="0" w:line="176" w:lineRule="exact"/>
        <w:rPr>
          <w:sz w:val="20"/>
          <w:szCs w:val="20"/>
          <w:color w:val="auto"/>
        </w:rPr>
      </w:pPr>
    </w:p>
    <w:p>
      <w:pPr>
        <w:jc w:val="both"/>
        <w:ind w:left="660" w:right="240" w:hanging="652"/>
        <w:spacing w:after="0" w:line="232" w:lineRule="auto"/>
        <w:tabs>
          <w:tab w:leader="none" w:pos="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Attachments and Appendices to Service Agreement No. 1</w:t>
      </w:r>
      <w:r>
        <w:rPr>
          <w:rFonts w:ascii="Times New Roman" w:cs="Times New Roman" w:eastAsia="Times New Roman" w:hAnsi="Times New Roman"/>
          <w:sz w:val="20"/>
          <w:szCs w:val="20"/>
          <w:color w:val="auto"/>
        </w:rPr>
        <w:t>. In order to reflect the amendments agreed to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the following documents are hereby replaced in their entirety in the form attached to this Amendment 26 as the applicable Attachment number referred to in the below table for such document:</w:t>
      </w:r>
    </w:p>
    <w:p>
      <w:pPr>
        <w:spacing w:after="0" w:line="190" w:lineRule="exact"/>
        <w:rPr>
          <w:sz w:val="20"/>
          <w:szCs w:val="20"/>
          <w:color w:val="auto"/>
        </w:rPr>
      </w:pPr>
    </w:p>
    <w:tbl>
      <w:tblPr>
        <w:tblLayout w:type="fixed"/>
        <w:tblInd w:w="430" w:type="dxa"/>
        <w:tblCellMar>
          <w:top w:w="0" w:type="dxa"/>
          <w:left w:w="0" w:type="dxa"/>
          <w:bottom w:w="0" w:type="dxa"/>
          <w:right w:w="0" w:type="dxa"/>
        </w:tblCellMar>
      </w:tblPr>
      <w:tr>
        <w:trPr>
          <w:trHeight w:val="203"/>
        </w:trPr>
        <w:tc>
          <w:tcPr>
            <w:tcW w:w="2980" w:type="dxa"/>
            <w:vAlign w:val="bottom"/>
            <w:tcBorders>
              <w:top w:val="single" w:sz="8" w:color="auto"/>
              <w:left w:val="single" w:sz="8" w:color="auto"/>
              <w:right w:val="single" w:sz="8" w:color="auto"/>
            </w:tcBorders>
            <w:shd w:val="clear" w:color="auto" w:fill="D9D9D9"/>
          </w:tcPr>
          <w:p>
            <w:pPr>
              <w:ind w:left="40"/>
              <w:spacing w:after="0" w:line="203" w:lineRule="exact"/>
              <w:rPr>
                <w:sz w:val="20"/>
                <w:szCs w:val="20"/>
                <w:color w:val="auto"/>
              </w:rPr>
            </w:pPr>
            <w:r>
              <w:rPr>
                <w:rFonts w:ascii="Times New Roman" w:cs="Times New Roman" w:eastAsia="Times New Roman" w:hAnsi="Times New Roman"/>
                <w:sz w:val="20"/>
                <w:szCs w:val="20"/>
                <w:b w:val="1"/>
                <w:bCs w:val="1"/>
                <w:color w:val="auto"/>
              </w:rPr>
              <w:t>Service Agreement No. 1</w:t>
            </w:r>
          </w:p>
        </w:tc>
        <w:tc>
          <w:tcPr>
            <w:tcW w:w="4260" w:type="dxa"/>
            <w:vAlign w:val="bottom"/>
            <w:tcBorders>
              <w:top w:val="single" w:sz="8" w:color="auto"/>
              <w:right w:val="single" w:sz="8" w:color="auto"/>
            </w:tcBorders>
            <w:shd w:val="clear" w:color="auto" w:fill="D9D9D9"/>
          </w:tcPr>
          <w:p>
            <w:pPr>
              <w:ind w:left="60"/>
              <w:spacing w:after="0" w:line="203" w:lineRule="exact"/>
              <w:rPr>
                <w:sz w:val="20"/>
                <w:szCs w:val="20"/>
                <w:color w:val="auto"/>
              </w:rPr>
            </w:pPr>
            <w:r>
              <w:rPr>
                <w:rFonts w:ascii="Times New Roman" w:cs="Times New Roman" w:eastAsia="Times New Roman" w:hAnsi="Times New Roman"/>
                <w:sz w:val="20"/>
                <w:szCs w:val="20"/>
                <w:b w:val="1"/>
                <w:bCs w:val="1"/>
                <w:color w:val="auto"/>
              </w:rPr>
              <w:t>Document Name</w:t>
            </w:r>
          </w:p>
        </w:tc>
        <w:tc>
          <w:tcPr>
            <w:tcW w:w="3100" w:type="dxa"/>
            <w:vAlign w:val="bottom"/>
            <w:tcBorders>
              <w:top w:val="single" w:sz="8" w:color="auto"/>
              <w:right w:val="single" w:sz="8" w:color="auto"/>
            </w:tcBorders>
            <w:shd w:val="clear" w:color="auto" w:fill="D9D9D9"/>
          </w:tcPr>
          <w:p>
            <w:pPr>
              <w:ind w:left="60"/>
              <w:spacing w:after="0" w:line="203" w:lineRule="exact"/>
              <w:rPr>
                <w:sz w:val="20"/>
                <w:szCs w:val="20"/>
                <w:color w:val="auto"/>
              </w:rPr>
            </w:pPr>
            <w:r>
              <w:rPr>
                <w:rFonts w:ascii="Times New Roman" w:cs="Times New Roman" w:eastAsia="Times New Roman" w:hAnsi="Times New Roman"/>
                <w:sz w:val="20"/>
                <w:szCs w:val="20"/>
                <w:b w:val="1"/>
                <w:bCs w:val="1"/>
                <w:color w:val="auto"/>
              </w:rPr>
              <w:t>Amendment 25 Attachment</w:t>
            </w:r>
          </w:p>
        </w:tc>
      </w:tr>
      <w:tr>
        <w:trPr>
          <w:trHeight w:val="256"/>
        </w:trPr>
        <w:tc>
          <w:tcPr>
            <w:tcW w:w="29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0"/>
                <w:szCs w:val="20"/>
                <w:b w:val="1"/>
                <w:bCs w:val="1"/>
                <w:color w:val="auto"/>
              </w:rPr>
              <w:t>Document Reference</w:t>
            </w:r>
          </w:p>
        </w:tc>
        <w:tc>
          <w:tcPr>
            <w:tcW w:w="4260" w:type="dxa"/>
            <w:vAlign w:val="bottom"/>
            <w:tcBorders>
              <w:bottom w:val="single" w:sz="8" w:color="auto"/>
              <w:right w:val="single" w:sz="8" w:color="auto"/>
            </w:tcBorders>
            <w:shd w:val="clear" w:color="auto" w:fill="D9D9D9"/>
          </w:tcPr>
          <w:p>
            <w:pPr>
              <w:spacing w:after="0"/>
              <w:rPr>
                <w:sz w:val="22"/>
                <w:szCs w:val="22"/>
                <w:color w:val="auto"/>
              </w:rPr>
            </w:pPr>
          </w:p>
        </w:tc>
        <w:tc>
          <w:tcPr>
            <w:tcW w:w="3100" w:type="dxa"/>
            <w:vAlign w:val="bottom"/>
            <w:tcBorders>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0"/>
                <w:szCs w:val="20"/>
                <w:b w:val="1"/>
                <w:bCs w:val="1"/>
                <w:color w:val="auto"/>
              </w:rPr>
              <w:t>Number</w:t>
            </w:r>
          </w:p>
        </w:tc>
      </w:tr>
      <w:tr>
        <w:trPr>
          <w:trHeight w:val="270"/>
        </w:trPr>
        <w:tc>
          <w:tcPr>
            <w:tcW w:w="2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B-4</w:t>
            </w:r>
          </w:p>
        </w:tc>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Network Services</w:t>
            </w:r>
          </w:p>
        </w:tc>
        <w:tc>
          <w:tcPr>
            <w:tcW w:w="3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1</w:t>
            </w:r>
          </w:p>
        </w:tc>
      </w:tr>
      <w:tr>
        <w:trPr>
          <w:trHeight w:val="21"/>
        </w:trPr>
        <w:tc>
          <w:tcPr>
            <w:tcW w:w="2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C-1</w:t>
            </w:r>
          </w:p>
        </w:tc>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 Definitions</w:t>
            </w:r>
          </w:p>
        </w:tc>
        <w:tc>
          <w:tcPr>
            <w:tcW w:w="3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2</w:t>
            </w:r>
          </w:p>
        </w:tc>
      </w:tr>
      <w:tr>
        <w:trPr>
          <w:trHeight w:val="21"/>
        </w:trPr>
        <w:tc>
          <w:tcPr>
            <w:tcW w:w="2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2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C-3</w:t>
            </w:r>
          </w:p>
        </w:tc>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Pricing and Baselines</w:t>
            </w:r>
          </w:p>
        </w:tc>
        <w:tc>
          <w:tcPr>
            <w:tcW w:w="3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3</w:t>
            </w:r>
          </w:p>
        </w:tc>
      </w:tr>
      <w:tr>
        <w:trPr>
          <w:trHeight w:val="21"/>
        </w:trPr>
        <w:tc>
          <w:tcPr>
            <w:tcW w:w="2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2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Schedule I</w:t>
            </w:r>
          </w:p>
        </w:tc>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Asset Allocation Matrix</w:t>
            </w:r>
          </w:p>
        </w:tc>
        <w:tc>
          <w:tcPr>
            <w:tcW w:w="3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Attachment 4</w:t>
            </w:r>
          </w:p>
        </w:tc>
      </w:tr>
      <w:tr>
        <w:trPr>
          <w:trHeight w:val="21"/>
        </w:trPr>
        <w:tc>
          <w:tcPr>
            <w:tcW w:w="2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660" w:right="380" w:hanging="652"/>
        <w:spacing w:after="0" w:line="245" w:lineRule="auto"/>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26 may be executed in several counterparts, all of which taken together shall constitute a single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between the Parties.</w:t>
      </w:r>
    </w:p>
    <w:p>
      <w:pPr>
        <w:spacing w:after="0" w:line="137" w:lineRule="exact"/>
        <w:rPr>
          <w:rFonts w:ascii="Times New Roman" w:cs="Times New Roman" w:eastAsia="Times New Roman" w:hAnsi="Times New Roman"/>
          <w:sz w:val="20"/>
          <w:szCs w:val="20"/>
          <w:color w:val="auto"/>
        </w:rPr>
      </w:pPr>
    </w:p>
    <w:p>
      <w:pPr>
        <w:ind w:left="660" w:right="460" w:hanging="652"/>
        <w:spacing w:after="0" w:line="245" w:lineRule="auto"/>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Unless otherwise defined herein, the capitalized terms used in this Amendment 26 shall have the same meaning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assigned to such capitalized terms in the Agreement.</w:t>
      </w:r>
    </w:p>
    <w:p>
      <w:pPr>
        <w:spacing w:after="0" w:line="137" w:lineRule="exact"/>
        <w:rPr>
          <w:rFonts w:ascii="Times New Roman" w:cs="Times New Roman" w:eastAsia="Times New Roman" w:hAnsi="Times New Roman"/>
          <w:sz w:val="20"/>
          <w:szCs w:val="20"/>
          <w:color w:val="auto"/>
        </w:rPr>
      </w:pPr>
    </w:p>
    <w:p>
      <w:pPr>
        <w:ind w:left="660" w:right="300" w:hanging="652"/>
        <w:spacing w:after="0" w:line="223" w:lineRule="auto"/>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Ratifications</w:t>
      </w:r>
      <w:r>
        <w:rPr>
          <w:rFonts w:ascii="Times New Roman" w:cs="Times New Roman" w:eastAsia="Times New Roman" w:hAnsi="Times New Roman"/>
          <w:sz w:val="20"/>
          <w:szCs w:val="20"/>
          <w:color w:val="auto"/>
        </w:rPr>
        <w:t>. The terms and provisions set forth in this Amendment 26 shall modify and supersede all inconsistent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set forth in the Agreement (and all prior agreements, letters, proposals, discussions and other documents) regarding the matters addressed in this Amendment 26</w:t>
      </w:r>
      <w:r>
        <w:rPr>
          <w:rFonts w:ascii="Times New Roman" w:cs="Times New Roman" w:eastAsia="Times New Roman" w:hAnsi="Times New Roman"/>
          <w:sz w:val="20"/>
          <w:szCs w:val="20"/>
          <w:color w:val="3366FF"/>
        </w:rPr>
        <w:t>.</w:t>
      </w:r>
      <w:r>
        <w:rPr>
          <w:rFonts w:ascii="Times New Roman" w:cs="Times New Roman" w:eastAsia="Times New Roman" w:hAnsi="Times New Roman"/>
          <w:sz w:val="20"/>
          <w:szCs w:val="20"/>
          <w:color w:val="auto"/>
        </w:rPr>
        <w:t xml:space="preserve"> Except as otherwise expressly modified herein, all other terms and conditions of the Agreement shall remain in full force and effect and are ratified and confirmed as if set forth herein verbatim.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1 of 2</w:t>
      </w:r>
    </w:p>
    <w:p>
      <w:pPr>
        <w:spacing w:after="0" w:line="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SABRE AND DXC CONFIDENTIAL INFORMATION</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Amendment 26</w:t>
      </w:r>
    </w:p>
    <w:p>
      <w:pPr>
        <w:sectPr>
          <w:pgSz w:w="11900" w:h="16838" w:orient="portrait"/>
          <w:cols w:equalWidth="0" w:num="1">
            <w:col w:w="11240"/>
          </w:cols>
          <w:pgMar w:left="320" w:top="104" w:right="339" w:bottom="1440" w:gutter="0" w:footer="0" w:header="0"/>
        </w:sectPr>
      </w:pPr>
    </w:p>
    <w:bookmarkStart w:id="123" w:name="page124"/>
    <w:bookmarkEnd w:id="123"/>
    <w:p>
      <w:pPr>
        <w:ind w:left="10140"/>
        <w:spacing w:after="0"/>
        <w:rPr>
          <w:sz w:val="20"/>
          <w:szCs w:val="20"/>
          <w:color w:val="auto"/>
        </w:rPr>
      </w:pPr>
      <w:r>
        <w:rPr>
          <w:rFonts w:ascii="Times New Roman" w:cs="Times New Roman" w:eastAsia="Times New Roman" w:hAnsi="Times New Roman"/>
          <w:sz w:val="17"/>
          <w:szCs w:val="17"/>
          <w:b w:val="1"/>
          <w:bCs w:val="1"/>
          <w:color w:val="auto"/>
        </w:rPr>
        <w:t>Exhibit 10.139</w:t>
      </w:r>
    </w:p>
    <w:p>
      <w:pPr>
        <w:ind w:left="10120"/>
        <w:spacing w:after="0" w:line="224" w:lineRule="auto"/>
        <w:rPr>
          <w:sz w:val="20"/>
          <w:szCs w:val="20"/>
          <w:color w:val="auto"/>
        </w:rPr>
      </w:pPr>
      <w:r>
        <w:rPr>
          <w:rFonts w:ascii="Times New Roman" w:cs="Times New Roman" w:eastAsia="Times New Roman" w:hAnsi="Times New Roman"/>
          <w:sz w:val="19"/>
          <w:szCs w:val="19"/>
          <w:b w:val="1"/>
          <w:bCs w:val="1"/>
          <w:color w:val="auto"/>
        </w:rPr>
        <w:t>21 DEC 2023</w:t>
      </w:r>
    </w:p>
    <w:p>
      <w:pPr>
        <w:ind w:left="9660"/>
        <w:spacing w:after="0"/>
        <w:rPr>
          <w:sz w:val="20"/>
          <w:szCs w:val="20"/>
          <w:color w:val="auto"/>
        </w:rPr>
      </w:pPr>
      <w:r>
        <w:rPr>
          <w:rFonts w:ascii="Times New Roman" w:cs="Times New Roman" w:eastAsia="Times New Roman" w:hAnsi="Times New Roman"/>
          <w:sz w:val="19"/>
          <w:szCs w:val="19"/>
          <w:b w:val="1"/>
          <w:bCs w:val="1"/>
          <w:color w:val="auto"/>
        </w:rPr>
        <w:t>AMENDMENT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Provider and Customer have each caused this Amendment to be executed as below:</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SABRE GLBL INC.</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w:t>
            </w:r>
          </w:p>
        </w:tc>
        <w:tc>
          <w:tcPr>
            <w:tcW w:w="25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Josh Fishman</w:t>
            </w:r>
          </w:p>
        </w:tc>
        <w:tc>
          <w:tcPr>
            <w:tcW w:w="40" w:type="dxa"/>
            <w:vAlign w:val="bottom"/>
          </w:tcPr>
          <w:p>
            <w:pPr>
              <w:spacing w:after="0"/>
              <w:rPr>
                <w:sz w:val="19"/>
                <w:szCs w:val="19"/>
                <w:color w:val="auto"/>
              </w:rPr>
            </w:pPr>
          </w:p>
        </w:tc>
      </w:tr>
      <w:tr>
        <w:trPr>
          <w:trHeight w:val="425"/>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Josh Fishman</w:t>
            </w:r>
          </w:p>
        </w:tc>
        <w:tc>
          <w:tcPr>
            <w:tcW w:w="3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0" w:type="dxa"/>
            <w:vAlign w:val="bottom"/>
            <w:tcBorders>
              <w:bottom w:val="single" w:sz="8" w:color="auto"/>
            </w:tcBorders>
            <w:gridSpan w:val="2"/>
          </w:tcPr>
          <w:p>
            <w:pPr>
              <w:spacing w:after="0"/>
              <w:rPr>
                <w:sz w:val="24"/>
                <w:szCs w:val="24"/>
                <w:color w:val="auto"/>
              </w:rPr>
            </w:pPr>
          </w:p>
        </w:tc>
        <w:tc>
          <w:tcPr>
            <w:tcW w:w="2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VP Finance, CPO</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80" w:type="dxa"/>
            <w:vAlign w:val="bottom"/>
            <w:tcBorders>
              <w:bottom w:val="single" w:sz="8" w:color="auto"/>
            </w:tcBorders>
            <w:gridSpan w:val="2"/>
          </w:tcPr>
          <w:p>
            <w:pPr>
              <w:spacing w:after="0"/>
              <w:rPr>
                <w:sz w:val="24"/>
                <w:szCs w:val="24"/>
                <w:color w:val="auto"/>
              </w:rPr>
            </w:pPr>
          </w:p>
        </w:tc>
        <w:tc>
          <w:tcPr>
            <w:tcW w:w="2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December 21, 2023</w:t>
            </w:r>
          </w:p>
        </w:tc>
        <w:tc>
          <w:tcPr>
            <w:tcW w:w="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DXC TECHNOLOGY SERVICES LLC</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w:t>
            </w:r>
          </w:p>
        </w:tc>
        <w:tc>
          <w:tcPr>
            <w:tcW w:w="24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 Joe Sequeira</w:t>
            </w:r>
          </w:p>
        </w:tc>
        <w:tc>
          <w:tcPr>
            <w:tcW w:w="1740" w:type="dxa"/>
            <w:vAlign w:val="bottom"/>
            <w:gridSpan w:val="2"/>
          </w:tcPr>
          <w:p>
            <w:pPr>
              <w:spacing w:after="0"/>
              <w:rPr>
                <w:sz w:val="19"/>
                <w:szCs w:val="19"/>
                <w:color w:val="auto"/>
              </w:rPr>
            </w:pPr>
          </w:p>
        </w:tc>
      </w:tr>
      <w:tr>
        <w:trPr>
          <w:trHeight w:val="412"/>
        </w:trPr>
        <w:tc>
          <w:tcPr>
            <w:tcW w:w="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Joe Sequeira</w:t>
            </w:r>
          </w:p>
        </w:tc>
        <w:tc>
          <w:tcPr>
            <w:tcW w:w="2060" w:type="dxa"/>
            <w:vAlign w:val="bottom"/>
            <w:gridSpan w:val="3"/>
          </w:tcPr>
          <w:p>
            <w:pPr>
              <w:spacing w:after="0"/>
              <w:rPr>
                <w:sz w:val="24"/>
                <w:szCs w:val="24"/>
                <w:color w:val="auto"/>
              </w:rPr>
            </w:pPr>
          </w:p>
        </w:tc>
      </w:tr>
      <w:tr>
        <w:trPr>
          <w:trHeight w:val="426"/>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0" w:type="dxa"/>
            <w:vAlign w:val="bottom"/>
            <w:tcBorders>
              <w:bottom w:val="single" w:sz="8" w:color="auto"/>
            </w:tcBorders>
            <w:gridSpan w:val="2"/>
          </w:tcPr>
          <w:p>
            <w:pPr>
              <w:spacing w:after="0"/>
              <w:rPr>
                <w:sz w:val="24"/>
                <w:szCs w:val="24"/>
                <w:color w:val="auto"/>
              </w:rPr>
            </w:pPr>
          </w:p>
        </w:tc>
        <w:tc>
          <w:tcPr>
            <w:tcW w:w="41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0"/>
                <w:szCs w:val="20"/>
                <w:color w:val="auto"/>
              </w:rPr>
              <w:t>DXC Account General Manager - Sabre</w:t>
            </w:r>
          </w:p>
        </w:tc>
      </w:tr>
      <w:tr>
        <w:trPr>
          <w:trHeight w:val="42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180" w:type="dxa"/>
            <w:vAlign w:val="bottom"/>
            <w:tcBorders>
              <w:bottom w:val="single" w:sz="8" w:color="auto"/>
            </w:tcBorders>
            <w:gridSpan w:val="2"/>
          </w:tcPr>
          <w:p>
            <w:pPr>
              <w:spacing w:after="0"/>
              <w:rPr>
                <w:sz w:val="24"/>
                <w:szCs w:val="24"/>
                <w:color w:val="auto"/>
              </w:rPr>
            </w:pPr>
          </w:p>
        </w:tc>
        <w:tc>
          <w:tcPr>
            <w:tcW w:w="2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December 21, 2023</w:t>
            </w:r>
          </w:p>
        </w:tc>
        <w:tc>
          <w:tcPr>
            <w:tcW w:w="1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2 of 2</w:t>
      </w: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SABRE AND DXC CONFIDENTIAL INFORMATION</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Amendment 26</w:t>
      </w:r>
    </w:p>
    <w:p>
      <w:pPr>
        <w:sectPr>
          <w:pgSz w:w="11900" w:h="16838" w:orient="portrait"/>
          <w:cols w:equalWidth="0" w:num="1">
            <w:col w:w="11240"/>
          </w:cols>
          <w:pgMar w:left="320" w:top="10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jc w:val="center"/>
        <w:spacing w:after="0"/>
        <w:rPr>
          <w:sz w:val="20"/>
          <w:szCs w:val="20"/>
          <w:color w:val="auto"/>
        </w:rPr>
      </w:pPr>
      <w:r>
        <w:rPr>
          <w:rFonts w:ascii="Arial" w:cs="Arial" w:eastAsia="Arial" w:hAnsi="Arial"/>
          <w:sz w:val="18"/>
          <w:szCs w:val="18"/>
          <w:b w:val="1"/>
          <w:bCs w:val="1"/>
          <w:color w:val="auto"/>
        </w:rPr>
        <w:t>2023 ANNUAL REPORT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Sabre Corporation as of December 31, 2023 and the states or jurisdictions in which they are</w:t>
      </w:r>
    </w:p>
    <w:p>
      <w:pPr>
        <w:spacing w:after="0" w:line="14"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organized. Except as otherwise specified, in each case Sabre Corporation owns, directly or indirectly, all of the voting securities of each subsidiary.</w:t>
      </w:r>
    </w:p>
    <w:p>
      <w:pPr>
        <w:spacing w:after="0" w:line="266" w:lineRule="exact"/>
        <w:rPr>
          <w:sz w:val="20"/>
          <w:szCs w:val="20"/>
          <w:color w:val="auto"/>
        </w:rPr>
      </w:pPr>
    </w:p>
    <w:tbl>
      <w:tblPr>
        <w:tblLayout w:type="fixed"/>
        <w:tblInd w:w="80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0" w:type="dxa"/>
            <w:vAlign w:val="bottom"/>
          </w:tcPr>
          <w:p>
            <w:pPr>
              <w:jc w:val="center"/>
              <w:ind w:left="138"/>
              <w:spacing w:after="0"/>
              <w:rPr>
                <w:sz w:val="20"/>
                <w:szCs w:val="20"/>
                <w:color w:val="auto"/>
              </w:rPr>
            </w:pPr>
            <w:r>
              <w:rPr>
                <w:rFonts w:ascii="Arial" w:cs="Arial" w:eastAsia="Arial" w:hAnsi="Arial"/>
                <w:sz w:val="16"/>
                <w:szCs w:val="16"/>
                <w:b w:val="1"/>
                <w:bCs w:val="1"/>
                <w:color w:val="auto"/>
                <w:w w:val="99"/>
              </w:rPr>
              <w:t>% of Voting Interest</w:t>
            </w:r>
          </w:p>
        </w:tc>
        <w:tc>
          <w:tcPr>
            <w:tcW w:w="0" w:type="dxa"/>
            <w:vAlign w:val="bottom"/>
          </w:tcPr>
          <w:p>
            <w:pPr>
              <w:spacing w:after="0"/>
              <w:rPr>
                <w:sz w:val="1"/>
                <w:szCs w:val="1"/>
                <w:color w:val="auto"/>
              </w:rPr>
            </w:pPr>
          </w:p>
        </w:tc>
      </w:tr>
      <w:tr>
        <w:trPr>
          <w:trHeight w:val="317"/>
        </w:trPr>
        <w:tc>
          <w:tcPr>
            <w:tcW w:w="3640" w:type="dxa"/>
            <w:vAlign w:val="bottom"/>
          </w:tcPr>
          <w:p>
            <w:pPr>
              <w:spacing w:after="0"/>
              <w:rPr>
                <w:sz w:val="24"/>
                <w:szCs w:val="24"/>
                <w:color w:val="auto"/>
              </w:rPr>
            </w:pPr>
          </w:p>
        </w:tc>
        <w:tc>
          <w:tcPr>
            <w:tcW w:w="2860" w:type="dxa"/>
            <w:vAlign w:val="bottom"/>
          </w:tcPr>
          <w:p>
            <w:pPr>
              <w:jc w:val="center"/>
              <w:ind w:left="139"/>
              <w:spacing w:after="0"/>
              <w:rPr>
                <w:sz w:val="20"/>
                <w:szCs w:val="20"/>
                <w:color w:val="auto"/>
              </w:rPr>
            </w:pPr>
            <w:r>
              <w:rPr>
                <w:rFonts w:ascii="Arial" w:cs="Arial" w:eastAsia="Arial" w:hAnsi="Arial"/>
                <w:sz w:val="16"/>
                <w:szCs w:val="16"/>
                <w:b w:val="1"/>
                <w:bCs w:val="1"/>
                <w:color w:val="auto"/>
              </w:rPr>
              <w:t>Jurisdiction of Incorporation</w:t>
            </w:r>
          </w:p>
        </w:tc>
        <w:tc>
          <w:tcPr>
            <w:tcW w:w="2200" w:type="dxa"/>
            <w:vAlign w:val="bottom"/>
          </w:tcPr>
          <w:p>
            <w:pPr>
              <w:jc w:val="center"/>
              <w:ind w:left="138"/>
              <w:spacing w:after="0"/>
              <w:rPr>
                <w:sz w:val="20"/>
                <w:szCs w:val="20"/>
                <w:color w:val="auto"/>
              </w:rPr>
            </w:pPr>
            <w:r>
              <w:rPr>
                <w:rFonts w:ascii="Arial" w:cs="Arial" w:eastAsia="Arial" w:hAnsi="Arial"/>
                <w:sz w:val="16"/>
                <w:szCs w:val="16"/>
                <w:b w:val="1"/>
                <w:bCs w:val="1"/>
                <w:color w:val="auto"/>
              </w:rPr>
              <w:t>Directly or Indirectly Held</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b w:val="1"/>
                <w:bCs w:val="1"/>
                <w:color w:val="auto"/>
              </w:rPr>
              <w:t>Legal Name of Subsidiary</w:t>
            </w:r>
          </w:p>
        </w:tc>
        <w:tc>
          <w:tcPr>
            <w:tcW w:w="2860" w:type="dxa"/>
            <w:vAlign w:val="bottom"/>
          </w:tcPr>
          <w:p>
            <w:pPr>
              <w:jc w:val="center"/>
              <w:ind w:left="139"/>
              <w:spacing w:after="0"/>
              <w:rPr>
                <w:sz w:val="20"/>
                <w:szCs w:val="20"/>
                <w:color w:val="auto"/>
              </w:rPr>
            </w:pPr>
            <w:r>
              <w:rPr>
                <w:rFonts w:ascii="Arial" w:cs="Arial" w:eastAsia="Arial" w:hAnsi="Arial"/>
                <w:sz w:val="16"/>
                <w:szCs w:val="16"/>
                <w:b w:val="1"/>
                <w:bCs w:val="1"/>
                <w:color w:val="auto"/>
              </w:rPr>
              <w:t>or Organization</w:t>
            </w:r>
          </w:p>
        </w:tc>
        <w:tc>
          <w:tcPr>
            <w:tcW w:w="2200" w:type="dxa"/>
            <w:vAlign w:val="bottom"/>
          </w:tcPr>
          <w:p>
            <w:pPr>
              <w:jc w:val="center"/>
              <w:ind w:left="138"/>
              <w:spacing w:after="0"/>
              <w:rPr>
                <w:sz w:val="20"/>
                <w:szCs w:val="20"/>
                <w:color w:val="auto"/>
              </w:rPr>
            </w:pPr>
            <w:r>
              <w:rPr>
                <w:rFonts w:ascii="Arial" w:cs="Arial" w:eastAsia="Arial" w:hAnsi="Arial"/>
                <w:sz w:val="16"/>
                <w:szCs w:val="16"/>
                <w:b w:val="1"/>
                <w:bCs w:val="1"/>
                <w:color w:val="auto"/>
              </w:rPr>
              <w:t>(If Not Wholly-owned)</w:t>
            </w:r>
          </w:p>
        </w:tc>
        <w:tc>
          <w:tcPr>
            <w:tcW w:w="0" w:type="dxa"/>
            <w:vAlign w:val="bottom"/>
          </w:tcPr>
          <w:p>
            <w:pPr>
              <w:spacing w:after="0"/>
              <w:rPr>
                <w:sz w:val="1"/>
                <w:szCs w:val="1"/>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6"/>
                <w:szCs w:val="16"/>
                <w:color w:val="auto"/>
              </w:rPr>
              <w:t>Airline Technology Services Mauritius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8"/>
              </w:rPr>
              <w:t>Mauritius</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Asiana Sabre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Korea, Republic of</w:t>
            </w:r>
          </w:p>
        </w:tc>
        <w:tc>
          <w:tcPr>
            <w:tcW w:w="2200" w:type="dxa"/>
            <w:vAlign w:val="bottom"/>
          </w:tcPr>
          <w:p>
            <w:pPr>
              <w:jc w:val="center"/>
              <w:ind w:left="138"/>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Conferma US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Conferma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Conferma Pty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Australia</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Conferma Singapore Pte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8"/>
              </w:rPr>
              <w:t>Singapore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E-Beam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Elektroniczne Systemy Sprzedazy Sp. ZO.O.</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Poland</w:t>
            </w:r>
          </w:p>
        </w:tc>
        <w:tc>
          <w:tcPr>
            <w:tcW w:w="2200" w:type="dxa"/>
            <w:vAlign w:val="bottom"/>
          </w:tcPr>
          <w:p>
            <w:pPr>
              <w:jc w:val="center"/>
              <w:ind w:left="138"/>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Excellent Management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9"/>
              </w:rPr>
              <w:t>Hong Kong</w:t>
            </w:r>
          </w:p>
        </w:tc>
        <w:tc>
          <w:tcPr>
            <w:tcW w:w="2200" w:type="dxa"/>
            <w:vAlign w:val="bottom"/>
          </w:tcPr>
          <w:p>
            <w:pPr>
              <w:jc w:val="center"/>
              <w:ind w:left="138"/>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EZY Webwerksraden AB</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Sweden</w:t>
            </w:r>
          </w:p>
        </w:tc>
        <w:tc>
          <w:tcPr>
            <w:tcW w:w="2200" w:type="dxa"/>
            <w:vAlign w:val="bottom"/>
            <w:vMerge w:val="restart"/>
          </w:tcPr>
          <w:p>
            <w:pPr>
              <w:jc w:val="center"/>
              <w:ind w:left="158"/>
              <w:spacing w:after="0"/>
              <w:rPr>
                <w:sz w:val="20"/>
                <w:szCs w:val="20"/>
                <w:color w:val="auto"/>
              </w:rPr>
            </w:pPr>
            <w:r>
              <w:rPr>
                <w:rFonts w:ascii="Arial" w:cs="Arial" w:eastAsia="Arial" w:hAnsi="Arial"/>
                <w:sz w:val="18"/>
                <w:szCs w:val="18"/>
                <w:color w:val="auto"/>
                <w:w w:val="99"/>
              </w:rPr>
              <w:t>81%</w:t>
            </w:r>
          </w:p>
        </w:tc>
        <w:tc>
          <w:tcPr>
            <w:tcW w:w="0" w:type="dxa"/>
            <w:vAlign w:val="bottom"/>
          </w:tcPr>
          <w:p>
            <w:pPr>
              <w:spacing w:after="0"/>
              <w:rPr>
                <w:sz w:val="1"/>
                <w:szCs w:val="1"/>
                <w:color w:val="auto"/>
              </w:rPr>
            </w:pPr>
          </w:p>
        </w:tc>
      </w:tr>
      <w:tr>
        <w:trPr>
          <w:trHeight w:val="231"/>
        </w:trPr>
        <w:tc>
          <w:tcPr>
            <w:tcW w:w="3640" w:type="dxa"/>
            <w:vAlign w:val="bottom"/>
          </w:tcPr>
          <w:p>
            <w:pPr>
              <w:spacing w:after="0"/>
              <w:rPr>
                <w:sz w:val="20"/>
                <w:szCs w:val="20"/>
                <w:color w:val="auto"/>
              </w:rPr>
            </w:pPr>
            <w:r>
              <w:rPr>
                <w:rFonts w:ascii="Arial" w:cs="Arial" w:eastAsia="Arial" w:hAnsi="Arial"/>
                <w:sz w:val="16"/>
                <w:szCs w:val="16"/>
                <w:color w:val="auto"/>
              </w:rPr>
              <w:t>FERMR Holdings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6"/>
                <w:szCs w:val="16"/>
                <w:color w:val="auto"/>
              </w:rPr>
              <w:t>GetThere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GetThere L.P.</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IHS US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w w:val="98"/>
              </w:rPr>
              <w:t>Florida</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Innlink, LLC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Laser Holdings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lastminute.com Holdings,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lastminute.com LLC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Lastminute.com GmbH i.L.</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Germany</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Last Minute Network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Leisure Cars Group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Leisure Cars International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United Kingdom</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Marlins Acquisition Corp</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Nexus World Services,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Arial" w:cs="Arial" w:eastAsia="Arial" w:hAnsi="Arial"/>
                <w:sz w:val="16"/>
                <w:szCs w:val="16"/>
                <w:color w:val="auto"/>
              </w:rPr>
              <w:t>Nuvola Colombia S.A.S.</w:t>
            </w:r>
          </w:p>
        </w:tc>
        <w:tc>
          <w:tcPr>
            <w:tcW w:w="2860" w:type="dxa"/>
            <w:vAlign w:val="bottom"/>
          </w:tcPr>
          <w:p>
            <w:pPr>
              <w:jc w:val="center"/>
              <w:ind w:left="139"/>
              <w:spacing w:after="0"/>
              <w:rPr>
                <w:sz w:val="20"/>
                <w:szCs w:val="20"/>
                <w:color w:val="auto"/>
              </w:rPr>
            </w:pPr>
            <w:r>
              <w:rPr>
                <w:rFonts w:ascii="Arial" w:cs="Arial" w:eastAsia="Arial" w:hAnsi="Arial"/>
                <w:sz w:val="18"/>
                <w:szCs w:val="18"/>
                <w:color w:val="auto"/>
                <w:w w:val="99"/>
              </w:rPr>
              <w:t>Colombia</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6"/>
                <w:szCs w:val="16"/>
                <w:color w:val="auto"/>
              </w:rPr>
              <w:t>Nuvola,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Pakistan Travel Solutions (Private) Limited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Pakistan</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PRISM Group,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Maryland</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PRISM Technologies, LLC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New Mexico</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PT Sabre Travel Network Indonesia</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Indonesia</w:t>
            </w:r>
          </w:p>
        </w:tc>
        <w:tc>
          <w:tcPr>
            <w:tcW w:w="2200" w:type="dxa"/>
            <w:vAlign w:val="bottom"/>
          </w:tcPr>
          <w:p>
            <w:pPr>
              <w:jc w:val="center"/>
              <w:ind w:left="138"/>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Radixx Solutions International,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RSI Midco, Inc.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Sabre (Australia) Pty Ltd</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Australia</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Sabre (Thailand) Holdings LLC</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Delaware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Sabre Airline Solutions GmbH</w:t>
            </w:r>
          </w:p>
        </w:tc>
        <w:tc>
          <w:tcPr>
            <w:tcW w:w="2860" w:type="dxa"/>
            <w:vAlign w:val="bottom"/>
          </w:tcPr>
          <w:p>
            <w:pPr>
              <w:jc w:val="center"/>
              <w:ind w:left="139"/>
              <w:spacing w:after="0"/>
              <w:rPr>
                <w:sz w:val="20"/>
                <w:szCs w:val="20"/>
                <w:color w:val="auto"/>
              </w:rPr>
            </w:pPr>
            <w:r>
              <w:rPr>
                <w:rFonts w:ascii="Arial" w:cs="Arial" w:eastAsia="Arial" w:hAnsi="Arial"/>
                <w:sz w:val="16"/>
                <w:szCs w:val="16"/>
                <w:color w:val="auto"/>
              </w:rPr>
              <w:t>Germany</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Sabre AS (Luxembourg) S.a r.l.</w:t>
            </w:r>
          </w:p>
        </w:tc>
        <w:tc>
          <w:tcPr>
            <w:tcW w:w="2860" w:type="dxa"/>
            <w:vAlign w:val="bottom"/>
          </w:tcPr>
          <w:p>
            <w:pPr>
              <w:jc w:val="center"/>
              <w:ind w:left="119"/>
              <w:spacing w:after="0"/>
              <w:rPr>
                <w:sz w:val="20"/>
                <w:szCs w:val="20"/>
                <w:color w:val="auto"/>
              </w:rPr>
            </w:pPr>
            <w:r>
              <w:rPr>
                <w:rFonts w:ascii="Arial" w:cs="Arial" w:eastAsia="Arial" w:hAnsi="Arial"/>
                <w:sz w:val="16"/>
                <w:szCs w:val="16"/>
                <w:color w:val="auto"/>
              </w:rPr>
              <w:t>Luxembourg</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Sabre Asia Pacific Pte. Ltd.</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Singapore</w:t>
            </w:r>
          </w:p>
        </w:tc>
        <w:tc>
          <w:tcPr>
            <w:tcW w:w="1080" w:type="dxa"/>
            <w:vAlign w:val="bottom"/>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Sabre Australia Technologies I Pty. Ltd.</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w w:val="99"/>
              </w:rPr>
              <w:t>Australia</w:t>
            </w:r>
          </w:p>
        </w:tc>
        <w:tc>
          <w:tcPr>
            <w:tcW w:w="10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6"/>
                <w:szCs w:val="16"/>
                <w:color w:val="auto"/>
              </w:rPr>
              <w:t>Sabre Austria GmbH</w:t>
            </w:r>
          </w:p>
        </w:tc>
        <w:tc>
          <w:tcPr>
            <w:tcW w:w="3100" w:type="dxa"/>
            <w:vAlign w:val="bottom"/>
          </w:tcPr>
          <w:p>
            <w:pPr>
              <w:jc w:val="center"/>
              <w:ind w:left="339"/>
              <w:spacing w:after="0"/>
              <w:rPr>
                <w:sz w:val="20"/>
                <w:szCs w:val="20"/>
                <w:color w:val="auto"/>
              </w:rPr>
            </w:pPr>
            <w:r>
              <w:rPr>
                <w:rFonts w:ascii="Arial" w:cs="Arial" w:eastAsia="Arial" w:hAnsi="Arial"/>
                <w:sz w:val="18"/>
                <w:szCs w:val="18"/>
                <w:color w:val="auto"/>
                <w:w w:val="99"/>
              </w:rPr>
              <w:t>Austria</w:t>
            </w:r>
          </w:p>
        </w:tc>
        <w:tc>
          <w:tcPr>
            <w:tcW w:w="1080" w:type="dxa"/>
            <w:vAlign w:val="bottom"/>
          </w:tcPr>
          <w:p>
            <w:pPr>
              <w:spacing w:after="0"/>
              <w:rPr>
                <w:sz w:val="20"/>
                <w:szCs w:val="20"/>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Sabre Belgium SA</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Belgium</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Bulgaria AD</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Bulgaria</w:t>
            </w: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Canada Inc.</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Canada</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China Sea Technologies Ltd.</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Labuan</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Colombia Ltda.</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Colombia</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Austria Marketing GmbH</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Austria</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Danmark ApS</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Denmark</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Decision Technologies International, LLC</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Delaware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Deutschland Marketing GmbH</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Germany</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EMEA Marketing Limited</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United Kingdom</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Espana Marketing, S.A.</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Spain</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Finance (Luxembourg) S.a.r.l.</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Luxembourg</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France Sarl</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France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GDC, LLC</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Delaware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GLBL Inc.</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Delaware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Global Services S.A.</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Uruguay</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Global Technologies Limited</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United Kingdom</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Headquarters, LLC</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Delaware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Hellas Computer Reservation Systems</w:t>
            </w:r>
          </w:p>
        </w:tc>
        <w:tc>
          <w:tcPr>
            <w:tcW w:w="3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Services Societe Anonyme</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Greece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Holdings (Luxembourg) S.a.r.l.</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Luxembourg</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Holdings Corporation</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Delaware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Holdings GmbH</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Germany</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Hospitality Solutions GmbH</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Germany</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Iceland ehf.</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Iceland</w:t>
            </w:r>
          </w:p>
        </w:tc>
        <w:tc>
          <w:tcPr>
            <w:tcW w:w="1080" w:type="dxa"/>
            <w:vAlign w:val="bottom"/>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Sabre Informacion S.A. de C.V.</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w w:val="98"/>
              </w:rPr>
              <w:t>Mexico</w:t>
            </w:r>
          </w:p>
        </w:tc>
        <w:tc>
          <w:tcPr>
            <w:tcW w:w="10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6"/>
                <w:szCs w:val="16"/>
                <w:color w:val="auto"/>
              </w:rPr>
              <w:t>Sabre Integroup LLC</w:t>
            </w:r>
          </w:p>
        </w:tc>
        <w:tc>
          <w:tcPr>
            <w:tcW w:w="3100" w:type="dxa"/>
            <w:vAlign w:val="bottom"/>
          </w:tcPr>
          <w:p>
            <w:pPr>
              <w:jc w:val="center"/>
              <w:ind w:left="359"/>
              <w:spacing w:after="0"/>
              <w:rPr>
                <w:sz w:val="20"/>
                <w:szCs w:val="20"/>
                <w:color w:val="auto"/>
              </w:rPr>
            </w:pPr>
            <w:r>
              <w:rPr>
                <w:rFonts w:ascii="Arial" w:cs="Arial" w:eastAsia="Arial" w:hAnsi="Arial"/>
                <w:sz w:val="18"/>
                <w:szCs w:val="18"/>
                <w:color w:val="auto"/>
                <w:w w:val="98"/>
              </w:rPr>
              <w:t>Russia</w:t>
            </w: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5"/>
        </w:trPr>
        <w:tc>
          <w:tcPr>
            <w:tcW w:w="4620" w:type="dxa"/>
            <w:vAlign w:val="bottom"/>
          </w:tcPr>
          <w:p>
            <w:pPr>
              <w:spacing w:after="0"/>
              <w:rPr>
                <w:sz w:val="20"/>
                <w:szCs w:val="20"/>
                <w:color w:val="auto"/>
              </w:rPr>
            </w:pPr>
            <w:r>
              <w:rPr>
                <w:rFonts w:ascii="Arial" w:cs="Arial" w:eastAsia="Arial" w:hAnsi="Arial"/>
                <w:sz w:val="16"/>
                <w:szCs w:val="16"/>
                <w:color w:val="auto"/>
              </w:rPr>
              <w:t>Sabre International (Bahrain) W.L.L.</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Bahrain</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(Luxembourg) S.a.r.l.</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Luxembourg</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B.V.</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w w:val="99"/>
              </w:rPr>
              <w:t>Netherlands</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Holdings, LLC</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Delaware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Newco, Inc.</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Delaware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International, LLC</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Delaware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Ireland Limited</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Ireland</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Israel Travel Technologies LTD.</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Israel</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Italia S.r.l.</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Italy</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Limited</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New Zealand</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Marketing Nederland B.V.</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w w:val="99"/>
              </w:rPr>
              <w:t>Netherlands</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Marketing Pte. Ltd.</w:t>
            </w:r>
          </w:p>
        </w:tc>
        <w:tc>
          <w:tcPr>
            <w:tcW w:w="3100" w:type="dxa"/>
            <w:vAlign w:val="bottom"/>
          </w:tcPr>
          <w:p>
            <w:pPr>
              <w:jc w:val="center"/>
              <w:ind w:left="359"/>
              <w:spacing w:after="0"/>
              <w:rPr>
                <w:sz w:val="20"/>
                <w:szCs w:val="20"/>
                <w:color w:val="auto"/>
              </w:rPr>
            </w:pPr>
            <w:r>
              <w:rPr>
                <w:rFonts w:ascii="Arial" w:cs="Arial" w:eastAsia="Arial" w:hAnsi="Arial"/>
                <w:sz w:val="16"/>
                <w:szCs w:val="16"/>
                <w:color w:val="auto"/>
              </w:rPr>
              <w:t>Singapore</w:t>
            </w:r>
          </w:p>
        </w:tc>
        <w:tc>
          <w:tcPr>
            <w:tcW w:w="108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Sabre Mexico LLC</w:t>
            </w:r>
          </w:p>
        </w:tc>
        <w:tc>
          <w:tcPr>
            <w:tcW w:w="3100" w:type="dxa"/>
            <w:vAlign w:val="bottom"/>
          </w:tcPr>
          <w:p>
            <w:pPr>
              <w:jc w:val="center"/>
              <w:ind w:left="339"/>
              <w:spacing w:after="0"/>
              <w:rPr>
                <w:sz w:val="20"/>
                <w:szCs w:val="20"/>
                <w:color w:val="auto"/>
              </w:rPr>
            </w:pPr>
            <w:r>
              <w:rPr>
                <w:rFonts w:ascii="Arial" w:cs="Arial" w:eastAsia="Arial" w:hAnsi="Arial"/>
                <w:sz w:val="16"/>
                <w:szCs w:val="16"/>
                <w:color w:val="auto"/>
              </w:rPr>
              <w:t>Delaware</w:t>
            </w:r>
          </w:p>
        </w:tc>
        <w:tc>
          <w:tcPr>
            <w:tcW w:w="1080" w:type="dxa"/>
            <w:vAlign w:val="bottom"/>
          </w:tcPr>
          <w:p>
            <w:pPr>
              <w:spacing w:after="0"/>
              <w:rPr>
                <w:sz w:val="18"/>
                <w:szCs w:val="18"/>
                <w:color w:val="auto"/>
              </w:rPr>
            </w:pPr>
          </w:p>
        </w:tc>
      </w:tr>
    </w:tbl>
    <w:p>
      <w:pPr>
        <w:sectPr>
          <w:pgSz w:w="11900" w:h="16838" w:orient="portrait"/>
          <w:cols w:equalWidth="0" w:num="1">
            <w:col w:w="11220"/>
          </w:cols>
          <w:pgMar w:left="340" w:top="36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20"/>
                <w:szCs w:val="20"/>
                <w:color w:val="auto"/>
              </w:rPr>
            </w:pPr>
            <w:r>
              <w:rPr>
                <w:rFonts w:ascii="Arial" w:cs="Arial" w:eastAsia="Arial" w:hAnsi="Arial"/>
                <w:sz w:val="16"/>
                <w:szCs w:val="16"/>
                <w:color w:val="auto"/>
              </w:rPr>
              <w:t>Sabre Nederland Holdings B.V.</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Netherlands</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Norge AS</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Norway</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Pakistan (Private)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Pakistan</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Polska Sp. Z.o.o.</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Poland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Portugal Servicios Lda</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Portugal</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Securitization, LLC</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Delaware</w:t>
            </w:r>
          </w:p>
        </w:tc>
        <w:tc>
          <w:tcPr>
            <w:tcW w:w="1060" w:type="dxa"/>
            <w:vAlign w:val="bottom"/>
          </w:tcPr>
          <w:p>
            <w:pPr>
              <w:spacing w:after="0"/>
              <w:rPr>
                <w:sz w:val="18"/>
                <w:szCs w:val="18"/>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Sabre Seyahat Dagitim Sisternleri A.S.</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Turkey</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Sociedad Technologica S de RL de CV</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8"/>
              </w:rPr>
              <w:t>Mexico</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South Pacific I</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Australia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Suomi Oy</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Finland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Sverige AB</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Sweden</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Technology Holdings Pte.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Singapore</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Technology Holland II B.V.</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Netherlands</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International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Ireland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(Australia) Pty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Australia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(Bangladesh)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Bangladesh</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49%</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(Brunei) Sdn Bhd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Brunei Darussalam</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15%</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(Central Asia) LLP</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Kazakhstan</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(Hong Kong)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Hong Kong</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(India) Private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7"/>
              </w:rPr>
              <w:t>India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Lao People's Democratic</w:t>
            </w:r>
          </w:p>
        </w:tc>
        <w:tc>
          <w:tcPr>
            <w:tcW w:w="1060" w:type="dxa"/>
            <w:vAlign w:val="bottom"/>
          </w:tcPr>
          <w:p>
            <w:pPr>
              <w:spacing w:after="0"/>
              <w:rPr>
                <w:sz w:val="18"/>
                <w:szCs w:val="18"/>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6"/>
                <w:szCs w:val="16"/>
                <w:color w:val="auto"/>
              </w:rPr>
              <w:t>Sabre Travel Network (Lao) Co.,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Republic</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40%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(Malaysia) Sdn. Bhd.</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Malaysia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(New Zealand)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9"/>
              </w:rPr>
              <w:t>New Zealand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(Pakistan) Private Limited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Pakistan</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25%</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(Philippines) Inc.</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Philippines</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17%</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(Thailand)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Thailand</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Eqypt LLC</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Egypt</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Jordan LLC</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Jordan</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Lanka (Private) Limited</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Sri Lanka</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Middle East Co. W.L.L.</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Bahrain</w:t>
            </w:r>
          </w:p>
        </w:tc>
        <w:tc>
          <w:tcPr>
            <w:tcW w:w="1060" w:type="dxa"/>
            <w:vAlign w:val="bottom"/>
          </w:tcPr>
          <w:p>
            <w:pPr>
              <w:jc w:val="center"/>
              <w:ind w:left="499"/>
              <w:spacing w:after="0"/>
              <w:rPr>
                <w:sz w:val="20"/>
                <w:szCs w:val="20"/>
                <w:color w:val="auto"/>
              </w:rPr>
            </w:pPr>
            <w:r>
              <w:rPr>
                <w:rFonts w:ascii="Arial" w:cs="Arial" w:eastAsia="Arial" w:hAnsi="Arial"/>
                <w:sz w:val="16"/>
                <w:szCs w:val="16"/>
                <w:color w:val="auto"/>
                <w:w w:val="99"/>
              </w:rPr>
              <w:t>60%</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Romania S.R.L.</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rPr>
              <w:t>Romania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Southern Africa (Proprietary)</w:t>
            </w:r>
          </w:p>
        </w:tc>
        <w:tc>
          <w:tcPr>
            <w:tcW w:w="3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Limited</w:t>
            </w:r>
          </w:p>
        </w:tc>
        <w:tc>
          <w:tcPr>
            <w:tcW w:w="3320" w:type="dxa"/>
            <w:vAlign w:val="bottom"/>
          </w:tcPr>
          <w:p>
            <w:pPr>
              <w:jc w:val="center"/>
              <w:ind w:left="239"/>
              <w:spacing w:after="0"/>
              <w:rPr>
                <w:sz w:val="20"/>
                <w:szCs w:val="20"/>
                <w:color w:val="auto"/>
              </w:rPr>
            </w:pPr>
            <w:r>
              <w:rPr>
                <w:rFonts w:ascii="Arial" w:cs="Arial" w:eastAsia="Arial" w:hAnsi="Arial"/>
                <w:sz w:val="16"/>
                <w:szCs w:val="16"/>
                <w:color w:val="auto"/>
              </w:rPr>
              <w:t>South Africa</w:t>
            </w:r>
          </w:p>
        </w:tc>
        <w:tc>
          <w:tcPr>
            <w:tcW w:w="10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Sabre Travel Network Taiwan Ltd.</w:t>
            </w:r>
          </w:p>
        </w:tc>
        <w:tc>
          <w:tcPr>
            <w:tcW w:w="3320" w:type="dxa"/>
            <w:vAlign w:val="bottom"/>
          </w:tcPr>
          <w:p>
            <w:pPr>
              <w:jc w:val="center"/>
              <w:ind w:left="259"/>
              <w:spacing w:after="0"/>
              <w:rPr>
                <w:sz w:val="20"/>
                <w:szCs w:val="20"/>
                <w:color w:val="auto"/>
              </w:rPr>
            </w:pPr>
            <w:r>
              <w:rPr>
                <w:rFonts w:ascii="Arial" w:cs="Arial" w:eastAsia="Arial" w:hAnsi="Arial"/>
                <w:sz w:val="16"/>
                <w:szCs w:val="16"/>
                <w:color w:val="auto"/>
                <w:w w:val="96"/>
              </w:rPr>
              <w:t>Taiwan</w:t>
            </w:r>
          </w:p>
        </w:tc>
        <w:tc>
          <w:tcPr>
            <w:tcW w:w="1060" w:type="dxa"/>
            <w:vAlign w:val="bottom"/>
          </w:tcPr>
          <w:p>
            <w:pPr>
              <w:jc w:val="center"/>
              <w:ind w:left="519"/>
              <w:spacing w:after="0"/>
              <w:rPr>
                <w:sz w:val="20"/>
                <w:szCs w:val="20"/>
                <w:color w:val="auto"/>
              </w:rPr>
            </w:pPr>
            <w:r>
              <w:rPr>
                <w:rFonts w:ascii="Arial" w:cs="Arial" w:eastAsia="Arial" w:hAnsi="Arial"/>
                <w:sz w:val="16"/>
                <w:szCs w:val="16"/>
                <w:color w:val="auto"/>
              </w:rPr>
              <w:t>4.39%</w:t>
            </w:r>
          </w:p>
        </w:tc>
      </w:tr>
    </w:tbl>
    <w:p>
      <w:pPr>
        <w:sectPr>
          <w:pgSz w:w="11900" w:h="16838" w:orient="portrait"/>
          <w:cols w:equalWidth="0" w:num="1">
            <w:col w:w="11220"/>
          </w:cols>
          <w:pgMar w:left="340" w:top="36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20"/>
                <w:szCs w:val="20"/>
                <w:color w:val="auto"/>
              </w:rPr>
            </w:pPr>
            <w:r>
              <w:rPr>
                <w:rFonts w:ascii="Arial" w:cs="Arial" w:eastAsia="Arial" w:hAnsi="Arial"/>
                <w:sz w:val="16"/>
                <w:szCs w:val="16"/>
                <w:color w:val="auto"/>
              </w:rPr>
              <w:t>Sabre Travel Technologies (Private) Limited</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India</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UK Marketing Ltd.</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United Kingdom</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Ukraine Limited</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United Kingdom</w:t>
            </w: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Ukraine LLC</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Ukraine</w:t>
            </w: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Vietnam JSC</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Vietnam</w:t>
            </w: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 Zenon Cyprus Limited</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Cyprus</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SabreMark G.P., LLC</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Delaware</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SabreMark Limited Partnership</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Delaware</w:t>
            </w:r>
          </w:p>
        </w:tc>
        <w:tc>
          <w:tcPr>
            <w:tcW w:w="1020" w:type="dxa"/>
            <w:vAlign w:val="bottom"/>
          </w:tcPr>
          <w:p>
            <w:pPr>
              <w:spacing w:after="0"/>
              <w:rPr>
                <w:sz w:val="18"/>
                <w:szCs w:val="18"/>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6"/>
                <w:szCs w:val="16"/>
                <w:color w:val="auto"/>
              </w:rPr>
              <w:t>Switch Automated Booking Services Co WLL</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w w:val="99"/>
              </w:rPr>
              <w:t>Kuwait</w:t>
            </w: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29"/>
        </w:trPr>
        <w:tc>
          <w:tcPr>
            <w:tcW w:w="4460" w:type="dxa"/>
            <w:vAlign w:val="bottom"/>
          </w:tcPr>
          <w:p>
            <w:pPr>
              <w:spacing w:after="0"/>
              <w:rPr>
                <w:sz w:val="20"/>
                <w:szCs w:val="20"/>
                <w:color w:val="auto"/>
              </w:rPr>
            </w:pPr>
            <w:r>
              <w:rPr>
                <w:rFonts w:ascii="Arial" w:cs="Arial" w:eastAsia="Arial" w:hAnsi="Arial"/>
                <w:sz w:val="16"/>
                <w:szCs w:val="16"/>
                <w:color w:val="auto"/>
              </w:rPr>
              <w:t>Techsembly Limited</w:t>
            </w:r>
          </w:p>
        </w:tc>
        <w:tc>
          <w:tcPr>
            <w:tcW w:w="3020" w:type="dxa"/>
            <w:vAlign w:val="bottom"/>
          </w:tcPr>
          <w:p>
            <w:pPr>
              <w:jc w:val="center"/>
              <w:ind w:left="258"/>
              <w:spacing w:after="0"/>
              <w:rPr>
                <w:sz w:val="20"/>
                <w:szCs w:val="20"/>
                <w:color w:val="auto"/>
              </w:rPr>
            </w:pPr>
            <w:r>
              <w:rPr>
                <w:rFonts w:ascii="Arial" w:cs="Arial" w:eastAsia="Arial" w:hAnsi="Arial"/>
                <w:sz w:val="18"/>
                <w:szCs w:val="18"/>
                <w:color w:val="auto"/>
                <w:w w:val="99"/>
              </w:rPr>
              <w:t>United Kingdom</w:t>
            </w:r>
          </w:p>
        </w:tc>
        <w:tc>
          <w:tcPr>
            <w:tcW w:w="1020" w:type="dxa"/>
            <w:vAlign w:val="bottom"/>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6"/>
                <w:szCs w:val="16"/>
                <w:color w:val="auto"/>
              </w:rPr>
              <w:t>Techsembly Pte. Ltd.</w:t>
            </w:r>
          </w:p>
        </w:tc>
        <w:tc>
          <w:tcPr>
            <w:tcW w:w="3020" w:type="dxa"/>
            <w:vAlign w:val="bottom"/>
          </w:tcPr>
          <w:p>
            <w:pPr>
              <w:jc w:val="center"/>
              <w:ind w:left="278"/>
              <w:spacing w:after="0"/>
              <w:rPr>
                <w:sz w:val="20"/>
                <w:szCs w:val="20"/>
                <w:color w:val="auto"/>
              </w:rPr>
            </w:pPr>
            <w:r>
              <w:rPr>
                <w:rFonts w:ascii="Arial" w:cs="Arial" w:eastAsia="Arial" w:hAnsi="Arial"/>
                <w:sz w:val="18"/>
                <w:szCs w:val="18"/>
                <w:color w:val="auto"/>
                <w:w w:val="99"/>
              </w:rPr>
              <w:t>Singapore</w:t>
            </w:r>
          </w:p>
        </w:tc>
        <w:tc>
          <w:tcPr>
            <w:tcW w:w="1020" w:type="dxa"/>
            <w:vAlign w:val="bottom"/>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6"/>
                <w:szCs w:val="16"/>
                <w:color w:val="auto"/>
              </w:rPr>
              <w:t>Techsembly (HK) Limited</w:t>
            </w:r>
          </w:p>
        </w:tc>
        <w:tc>
          <w:tcPr>
            <w:tcW w:w="3020" w:type="dxa"/>
            <w:vAlign w:val="bottom"/>
          </w:tcPr>
          <w:p>
            <w:pPr>
              <w:jc w:val="center"/>
              <w:ind w:left="278"/>
              <w:spacing w:after="0"/>
              <w:rPr>
                <w:sz w:val="20"/>
                <w:szCs w:val="20"/>
                <w:color w:val="auto"/>
              </w:rPr>
            </w:pPr>
            <w:r>
              <w:rPr>
                <w:rFonts w:ascii="Arial" w:cs="Arial" w:eastAsia="Arial" w:hAnsi="Arial"/>
                <w:sz w:val="18"/>
                <w:szCs w:val="18"/>
                <w:color w:val="auto"/>
                <w:w w:val="99"/>
              </w:rPr>
              <w:t>Hong Kong</w:t>
            </w:r>
          </w:p>
        </w:tc>
        <w:tc>
          <w:tcPr>
            <w:tcW w:w="1020" w:type="dxa"/>
            <w:vAlign w:val="bottom"/>
          </w:tcPr>
          <w:p>
            <w:pPr>
              <w:spacing w:after="0"/>
              <w:rPr>
                <w:sz w:val="19"/>
                <w:szCs w:val="19"/>
                <w:color w:val="auto"/>
              </w:rPr>
            </w:pPr>
          </w:p>
        </w:tc>
      </w:tr>
      <w:tr>
        <w:trPr>
          <w:trHeight w:val="234"/>
        </w:trPr>
        <w:tc>
          <w:tcPr>
            <w:tcW w:w="4460" w:type="dxa"/>
            <w:vAlign w:val="bottom"/>
          </w:tcPr>
          <w:p>
            <w:pPr>
              <w:spacing w:after="0"/>
              <w:rPr>
                <w:sz w:val="20"/>
                <w:szCs w:val="20"/>
                <w:color w:val="auto"/>
              </w:rPr>
            </w:pPr>
            <w:r>
              <w:rPr>
                <w:rFonts w:ascii="Arial" w:cs="Arial" w:eastAsia="Arial" w:hAnsi="Arial"/>
                <w:sz w:val="16"/>
                <w:szCs w:val="16"/>
                <w:color w:val="auto"/>
              </w:rPr>
              <w:t>Techsembly (Thailand) Co., Ltd</w:t>
            </w:r>
          </w:p>
        </w:tc>
        <w:tc>
          <w:tcPr>
            <w:tcW w:w="3020" w:type="dxa"/>
            <w:vAlign w:val="bottom"/>
          </w:tcPr>
          <w:p>
            <w:pPr>
              <w:jc w:val="center"/>
              <w:ind w:left="258"/>
              <w:spacing w:after="0"/>
              <w:rPr>
                <w:sz w:val="20"/>
                <w:szCs w:val="20"/>
                <w:color w:val="auto"/>
              </w:rPr>
            </w:pPr>
            <w:r>
              <w:rPr>
                <w:rFonts w:ascii="Arial" w:cs="Arial" w:eastAsia="Arial" w:hAnsi="Arial"/>
                <w:sz w:val="18"/>
                <w:szCs w:val="18"/>
                <w:color w:val="auto"/>
                <w:w w:val="98"/>
              </w:rPr>
              <w:t>Thailand</w:t>
            </w:r>
          </w:p>
        </w:tc>
        <w:tc>
          <w:tcPr>
            <w:tcW w:w="1020" w:type="dxa"/>
            <w:vAlign w:val="bottom"/>
          </w:tcPr>
          <w:p>
            <w:pPr>
              <w:spacing w:after="0"/>
              <w:rPr>
                <w:sz w:val="20"/>
                <w:szCs w:val="20"/>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6"/>
                <w:szCs w:val="16"/>
                <w:color w:val="auto"/>
              </w:rPr>
              <w:t>TG India Holdings Company</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Cayman Islands</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TG India Management Company</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Cayman Islands</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Travelocity Global Technologies Private Limited</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India</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TravLynx LLC</w:t>
            </w:r>
          </w:p>
        </w:tc>
        <w:tc>
          <w:tcPr>
            <w:tcW w:w="3020" w:type="dxa"/>
            <w:vAlign w:val="bottom"/>
          </w:tcPr>
          <w:p>
            <w:pPr>
              <w:jc w:val="center"/>
              <w:ind w:left="278"/>
              <w:spacing w:after="0"/>
              <w:rPr>
                <w:sz w:val="20"/>
                <w:szCs w:val="20"/>
                <w:color w:val="auto"/>
              </w:rPr>
            </w:pPr>
            <w:r>
              <w:rPr>
                <w:rFonts w:ascii="Arial" w:cs="Arial" w:eastAsia="Arial" w:hAnsi="Arial"/>
                <w:sz w:val="16"/>
                <w:szCs w:val="16"/>
                <w:color w:val="auto"/>
              </w:rPr>
              <w:t>Florida</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TVL Common, Inc.</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Delaware</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TVL Europe</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United Kingdom</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TVL Holdings I, LLC</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Delaware</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TVL Holdings, Inc.</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Delaware</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TVL LLC</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Delaware</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TVL LP</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Delaware</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TVL Travel Limited</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United Kingdom</w:t>
            </w:r>
          </w:p>
        </w:tc>
        <w:tc>
          <w:tcPr>
            <w:tcW w:w="10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6"/>
                <w:szCs w:val="16"/>
                <w:color w:val="auto"/>
              </w:rPr>
              <w:t>Zuji Holdings Ltd.</w:t>
            </w:r>
          </w:p>
        </w:tc>
        <w:tc>
          <w:tcPr>
            <w:tcW w:w="3020" w:type="dxa"/>
            <w:vAlign w:val="bottom"/>
          </w:tcPr>
          <w:p>
            <w:pPr>
              <w:jc w:val="center"/>
              <w:ind w:left="258"/>
              <w:spacing w:after="0"/>
              <w:rPr>
                <w:sz w:val="20"/>
                <w:szCs w:val="20"/>
                <w:color w:val="auto"/>
              </w:rPr>
            </w:pPr>
            <w:r>
              <w:rPr>
                <w:rFonts w:ascii="Arial" w:cs="Arial" w:eastAsia="Arial" w:hAnsi="Arial"/>
                <w:sz w:val="16"/>
                <w:szCs w:val="16"/>
                <w:color w:val="auto"/>
              </w:rPr>
              <w:t>Cayman Islands</w:t>
            </w:r>
          </w:p>
        </w:tc>
        <w:tc>
          <w:tcPr>
            <w:tcW w:w="1020" w:type="dxa"/>
            <w:vAlign w:val="bottom"/>
          </w:tcPr>
          <w:p>
            <w:pPr>
              <w:spacing w:after="0"/>
              <w:rPr>
                <w:sz w:val="18"/>
                <w:szCs w:val="18"/>
                <w:color w:val="auto"/>
              </w:rPr>
            </w:pPr>
          </w:p>
        </w:tc>
      </w:tr>
    </w:tbl>
    <w:p>
      <w:pPr>
        <w:sectPr>
          <w:pgSz w:w="11900" w:h="16838" w:orient="portrait"/>
          <w:cols w:equalWidth="0" w:num="1">
            <w:col w:w="11220"/>
          </w:cols>
          <w:pgMar w:left="340" w:top="36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8"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Registration Statement (Form S-8 No. 333-271640) pertaining to the Sabre Corporation 2023 Omnibus Incentive Compensation Plan,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Registration Statement (Form S-8 No. 333-264638) pertaining to the Sabre Corporation 2022 Director Equity Compensation Plan,</w:t>
      </w:r>
    </w:p>
    <w:p>
      <w:pPr>
        <w:spacing w:after="0" w:line="97"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Registration Statement (Form S-3 No. 333-255669) and related Prospectus of Sabre Corporation,</w:t>
      </w:r>
    </w:p>
    <w:p>
      <w:pPr>
        <w:spacing w:after="0" w:line="21"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Registration Statement (Form S-8 No. 333-255679) pertaining to the Sabre Corporation 2021 Omnibus Incentive Compensation Plan,</w:t>
      </w:r>
    </w:p>
    <w:p>
      <w:pPr>
        <w:spacing w:after="0" w:line="14"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Registration Statement (Form S-8 No. 333-231014) pertaining to the Sabre Corporation 2019 Omnibus Incentive Compensation Plan and the Sabre Corporation 2019 Director Equity Compensation Plan,</w:t>
      </w: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Registration Statement (Form S-8 No. 333-211661) pertaining to the Sabre Corporation 2016 Omnibus Incentive Compensation Plan, and</w:t>
      </w:r>
    </w:p>
    <w:p>
      <w:pPr>
        <w:spacing w:after="0" w:line="8" w:lineRule="exact"/>
        <w:rPr>
          <w:rFonts w:ascii="Arial" w:cs="Arial" w:eastAsia="Arial" w:hAnsi="Arial"/>
          <w:sz w:val="16"/>
          <w:szCs w:val="16"/>
          <w:color w:val="auto"/>
        </w:rPr>
      </w:pPr>
    </w:p>
    <w:p>
      <w:pPr>
        <w:ind w:left="340" w:hanging="332"/>
        <w:spacing w:after="0" w:line="265"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Registration Statement (Form S-8 No. 333-196056) pertaining to the Sovereign Holdings, Inc. Management Equity Incentive Plan, the Sovereign Holdings, Inc. 2012 Management Equity Incentive Plan, and the Sabre Corporation 2014 Omnibus Incentive Compensation Plan;</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 our reports dated February 15, 2024, with respect to the consolidated financial statements and schedule of Sabre Corporation, and the effectiveness of internal control over financial reporting of Sabre Corporation, included in this Annual Report (Form 10-K) for the year ended December 31, 2023.</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Dallas, Texas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15, 2024</w:t>
      </w:r>
    </w:p>
    <w:p>
      <w:pPr>
        <w:sectPr>
          <w:pgSz w:w="11900" w:h="16838" w:orient="portrait"/>
          <w:cols w:equalWidth="0" w:num="1">
            <w:col w:w="11240"/>
          </w:cols>
          <w:pgMar w:left="320" w:top="14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31.1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Kurt Ekert, certify that:</w:t>
      </w:r>
    </w:p>
    <w:p>
      <w:pPr>
        <w:spacing w:after="0" w:line="22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34" w:lineRule="exact"/>
        <w:rPr>
          <w:rFonts w:ascii="Arial" w:cs="Arial" w:eastAsia="Arial" w:hAnsi="Arial"/>
          <w:sz w:val="16"/>
          <w:szCs w:val="16"/>
          <w:color w:val="auto"/>
        </w:rPr>
      </w:pPr>
    </w:p>
    <w:p>
      <w:pPr>
        <w:jc w:val="both"/>
        <w:ind w:left="660" w:right="120" w:hanging="328"/>
        <w:spacing w:after="0" w:line="275"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right="240" w:hanging="328"/>
        <w:spacing w:after="0" w:line="28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660" w:right="240" w:hanging="328"/>
        <w:spacing w:after="0" w:line="26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300" w:right="240" w:hanging="320"/>
        <w:spacing w:after="0" w:line="275"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320"/>
        <w:spacing w:after="0" w:line="275"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jc w:val="both"/>
        <w:ind w:left="1300" w:right="160" w:hanging="320"/>
        <w:spacing w:after="0" w:line="304" w:lineRule="auto"/>
        <w:tabs>
          <w:tab w:leader="none" w:pos="129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75"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80" w:hanging="328"/>
        <w:spacing w:after="0" w:line="304"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40" w:hanging="320"/>
        <w:spacing w:after="0" w:line="286"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right="280" w:hanging="320"/>
        <w:spacing w:after="0" w:line="286"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60" w:val="left"/>
          <w:tab w:leader="none" w:pos="6400" w:val="left"/>
          <w:tab w:leader="none" w:pos="6760" w:val="left"/>
        </w:tabs>
        <w:rPr>
          <w:sz w:val="20"/>
          <w:szCs w:val="20"/>
          <w:color w:val="auto"/>
        </w:rPr>
      </w:pPr>
      <w:r>
        <w:rPr>
          <w:rFonts w:ascii="Arial" w:cs="Arial" w:eastAsia="Arial" w:hAnsi="Arial"/>
          <w:sz w:val="16"/>
          <w:szCs w:val="16"/>
          <w:color w:val="auto"/>
        </w:rPr>
        <w:t>Date:</w:t>
        <w:tab/>
        <w:t>February 15, 2024</w:t>
      </w:r>
      <w:r>
        <w:rPr>
          <w:sz w:val="20"/>
          <w:szCs w:val="20"/>
          <w:color w:val="auto"/>
        </w:rPr>
        <w:tab/>
      </w:r>
      <w:r>
        <w:rPr>
          <w:rFonts w:ascii="Arial" w:cs="Arial" w:eastAsia="Arial" w:hAnsi="Arial"/>
          <w:sz w:val="16"/>
          <w:szCs w:val="16"/>
          <w:color w:val="auto"/>
        </w:rPr>
        <w:t>By:</w:t>
        <w:tab/>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20955</wp:posOffset>
            </wp:positionV>
            <wp:extent cx="28206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93">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executive officer of the registrant)</w:t>
      </w:r>
    </w:p>
    <w:p>
      <w:pPr>
        <w:sectPr>
          <w:pgSz w:w="11900" w:h="16838" w:orient="portrait"/>
          <w:cols w:equalWidth="0" w:num="1">
            <w:col w:w="11240"/>
          </w:cols>
          <w:pgMar w:left="320" w:top="1003"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31.2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Michael Randolfi, certify that:</w:t>
      </w:r>
    </w:p>
    <w:p>
      <w:pPr>
        <w:spacing w:after="0" w:line="22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Sabre Corporation;</w:t>
      </w:r>
    </w:p>
    <w:p>
      <w:pPr>
        <w:spacing w:after="0" w:line="234" w:lineRule="exact"/>
        <w:rPr>
          <w:rFonts w:ascii="Arial" w:cs="Arial" w:eastAsia="Arial" w:hAnsi="Arial"/>
          <w:sz w:val="16"/>
          <w:szCs w:val="16"/>
          <w:color w:val="auto"/>
        </w:rPr>
      </w:pPr>
    </w:p>
    <w:p>
      <w:pPr>
        <w:jc w:val="both"/>
        <w:ind w:left="660" w:right="120" w:hanging="328"/>
        <w:spacing w:after="0" w:line="275"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right="240" w:hanging="328"/>
        <w:spacing w:after="0" w:line="28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660" w:right="240" w:hanging="328"/>
        <w:spacing w:after="0" w:line="26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300" w:right="240" w:hanging="320"/>
        <w:spacing w:after="0" w:line="275"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320"/>
        <w:spacing w:after="0" w:line="275"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jc w:val="both"/>
        <w:ind w:left="1300" w:right="160" w:hanging="320"/>
        <w:spacing w:after="0" w:line="304" w:lineRule="auto"/>
        <w:tabs>
          <w:tab w:leader="none" w:pos="129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75"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80" w:hanging="328"/>
        <w:spacing w:after="0" w:line="304"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40" w:hanging="320"/>
        <w:spacing w:after="0" w:line="286"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right="280" w:hanging="320"/>
        <w:spacing w:after="0" w:line="286"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00" w:val="left"/>
          <w:tab w:leader="none" w:pos="6380" w:val="left"/>
          <w:tab w:leader="none" w:pos="6760" w:val="left"/>
        </w:tabs>
        <w:rPr>
          <w:sz w:val="20"/>
          <w:szCs w:val="20"/>
          <w:color w:val="auto"/>
        </w:rPr>
      </w:pPr>
      <w:r>
        <w:rPr>
          <w:rFonts w:ascii="Arial" w:cs="Arial" w:eastAsia="Arial" w:hAnsi="Arial"/>
          <w:sz w:val="16"/>
          <w:szCs w:val="16"/>
          <w:color w:val="auto"/>
        </w:rPr>
        <w:t>Date:</w:t>
        <w:tab/>
        <w:t>February 15, 2024</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20955</wp:posOffset>
            </wp:positionV>
            <wp:extent cx="28200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9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financial officer of the registrant)</w:t>
      </w:r>
    </w:p>
    <w:p>
      <w:pPr>
        <w:sectPr>
          <w:pgSz w:w="11900" w:h="16838" w:orient="portrait"/>
          <w:cols w:equalWidth="0" w:num="1">
            <w:col w:w="11240"/>
          </w:cols>
          <w:pgMar w:left="320" w:top="1003"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Executive Officer of Sabre Corporation, hereby certifies that to his knowledge, on the date hereof:</w:t>
      </w:r>
    </w:p>
    <w:p>
      <w:pPr>
        <w:spacing w:after="0" w:line="221" w:lineRule="exact"/>
        <w:rPr>
          <w:sz w:val="20"/>
          <w:szCs w:val="20"/>
          <w:color w:val="auto"/>
        </w:rPr>
      </w:pPr>
    </w:p>
    <w:p>
      <w:pPr>
        <w:ind w:left="660" w:right="680" w:hanging="328"/>
        <w:spacing w:after="0" w:line="28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2023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right="860" w:hanging="328"/>
        <w:spacing w:after="0" w:line="28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700" w:val="left"/>
          <w:tab w:leader="none" w:pos="5520" w:val="left"/>
          <w:tab w:leader="none" w:pos="59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15, 2024</w:t>
      </w:r>
      <w:r>
        <w:rPr>
          <w:sz w:val="20"/>
          <w:szCs w:val="20"/>
          <w:color w:val="auto"/>
        </w:rPr>
        <w:tab/>
      </w:r>
      <w:r>
        <w:rPr>
          <w:rFonts w:ascii="Arial" w:cs="Arial" w:eastAsia="Arial" w:hAnsi="Arial"/>
          <w:sz w:val="16"/>
          <w:szCs w:val="16"/>
          <w:color w:val="auto"/>
        </w:rPr>
        <w:t>By:</w:t>
        <w:tab/>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20955</wp:posOffset>
            </wp:positionV>
            <wp:extent cx="33686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9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(principal executive officer of the registrant)</w:t>
      </w:r>
    </w:p>
    <w:p>
      <w:pPr>
        <w:spacing w:after="0" w:line="3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89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3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Financial Officer of Sabre Corporation, hereby certifies that to his knowledge, on the date hereof:</w:t>
      </w:r>
    </w:p>
    <w:p>
      <w:pPr>
        <w:spacing w:after="0" w:line="221" w:lineRule="exact"/>
        <w:rPr>
          <w:sz w:val="20"/>
          <w:szCs w:val="20"/>
          <w:color w:val="auto"/>
        </w:rPr>
      </w:pPr>
    </w:p>
    <w:p>
      <w:pPr>
        <w:ind w:left="660" w:right="680" w:hanging="328"/>
        <w:spacing w:after="0" w:line="28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Form 10-K of Sabre Corporation for the year ended December 31, 2023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right="860" w:hanging="328"/>
        <w:spacing w:after="0" w:line="28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40" w:val="left"/>
          <w:tab w:leader="none" w:pos="5520" w:val="left"/>
          <w:tab w:leader="none" w:pos="5900" w:val="left"/>
        </w:tabs>
        <w:rPr>
          <w:sz w:val="20"/>
          <w:szCs w:val="20"/>
          <w:color w:val="auto"/>
        </w:rPr>
      </w:pPr>
      <w:r>
        <w:rPr>
          <w:rFonts w:ascii="Arial" w:cs="Arial" w:eastAsia="Arial" w:hAnsi="Arial"/>
          <w:sz w:val="16"/>
          <w:szCs w:val="16"/>
          <w:color w:val="auto"/>
        </w:rPr>
        <w:t>Date:</w:t>
        <w:tab/>
        <w:t>February 15, 2024</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20955</wp:posOffset>
            </wp:positionV>
            <wp:extent cx="33686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9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(principal financial officer of the registrant)</w:t>
      </w:r>
    </w:p>
    <w:p>
      <w:pPr>
        <w:spacing w:after="0" w:line="3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89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SABRE CORPORATION</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CLAWBACK POLICY</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Approved July 26,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October 2, 2023</w:t>
      </w:r>
    </w:p>
    <w:p>
      <w:pPr>
        <w:spacing w:after="0" w:line="155" w:lineRule="exact"/>
        <w:rPr>
          <w:sz w:val="20"/>
          <w:szCs w:val="20"/>
          <w:color w:val="auto"/>
        </w:rPr>
      </w:pPr>
    </w:p>
    <w:p>
      <w:pPr>
        <w:jc w:val="both"/>
        <w:ind w:firstLine="8"/>
        <w:spacing w:after="0" w:line="212" w:lineRule="auto"/>
        <w:tabs>
          <w:tab w:leader="none" w:pos="64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this Policy is to describe the circumstances in which Executive Officers will be required to repay or return Erroneously Awarded Compensation to the Company in accordance with the Clawback Rules. Each Executive Officer shall be required to sign and return to the Company an Acknowledgement and Acceptance Form pursuant to which, among other things, such Executive Officer will acknowledge that he or she is bound by the terms of this Policy; provided, however, that this Policy shall apply to, and be enforceable against, any Executive Officer and his or her successors (as specified in Section 11 of this Policy) regardless of whether or not such Executive Officer properly signs and returns to the Company such Acknowledgement and Acceptance Form and regardless of whether or not such Executive Officer is aware of his or her status as such.</w:t>
      </w:r>
    </w:p>
    <w:p>
      <w:pPr>
        <w:spacing w:after="0" w:line="156" w:lineRule="exact"/>
        <w:rPr>
          <w:rFonts w:ascii="Times New Roman" w:cs="Times New Roman" w:eastAsia="Times New Roman" w:hAnsi="Times New Roman"/>
          <w:sz w:val="22"/>
          <w:szCs w:val="22"/>
          <w:color w:val="auto"/>
        </w:rPr>
      </w:pPr>
    </w:p>
    <w:p>
      <w:pPr>
        <w:jc w:val="both"/>
        <w:ind w:firstLine="8"/>
        <w:spacing w:after="0" w:line="227" w:lineRule="auto"/>
        <w:tabs>
          <w:tab w:leader="none" w:pos="64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Except as specifically set forth herein, this Policy shall be administered by the Administrator. Any determinations made by the Administrator shall be final and binding on all affected individuals and need not be uniform with respect to each individual covered by this Policy.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53"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Policy, the following capitalized terms shall have the meanings set forth below.</w:t>
      </w:r>
    </w:p>
    <w:p>
      <w:pPr>
        <w:spacing w:after="0" w:line="173"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spacing w:after="0" w:line="147" w:lineRule="exact"/>
        <w:rPr>
          <w:rFonts w:ascii="Times New Roman" w:cs="Times New Roman" w:eastAsia="Times New Roman" w:hAnsi="Times New Roman"/>
          <w:sz w:val="22"/>
          <w:szCs w:val="22"/>
          <w:color w:val="auto"/>
        </w:rPr>
      </w:pPr>
    </w:p>
    <w:p>
      <w:pPr>
        <w:ind w:firstLine="656"/>
        <w:spacing w:after="0" w:line="239" w:lineRule="auto"/>
        <w:tabs>
          <w:tab w:leader="none" w:pos="129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shall mean the Committee or any other committee designated by the Board to administer the Policy, and in the absence of such designation, the Board.</w:t>
      </w:r>
    </w:p>
    <w:p>
      <w:pPr>
        <w:spacing w:after="0" w:line="14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shall mean the Board of Directors of the Company.</w:t>
      </w:r>
    </w:p>
    <w:p>
      <w:pPr>
        <w:spacing w:after="0" w:line="179"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Eligible Incentive Compensation</w:t>
      </w:r>
      <w:r>
        <w:rPr>
          <w:rFonts w:ascii="Times New Roman" w:cs="Times New Roman" w:eastAsia="Times New Roman" w:hAnsi="Times New Roman"/>
          <w:sz w:val="22"/>
          <w:szCs w:val="22"/>
          <w:color w:val="auto"/>
        </w:rPr>
        <w:t>” shall mean,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all Incentive-based Compensation Received by such individual: (i) on or after the Effective Date; (ii) after beginning service as an Executive Officer; (iii) while the Company has a class of securities listed on the Listing Exchange; and (iv) during the applicable Clawback Period.</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ectPr>
          <w:pgSz w:w="11900" w:h="16838" w:orient="portrait"/>
          <w:cols w:equalWidth="0" w:num="1">
            <w:col w:w="11240"/>
          </w:cols>
          <w:pgMar w:left="320" w:top="98" w:right="339" w:bottom="1440" w:gutter="0" w:footer="0" w:header="0"/>
        </w:sectPr>
      </w:pPr>
    </w:p>
    <w:bookmarkStart w:id="134" w:name="page135"/>
    <w:bookmarkEnd w:id="134"/>
    <w:p>
      <w:pPr>
        <w:jc w:val="both"/>
        <w:ind w:left="-656" w:firstLine="656"/>
        <w:spacing w:after="0" w:line="227" w:lineRule="auto"/>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Rules</w:t>
      </w:r>
      <w:r>
        <w:rPr>
          <w:rFonts w:ascii="Times New Roman" w:cs="Times New Roman" w:eastAsia="Times New Roman" w:hAnsi="Times New Roman"/>
          <w:sz w:val="22"/>
          <w:szCs w:val="22"/>
          <w:color w:val="auto"/>
        </w:rPr>
        <w:t>” shall mean Section 10D of the Exchange Act and any applicable rules or standards adopted by the SEC thereunder (including Rule 10D-1 under the Exchange Act) or the Listing Exchange pursuant to Rule 10D-1 under the Exchange Act (including Nasdaq Stock Market Listing Rule 5608), in each case as may be in effect from time to time.</w:t>
      </w:r>
    </w:p>
    <w:p>
      <w:pPr>
        <w:spacing w:after="0" w:line="14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shall mean the Compensation Committee of the Board.</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mean Sabre Corporation, together with each of its direct and indirect subsidiaries.</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shall mean October 2, 2023.</w:t>
      </w:r>
    </w:p>
    <w:p>
      <w:pPr>
        <w:spacing w:after="0" w:line="179" w:lineRule="exact"/>
        <w:rPr>
          <w:rFonts w:ascii="Times New Roman" w:cs="Times New Roman" w:eastAsia="Times New Roman" w:hAnsi="Times New Roman"/>
          <w:sz w:val="22"/>
          <w:szCs w:val="22"/>
          <w:color w:val="auto"/>
        </w:rPr>
      </w:pPr>
    </w:p>
    <w:p>
      <w:pPr>
        <w:jc w:val="both"/>
        <w:ind w:left="-656" w:firstLine="656"/>
        <w:spacing w:after="0" w:line="222" w:lineRule="auto"/>
        <w:tabs>
          <w:tab w:leader="none" w:pos="62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shall mean, with respect to each Executive Officer in connection with an Accounting Restatement, the amount of Clawback Eligible Incentive Compensation that exceeds the amount of Clawback Eligible Incentive Compensation that otherwise would have been Received had it been determined based on the restated amounts, computed without regard to any taxes paid.</w:t>
      </w:r>
    </w:p>
    <w:p>
      <w:pPr>
        <w:spacing w:after="0" w:line="143" w:lineRule="exact"/>
        <w:rPr>
          <w:rFonts w:ascii="Times New Roman" w:cs="Times New Roman" w:eastAsia="Times New Roman" w:hAnsi="Times New Roman"/>
          <w:sz w:val="22"/>
          <w:szCs w:val="22"/>
          <w:color w:val="auto"/>
        </w:rPr>
      </w:pPr>
    </w:p>
    <w:p>
      <w:pPr>
        <w:jc w:val="both"/>
        <w:ind w:left="-656" w:firstLine="656"/>
        <w:spacing w:after="0" w:line="218" w:lineRule="auto"/>
        <w:tabs>
          <w:tab w:leader="none" w:pos="63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shall mean any individual who is or was an executive officer as determined by the Administrator in accordance with the definition of “executive officer” as set forth in the Clawback Rules and any other senior executive, employee or other personnel of the Company who may from time to time be deemed subject to the Policy by the Administrator. For the avoidance of doubt, the Administrator shall have full discretion to determine which individuals in the Company shall be considered an “Executive Officer” for purposes of this Policy.</w:t>
      </w:r>
    </w:p>
    <w:p>
      <w:pPr>
        <w:spacing w:after="0" w:line="147" w:lineRule="exact"/>
        <w:rPr>
          <w:rFonts w:ascii="Times New Roman" w:cs="Times New Roman" w:eastAsia="Times New Roman" w:hAnsi="Times New Roman"/>
          <w:sz w:val="22"/>
          <w:szCs w:val="22"/>
          <w:color w:val="auto"/>
        </w:rPr>
      </w:pPr>
    </w:p>
    <w:p>
      <w:pPr>
        <w:ind w:left="-656" w:right="20" w:firstLine="656"/>
        <w:spacing w:after="0" w:line="239" w:lineRule="auto"/>
        <w:tabs>
          <w:tab w:leader="none" w:pos="62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shall mean the Securities Exchange Act of 1934, as amended, and the rules and regulations promulgated thereunder.</w:t>
      </w:r>
    </w:p>
    <w:p>
      <w:pPr>
        <w:spacing w:after="0" w:line="144" w:lineRule="exact"/>
        <w:rPr>
          <w:rFonts w:ascii="Times New Roman" w:cs="Times New Roman" w:eastAsia="Times New Roman" w:hAnsi="Times New Roman"/>
          <w:sz w:val="22"/>
          <w:szCs w:val="22"/>
          <w:color w:val="auto"/>
        </w:rPr>
      </w:pPr>
    </w:p>
    <w:p>
      <w:pPr>
        <w:jc w:val="both"/>
        <w:ind w:left="-656" w:firstLine="656"/>
        <w:spacing w:after="0" w:line="218" w:lineRule="auto"/>
        <w:tabs>
          <w:tab w:leader="none" w:pos="62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shall mean measures that are determined and presented in accordance with the accounting principles used in preparing the Company’s financial statements, and any measures that are derived wholly or in part from such measures. Stock price and total shareholder return shall for purposes of this Policy be considered Financial Reporting Measures. For the avoidance of doubt, a Financial Reporting Measure need not be presented within the Company’s financial statements or included in a filing with the SEC.</w:t>
      </w:r>
    </w:p>
    <w:p>
      <w:pPr>
        <w:spacing w:after="0" w:line="147" w:lineRule="exact"/>
        <w:rPr>
          <w:rFonts w:ascii="Times New Roman" w:cs="Times New Roman" w:eastAsia="Times New Roman" w:hAnsi="Times New Roman"/>
          <w:sz w:val="22"/>
          <w:szCs w:val="22"/>
          <w:color w:val="auto"/>
        </w:rPr>
      </w:pPr>
    </w:p>
    <w:p>
      <w:pPr>
        <w:ind w:left="-656" w:firstLine="656"/>
        <w:spacing w:after="0" w:line="239" w:lineRule="auto"/>
        <w:tabs>
          <w:tab w:leader="none" w:pos="63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w:t>
      </w:r>
    </w:p>
    <w:p>
      <w:pPr>
        <w:spacing w:after="0" w:line="144" w:lineRule="exact"/>
        <w:rPr>
          <w:rFonts w:ascii="Times New Roman" w:cs="Times New Roman" w:eastAsia="Times New Roman" w:hAnsi="Times New Roman"/>
          <w:sz w:val="22"/>
          <w:szCs w:val="22"/>
          <w:color w:val="auto"/>
        </w:rPr>
      </w:pPr>
    </w:p>
    <w:p>
      <w:pPr>
        <w:jc w:val="both"/>
        <w:ind w:left="-656" w:firstLine="656"/>
        <w:spacing w:after="0" w:line="211" w:lineRule="auto"/>
        <w:tabs>
          <w:tab w:leader="none" w:pos="63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shall mean, in accordance with the good faith determination of the Committee, or if the Committee does not consist of independent directors, a majority of the independent directors serving on the Board, that either: (i) the direct expenses paid to a third party to assist in enforcing the Policy against an Executive Officer would exceed the amount to be recovered, after the Company has made a reasonable attempt to recover the applicable Erroneously Awarded Compensation, documented such reasonable attempt(s) and provided such documentation to the Listing Exchange; (ii) recovery would violate the Company’s home country law where that law was adopted prior to November 28, 2022, provided that, before concluding that it would be Impracticable to recover any amount of Erroneously Awarded Compensation based on violation of home country law, the Company has obtained an opinion of home country counsel, acceptable to the Listing Exchange, that recovery would result in such a violation and a copy of the opinion is provided to the Listing Exchange; or (iii) recovery would likely cause an otherwise tax-qualified retirement plan, under which benefits are broadly</w:t>
      </w:r>
    </w:p>
    <w:p>
      <w:pPr>
        <w:sectPr>
          <w:pgSz w:w="11900" w:h="16838" w:orient="portrait"/>
          <w:cols w:equalWidth="0" w:num="1">
            <w:col w:w="10584"/>
          </w:cols>
          <w:pgMar w:left="976" w:top="1388" w:right="339" w:bottom="1440" w:gutter="0" w:footer="0" w:header="0"/>
        </w:sectPr>
      </w:pPr>
    </w:p>
    <w:bookmarkStart w:id="135" w:name="page136"/>
    <w:bookmarkEnd w:id="135"/>
    <w:p>
      <w:pPr>
        <w:spacing w:after="0" w:line="236" w:lineRule="auto"/>
        <w:rPr>
          <w:sz w:val="20"/>
          <w:szCs w:val="20"/>
          <w:color w:val="auto"/>
        </w:rPr>
      </w:pPr>
      <w:r>
        <w:rPr>
          <w:rFonts w:ascii="Times New Roman" w:cs="Times New Roman" w:eastAsia="Times New Roman" w:hAnsi="Times New Roman"/>
          <w:sz w:val="22"/>
          <w:szCs w:val="22"/>
          <w:color w:val="auto"/>
        </w:rPr>
        <w:t>available to employees of the Company, to fail to meet the requirements of 26 U.S.C. 401(a)(13) or 26 U.S.C. 411(a) and regulations thereunder.</w:t>
      </w:r>
    </w:p>
    <w:p>
      <w:pPr>
        <w:spacing w:after="0" w:line="144" w:lineRule="exact"/>
        <w:rPr>
          <w:sz w:val="20"/>
          <w:szCs w:val="20"/>
          <w:color w:val="auto"/>
        </w:rPr>
      </w:pPr>
    </w:p>
    <w:p>
      <w:pPr>
        <w:ind w:firstLine="656"/>
        <w:spacing w:after="0" w:line="239" w:lineRule="auto"/>
        <w:tabs>
          <w:tab w:leader="none" w:pos="129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Listing Exchange</w:t>
      </w:r>
      <w:r>
        <w:rPr>
          <w:rFonts w:ascii="Times New Roman" w:cs="Times New Roman" w:eastAsia="Times New Roman" w:hAnsi="Times New Roman"/>
          <w:sz w:val="22"/>
          <w:szCs w:val="22"/>
          <w:color w:val="auto"/>
        </w:rPr>
        <w:t>” shall mean the Nasdaq Stock Market or such other U.S. national securities exchange or national securities association on which the Company’s securities are listed.</w:t>
      </w:r>
    </w:p>
    <w:p>
      <w:pPr>
        <w:spacing w:after="0" w:line="144"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Method of Recovery</w:t>
      </w:r>
      <w:r>
        <w:rPr>
          <w:rFonts w:ascii="Times New Roman" w:cs="Times New Roman" w:eastAsia="Times New Roman" w:hAnsi="Times New Roman"/>
          <w:sz w:val="22"/>
          <w:szCs w:val="22"/>
          <w:color w:val="auto"/>
        </w:rPr>
        <w:t>” shall include, but is not limited to: (i) requiring reimbursement of Erroneously Awarded Compensation; (ii) seeking recovery of any gain realized on the vesting, exercise, settlement, sale, transfer, or other disposition of any equity-based awards; (iii) offsetting the Erroneously Awarded Compensation from any compensation otherwise owed by the Company to the Executive Officer; (iv) cancelling outstanding vested or unvested equity awards; and/or (v) taking any other remedial and recovery action permitted by applicable law, as determined by the Administrator.</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shall mean this Clawback Policy, as the same may be amended and/or restated from time to time.</w:t>
      </w:r>
    </w:p>
    <w:p>
      <w:pPr>
        <w:spacing w:after="0" w:line="179" w:lineRule="exact"/>
        <w:rPr>
          <w:rFonts w:ascii="Times New Roman" w:cs="Times New Roman" w:eastAsia="Times New Roman" w:hAnsi="Times New Roman"/>
          <w:sz w:val="22"/>
          <w:szCs w:val="22"/>
          <w:color w:val="auto"/>
        </w:rPr>
      </w:pPr>
    </w:p>
    <w:p>
      <w:pPr>
        <w:jc w:val="both"/>
        <w:ind w:firstLine="656"/>
        <w:spacing w:after="0" w:line="214" w:lineRule="auto"/>
        <w:tabs>
          <w:tab w:leader="none" w:pos="129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shall, with respect to any Incentive-based Compensation, mean deemed receipt and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spacing w:after="0" w:line="148" w:lineRule="exact"/>
        <w:rPr>
          <w:rFonts w:ascii="Times New Roman" w:cs="Times New Roman" w:eastAsia="Times New Roman" w:hAnsi="Times New Roman"/>
          <w:sz w:val="22"/>
          <w:szCs w:val="22"/>
          <w:color w:val="auto"/>
        </w:rPr>
      </w:pPr>
    </w:p>
    <w:p>
      <w:pPr>
        <w:jc w:val="both"/>
        <w:ind w:firstLine="656"/>
        <w:spacing w:after="0" w:line="222" w:lineRule="auto"/>
        <w:tabs>
          <w:tab w:leader="none" w:pos="128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 Date</w:t>
      </w:r>
      <w:r>
        <w:rPr>
          <w:rFonts w:ascii="Times New Roman" w:cs="Times New Roman" w:eastAsia="Times New Roman" w:hAnsi="Times New Roman"/>
          <w:sz w:val="22"/>
          <w:szCs w:val="22"/>
          <w:color w:val="auto"/>
        </w:rPr>
        <w:t>”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shall mean the U.S. Securities and Exchange Commission.</w:t>
      </w:r>
    </w:p>
    <w:p>
      <w:pPr>
        <w:spacing w:after="0" w:line="18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Erroneously Awarded Compensation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Company is required to prepare an Accounting Restatement, the Administrator shall reasonably promptly (in accordance with the applicable Clawback Rules) determine the amount of any Erroneously Awarded Compensation for each Executive Officer in connection with such Accounting Restatement and shall reasonably promptly thereafter provide each Executive Officer with written notice containing the amount of Erroneously Awarded Compensation and a demand for repayment or return, as applicable. For Clawback Eligible Incentive Compensation based on stock price or total shareholder return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upon which the Clawback Eligible Incentive Compensation was Received (in which case, the Company shall maintain documentation of such determination of that reasonable estimate and provide such documentation to the Listing Exchange). The Administrator is authorized to engage, on behalf of the Company, any third-party advisors it deems advisable in order to perform any calculations contemplated by this Policy. For the avoidance of doubt, recovery under this Policy with respect to an Executive</w:t>
      </w:r>
    </w:p>
    <w:p>
      <w:pPr>
        <w:sectPr>
          <w:pgSz w:w="11900" w:h="16838" w:orient="portrait"/>
          <w:cols w:equalWidth="0" w:num="1">
            <w:col w:w="11240"/>
          </w:cols>
          <w:pgMar w:left="320" w:top="1394" w:right="339" w:bottom="1440" w:gutter="0" w:footer="0" w:header="0"/>
        </w:sectPr>
      </w:pPr>
    </w:p>
    <w:bookmarkStart w:id="136" w:name="page137"/>
    <w:bookmarkEnd w:id="136"/>
    <w:p>
      <w:pPr>
        <w:spacing w:after="0" w:line="236" w:lineRule="auto"/>
        <w:rPr>
          <w:sz w:val="20"/>
          <w:szCs w:val="20"/>
          <w:color w:val="auto"/>
        </w:rPr>
      </w:pPr>
      <w:r>
        <w:rPr>
          <w:rFonts w:ascii="Times New Roman" w:cs="Times New Roman" w:eastAsia="Times New Roman" w:hAnsi="Times New Roman"/>
          <w:sz w:val="22"/>
          <w:szCs w:val="22"/>
          <w:color w:val="auto"/>
        </w:rPr>
        <w:t>Officer shall not require the finding of any misconduct by such Executive Officer or such Executive Officer being found responsible for the accounting error leading to an Accounting Restatement.</w:t>
      </w:r>
    </w:p>
    <w:p>
      <w:pPr>
        <w:spacing w:after="0" w:line="150" w:lineRule="exact"/>
        <w:rPr>
          <w:sz w:val="20"/>
          <w:szCs w:val="20"/>
          <w:color w:val="auto"/>
        </w:rPr>
      </w:pPr>
    </w:p>
    <w:p>
      <w:pPr>
        <w:jc w:val="both"/>
        <w:ind w:firstLine="656"/>
        <w:spacing w:after="0" w:line="211" w:lineRule="auto"/>
        <w:tabs>
          <w:tab w:leader="none" w:pos="129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repayment of Erroneously Awarded Compensation is owed to the Company, the Administrator shall recover reasonably promptly the Erroneously Awarded Compensation through any Method of Recovery it deems reasonable and appropriate in its discretion based on all applicable facts and circumstances and taking into account the time value of money and the cost to shareholders of delaying recovery. For the avoidance of doubt, except to the extent permitted pursuant to the Clawback Rules, in no event may the Company accept an amount that is less than the amount of Erroneously Awarded Compensation in satisfaction of an Executive Officer’s obligations hereunder. Notwithstanding anything herein to the contrary, the Company shall not be required to take the actions contemplated in this Section 4(b) if recovery would be Impracticable. In implementing the actions contemplated in this Section 4(b), the Administrator will act in accordance with the listing standards and requirements of the Listing Exchange and with the applicable Clawback Rules.</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discretion of the Administrator, an applicable Executive Officer may be required to reimburse the Company for any and all expenses reasonably incurred (including legal fees) by the Company in recovering Erroneously Awarded Compensation in accordance with Section 4(b).</w:t>
      </w:r>
    </w:p>
    <w:p>
      <w:pPr>
        <w:spacing w:after="0" w:line="152" w:lineRule="exact"/>
        <w:rPr>
          <w:rFonts w:ascii="Times New Roman" w:cs="Times New Roman" w:eastAsia="Times New Roman" w:hAnsi="Times New Roman"/>
          <w:sz w:val="22"/>
          <w:szCs w:val="22"/>
          <w:color w:val="auto"/>
        </w:rPr>
      </w:pPr>
    </w:p>
    <w:p>
      <w:pPr>
        <w:ind w:firstLine="8"/>
        <w:spacing w:after="0" w:line="236" w:lineRule="auto"/>
        <w:tabs>
          <w:tab w:leader="none" w:pos="6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and Disclosure</w:t>
      </w:r>
      <w:r>
        <w:rPr>
          <w:rFonts w:ascii="Times New Roman" w:cs="Times New Roman" w:eastAsia="Times New Roman" w:hAnsi="Times New Roman"/>
          <w:sz w:val="22"/>
          <w:szCs w:val="22"/>
          <w:color w:val="auto"/>
        </w:rPr>
        <w:t>. The Company shall file all disclosures with respect to this Policy in accordance with the requirements of U.S. federal securities laws, including any disclosure required by applicable SEC rules.</w:t>
      </w:r>
    </w:p>
    <w:p>
      <w:pPr>
        <w:spacing w:after="0" w:line="150" w:lineRule="exact"/>
        <w:rPr>
          <w:rFonts w:ascii="Times New Roman" w:cs="Times New Roman" w:eastAsia="Times New Roman" w:hAnsi="Times New Roman"/>
          <w:sz w:val="22"/>
          <w:szCs w:val="22"/>
          <w:color w:val="auto"/>
        </w:rPr>
      </w:pPr>
    </w:p>
    <w:p>
      <w:pPr>
        <w:jc w:val="both"/>
        <w:ind w:firstLine="8"/>
        <w:spacing w:after="0" w:line="212" w:lineRule="auto"/>
        <w:tabs>
          <w:tab w:leader="none" w:pos="6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Prohibition</w:t>
      </w:r>
      <w:r>
        <w:rPr>
          <w:rFonts w:ascii="Times New Roman" w:cs="Times New Roman" w:eastAsia="Times New Roman" w:hAnsi="Times New Roman"/>
          <w:sz w:val="22"/>
          <w:szCs w:val="22"/>
          <w:color w:val="auto"/>
        </w:rPr>
        <w:t>. No member of the Company shall be permitted to indemnify any Executive Officer against the loss of any Erroneously Awarded Compensation that is repaid, returned or recovered pursuant to the terms of this Policy and/or pursuant to the Clawback Rules, including any payment or reimbursement for the cost of third-party insurance purchased by any Executive Officer to cover any such loss under this Policy and/or pursuant to the Clawback Rules. Further, the Company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 Any such purported indemnification (whether oral or in writing) shall be null and void.</w:t>
      </w:r>
    </w:p>
    <w:p>
      <w:pPr>
        <w:spacing w:after="0" w:line="156" w:lineRule="exact"/>
        <w:rPr>
          <w:rFonts w:ascii="Times New Roman" w:cs="Times New Roman" w:eastAsia="Times New Roman" w:hAnsi="Times New Roman"/>
          <w:sz w:val="22"/>
          <w:szCs w:val="22"/>
          <w:color w:val="auto"/>
        </w:rPr>
      </w:pPr>
    </w:p>
    <w:p>
      <w:pPr>
        <w:jc w:val="both"/>
        <w:ind w:firstLine="8"/>
        <w:spacing w:after="0" w:line="212" w:lineRule="auto"/>
        <w:tabs>
          <w:tab w:leader="none" w:pos="6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is authorized to interpret and construe this Policy and to make all determinations necessary, appropriate, or advisable for the administration of this Policy. It is intended that this Policy be interpreted in a manner that is consistent with the requirements of the Clawback Rules. The terms of this Policy shall also be construed and enforced in such a manner as to comply with applicable law, including the Sarbanes-Oxley Act of 2002, the Dodd-Frank Wall Street Reform and Consumer Protection Act, and any other law or regulation that the Administrator determines is applicable.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spacing w:after="0" w:line="15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Policy shall be effective as of the Effective Date.</w:t>
      </w:r>
    </w:p>
    <w:p>
      <w:pPr>
        <w:spacing w:after="0" w:line="179"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Termination</w:t>
      </w:r>
      <w:r>
        <w:rPr>
          <w:rFonts w:ascii="Times New Roman" w:cs="Times New Roman" w:eastAsia="Times New Roman" w:hAnsi="Times New Roman"/>
          <w:sz w:val="22"/>
          <w:szCs w:val="22"/>
          <w:color w:val="auto"/>
        </w:rPr>
        <w:t>. The Administrator may modify or amend this Policy, in whole or in part, from time to time in its discretion and shall amend any or all of the provisions of this Policy as it deems necessary, including as and when it determines that it is legally required by</w:t>
      </w:r>
    </w:p>
    <w:p>
      <w:pPr>
        <w:sectPr>
          <w:pgSz w:w="11900" w:h="16838" w:orient="portrait"/>
          <w:cols w:equalWidth="0" w:num="1">
            <w:col w:w="11240"/>
          </w:cols>
          <w:pgMar w:left="320" w:top="1394" w:right="339" w:bottom="1440" w:gutter="0" w:footer="0" w:header="0"/>
        </w:sectPr>
      </w:pPr>
    </w:p>
    <w:bookmarkStart w:id="137" w:name="page138"/>
    <w:bookmarkEnd w:id="137"/>
    <w:p>
      <w:pPr>
        <w:jc w:val="both"/>
        <w:spacing w:after="0" w:line="213" w:lineRule="auto"/>
        <w:rPr>
          <w:sz w:val="20"/>
          <w:szCs w:val="20"/>
          <w:color w:val="auto"/>
        </w:rPr>
      </w:pPr>
      <w:r>
        <w:rPr>
          <w:rFonts w:ascii="Times New Roman" w:cs="Times New Roman" w:eastAsia="Times New Roman" w:hAnsi="Times New Roman"/>
          <w:sz w:val="22"/>
          <w:szCs w:val="22"/>
          <w:color w:val="auto"/>
        </w:rPr>
        <w:t>the Clawback Rules, or any federal securities law, SEC rule or Listing Exchange rule. The Administrator may terminate this Policy at any time, and this Policy shall remain in effect only so long as the Clawback Rules apply to the Company.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the Clawback Rules, or any federal securities law, SEC rule or Listing Exchange rule. Furthermore, unless otherwise determined by the Administrator or as otherwise amended, this Policy shall automatically be deemed amended in a manner necessary to comply with any change in the Clawback Rules.</w:t>
      </w:r>
    </w:p>
    <w:p>
      <w:pPr>
        <w:spacing w:after="0" w:line="156" w:lineRule="exact"/>
        <w:rPr>
          <w:sz w:val="20"/>
          <w:szCs w:val="20"/>
          <w:color w:val="auto"/>
        </w:rPr>
      </w:pPr>
    </w:p>
    <w:p>
      <w:pPr>
        <w:jc w:val="both"/>
        <w:ind w:firstLine="8"/>
        <w:spacing w:after="0" w:line="208" w:lineRule="auto"/>
        <w:tabs>
          <w:tab w:leader="none" w:pos="6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Recoupment Rights; No Additional Payments</w:t>
      </w:r>
      <w:r>
        <w:rPr>
          <w:rFonts w:ascii="Times New Roman" w:cs="Times New Roman" w:eastAsia="Times New Roman" w:hAnsi="Times New Roman"/>
          <w:sz w:val="22"/>
          <w:szCs w:val="22"/>
          <w:color w:val="auto"/>
        </w:rPr>
        <w:t>. The Administrator intends that this Policy will be applied to the fullest extent permitted by applicable law. The Administrator may require that any employment agreement, equity award agreement, or any other agreement entered into on or after the Effective Date shall, as a condition to the grant of any benefit thereunder, require an Executive Officer to agree to abide by the terms of this Policy. Executive Officers shall be deemed to have accepted continuing employment on terms that include compliance with the Policy, to the extent of its otherwise applicable provisions, and to be contractually bound by its enforcement provisions. Executive Officers who cease employment or service with the Company shall continue to be bound by the terms of the Policy with respect to Clawback Eligible Incentive Compensation. Any right of recoupment under this Policy is in addition to, and not in lieu of, any other remedies or rights of recoupment that may be available to the Company under applicable law, regulation or rule or pursuant to the terms of any similar policy in any employment agreement, cash-based bonus plan, equity award agreement or similar agreement and any other legal remedies available to the Company.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Administrator in its sole discretion. Nothing in this Policy precludes the Company from implementing any additional clawback or recoupment policies with respect to Executive Officers or any other service provider of the Company. Application of this Policy does not preclude the Company from taking any other action to enforce any Executive Officer’s obligations to the Company, including termination of employment or institution of civil or criminal proceedings or any other remedies that may be available to the Company with respect to any Executive Officer.</w:t>
      </w:r>
    </w:p>
    <w:p>
      <w:pPr>
        <w:spacing w:after="0" w:line="154" w:lineRule="exact"/>
        <w:rPr>
          <w:rFonts w:ascii="Times New Roman" w:cs="Times New Roman" w:eastAsia="Times New Roman" w:hAnsi="Times New Roman"/>
          <w:sz w:val="22"/>
          <w:szCs w:val="22"/>
          <w:color w:val="auto"/>
        </w:rPr>
      </w:pPr>
    </w:p>
    <w:p>
      <w:pPr>
        <w:jc w:val="both"/>
        <w:ind w:firstLine="8"/>
        <w:spacing w:after="0" w:line="225" w:lineRule="auto"/>
        <w:tabs>
          <w:tab w:leader="none" w:pos="6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Policy shall be binding and enforceable against all Executive Officers and their beneficiaries, estates, heirs, executors, administrators or other legal representatives to the extent required by the Clawback Rules or as otherwise determined by the Administrator.</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6"/>
    </w:lvl>
  </w:abstractNum>
  <w:abstractNum w:abstractNumId="5">
    <w:nsid w:val="22221A70"/>
    <w:multiLevelType w:val="hybridMultilevel"/>
    <w:lvl w:ilvl="0">
      <w:lvlJc w:val="left"/>
      <w:lvlText w:val="(%1)"/>
      <w:numFmt w:val="decimal"/>
      <w:start w:val="1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decimal"/>
      <w:start w:val="1"/>
    </w:lvl>
    <w:lvl w:ilvl="1">
      <w:lvlJc w:val="left"/>
      <w:lvlText w:val="%2."/>
      <w:numFmt w:val="lowerLetter"/>
      <w:start w:val="1"/>
    </w:lvl>
  </w:abstractNum>
  <w:abstractNum w:abstractNumId="9">
    <w:nsid w:val="419AC241"/>
    <w:multiLevelType w:val="hybridMultilevel"/>
    <w:lvl w:ilvl="0">
      <w:lvlJc w:val="left"/>
      <w:lvlText w:val="(%1)"/>
      <w:numFmt w:val="decimal"/>
      <w:start w:val="5"/>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2"/>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2"/>
    </w:lvl>
  </w:abstractNum>
  <w:abstractNum w:abstractNumId="26">
    <w:nsid w:val="2A487CB0"/>
    <w:multiLevelType w:val="hybridMultilevel"/>
    <w:lvl w:ilvl="0">
      <w:lvlJc w:val="left"/>
      <w:lvlText w:val="(%1)"/>
      <w:numFmt w:val="decimal"/>
      <w:start w:val="2"/>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3"/>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2"/>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2"/>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1"/>
    </w:lvl>
    <w:lvl w:ilvl="1">
      <w:lvlJc w:val="left"/>
      <w:lvlText w:val="%2."/>
      <w:numFmt w:val="lowerLetter"/>
      <w:start w:val="1"/>
    </w:lvl>
  </w:abstractNum>
  <w:abstractNum w:abstractNumId="49">
    <w:nsid w:val="4F4EF005"/>
    <w:multiLevelType w:val="hybridMultilevel"/>
    <w:lvl w:ilvl="0">
      <w:lvlJc w:val="left"/>
      <w:lvlText w:val="%1."/>
      <w:numFmt w:val="decimal"/>
      <w:start w:val="1"/>
    </w:lvl>
    <w:lvl w:ilvl="1">
      <w:lvlJc w:val="left"/>
      <w:lvlText w:val="%2."/>
      <w:numFmt w:val="lowerLetter"/>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decimal"/>
      <w:start w:val="1"/>
    </w:lvl>
    <w:lvl w:ilvl="1">
      <w:lvlJc w:val="left"/>
      <w:lvlText w:val="(%2)"/>
      <w:numFmt w:val="lowerLetter"/>
      <w:start w:val="1"/>
    </w:lvl>
  </w:abstractNum>
  <w:abstractNum w:abstractNumId="53">
    <w:nsid w:val="39386575"/>
    <w:multiLevelType w:val="hybridMultilevel"/>
    <w:lvl w:ilvl="0">
      <w:lvlJc w:val="left"/>
      <w:lvlText w:val="(%1)"/>
      <w:numFmt w:val="lowerLetter"/>
      <w:start w:val="6"/>
    </w:lvl>
  </w:abstractNum>
  <w:abstractNum w:abstractNumId="54">
    <w:nsid w:val="1CF10FD8"/>
    <w:multiLevelType w:val="hybridMultilevel"/>
    <w:lvl w:ilvl="0">
      <w:lvlJc w:val="left"/>
      <w:lvlText w:val="%1"/>
      <w:numFmt w:val="decimal"/>
      <w:start w:val="1"/>
    </w:lvl>
    <w:lvl w:ilvl="1">
      <w:lvlJc w:val="left"/>
      <w:lvlText w:val="(%2)"/>
      <w:numFmt w:val="lowerLetter"/>
      <w:start w:val="16"/>
    </w:lvl>
  </w:abstractNum>
  <w:abstractNum w:abstractNumId="55">
    <w:nsid w:val="180115BE"/>
    <w:multiLevelType w:val="hybridMultilevel"/>
    <w:lvl w:ilvl="0">
      <w:lvlJc w:val="left"/>
      <w:lvlText w:val="%1."/>
      <w:numFmt w:val="decimal"/>
      <w:start w:val="4"/>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2"/>
    </w:lvl>
  </w:abstractNum>
  <w:abstractNum w:abstractNumId="57">
    <w:nsid w:val="47398C89"/>
    <w:multiLevelType w:val="hybridMultilevel"/>
    <w:lvl w:ilvl="0">
      <w:lvlJc w:val="left"/>
      <w:lvlText w:val="%1."/>
      <w:numFmt w:val="decimal"/>
      <w:start w:val="5"/>
    </w:lvl>
    <w:lvl w:ilvl="1">
      <w:lvlJc w:val="left"/>
      <w:lvlText w:val="%2"/>
      <w:numFmt w:val="lowerLetter"/>
      <w:start w:val="1"/>
    </w:lvl>
  </w:abstractNum>
  <w:abstractNum w:abstractNumId="58">
    <w:nsid w:val="354FE9F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57" Type="http://schemas.openxmlformats.org/officeDocument/2006/relationships/image" Target="media/image125.png"/><Relationship Id="rId175"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207" Type="http://schemas.openxmlformats.org/officeDocument/2006/relationships/image" Target="media/image129.png"/><Relationship Id="rId208" Type="http://schemas.openxmlformats.org/officeDocument/2006/relationships/image" Target="media/image130.png"/><Relationship Id="rId225" Type="http://schemas.openxmlformats.org/officeDocument/2006/relationships/image" Target="media/image131.png"/><Relationship Id="rId226" Type="http://schemas.openxmlformats.org/officeDocument/2006/relationships/image" Target="media/image132.png"/><Relationship Id="rId243" Type="http://schemas.openxmlformats.org/officeDocument/2006/relationships/image" Target="media/image133.png"/><Relationship Id="rId244" Type="http://schemas.openxmlformats.org/officeDocument/2006/relationships/image" Target="media/image134.png"/><Relationship Id="rId259" Type="http://schemas.openxmlformats.org/officeDocument/2006/relationships/image" Target="media/image135.png"/><Relationship Id="rId260" Type="http://schemas.openxmlformats.org/officeDocument/2006/relationships/image" Target="media/image136.png"/><Relationship Id="rId279" Type="http://schemas.openxmlformats.org/officeDocument/2006/relationships/image" Target="media/image137.png"/><Relationship Id="rId280" Type="http://schemas.openxmlformats.org/officeDocument/2006/relationships/image" Target="media/image138.png"/><Relationship Id="rId284" Type="http://schemas.openxmlformats.org/officeDocument/2006/relationships/image" Target="media/image139.png"/><Relationship Id="rId285" Type="http://schemas.openxmlformats.org/officeDocument/2006/relationships/image" Target="media/image140.png"/><Relationship Id="rId286" Type="http://schemas.openxmlformats.org/officeDocument/2006/relationships/image" Target="media/image141.png"/><Relationship Id="rId287" Type="http://schemas.openxmlformats.org/officeDocument/2006/relationships/image" Target="media/image142.png"/><Relationship Id="rId288" Type="http://schemas.openxmlformats.org/officeDocument/2006/relationships/image" Target="media/image143.png"/><Relationship Id="rId289" Type="http://schemas.openxmlformats.org/officeDocument/2006/relationships/image" Target="media/image144.png"/><Relationship Id="rId290" Type="http://schemas.openxmlformats.org/officeDocument/2006/relationships/image" Target="media/image145.png"/><Relationship Id="rId291" Type="http://schemas.openxmlformats.org/officeDocument/2006/relationships/image" Target="media/image146.png"/><Relationship Id="rId292" Type="http://schemas.openxmlformats.org/officeDocument/2006/relationships/image" Target="media/image147.png"/><Relationship Id="rId293" Type="http://schemas.openxmlformats.org/officeDocument/2006/relationships/image" Target="media/image148.png"/><Relationship Id="rId294" Type="http://schemas.openxmlformats.org/officeDocument/2006/relationships/image" Target="media/image149.png"/><Relationship Id="rId295" Type="http://schemas.openxmlformats.org/officeDocument/2006/relationships/image" Target="media/image150.png"/><Relationship Id="rId296" Type="http://schemas.openxmlformats.org/officeDocument/2006/relationships/image" Target="media/image151.png"/><Relationship Id="rId130" Type="http://schemas.openxmlformats.org/officeDocument/2006/relationships/hyperlink" Target="http://www.sec.gov/Archives/edgar/data/1597033/000119312515019563/d857868dex21.htm" TargetMode="External"/><Relationship Id="rId131" Type="http://schemas.openxmlformats.org/officeDocument/2006/relationships/hyperlink" Target="http://www.sec.gov/Archives/edgar/data/1597033/000129993315000766/exhibit1.htm" TargetMode="External"/><Relationship Id="rId132" Type="http://schemas.openxmlformats.org/officeDocument/2006/relationships/hyperlink" Target="http://www.sec.gov/Archives/edgar/data/1597033/000119312519117126/d712381dex31.htm" TargetMode="External"/><Relationship Id="rId133" Type="http://schemas.openxmlformats.org/officeDocument/2006/relationships/hyperlink" Target="https://www.sec.gov/Archives/edgar/data/1597033/000119312522299495/d371069dex31.htm" TargetMode="External"/><Relationship Id="rId134" Type="http://schemas.openxmlformats.org/officeDocument/2006/relationships/hyperlink" Target="http://www.sec.gov/Archives/edgar/data/1597033/000119312515131305/d909949dex41.htm" TargetMode="External"/><Relationship Id="rId135" Type="http://schemas.openxmlformats.org/officeDocument/2006/relationships/hyperlink" Target="http://www.sec.gov/Archives/edgar/data/1597033/000119312515372169/d32536dex41.htm" TargetMode="External"/><Relationship Id="rId136" Type="http://schemas.openxmlformats.org/officeDocument/2006/relationships/hyperlink" Target="http://www.sec.gov/Archives/edgar/data/1597033/000119312514015201/d652688dex101.htm" TargetMode="External"/><Relationship Id="rId137" Type="http://schemas.openxmlformats.org/officeDocument/2006/relationships/hyperlink" Target="http://www.sec.gov/Archives/edgar/data/1597033/000119312514015201/d652688dex102.htm" TargetMode="External"/><Relationship Id="rId138" Type="http://schemas.openxmlformats.org/officeDocument/2006/relationships/hyperlink" Target="http://www.sec.gov/Archives/edgar/data/1597033/000119312514015201/d652688dex103.htm" TargetMode="External"/><Relationship Id="rId139" Type="http://schemas.openxmlformats.org/officeDocument/2006/relationships/hyperlink" Target="http://www.sec.gov/Archives/edgar/data/1597033/000119312514015201/d652688dex104.htm" TargetMode="External"/><Relationship Id="rId140" Type="http://schemas.openxmlformats.org/officeDocument/2006/relationships/hyperlink" Target="http://www.sec.gov/Archives/edgar/data/1597033/000119312514015201/d652688dex105.htm" TargetMode="External"/><Relationship Id="rId143" Type="http://schemas.openxmlformats.org/officeDocument/2006/relationships/hyperlink" Target="http://www.sec.gov/Archives/edgar/data/1597033/000119312514015201/d652688dex107.htm" TargetMode="External"/><Relationship Id="rId144" Type="http://schemas.openxmlformats.org/officeDocument/2006/relationships/hyperlink" Target="http://www.sec.gov/Archives/edgar/data/1597033/000119312514015201/d652688dex108.htm" TargetMode="External"/><Relationship Id="rId145" Type="http://schemas.openxmlformats.org/officeDocument/2006/relationships/hyperlink" Target="http://www.sec.gov/Archives/edgar/data/1597033/000119312514015201/d652688dex109.htm" TargetMode="External"/><Relationship Id="rId146" Type="http://schemas.openxmlformats.org/officeDocument/2006/relationships/hyperlink" Target="http://www.sec.gov/Archives/edgar/data/1597033/000119312514015201/d652688dex1016.htm" TargetMode="External"/><Relationship Id="rId147" Type="http://schemas.openxmlformats.org/officeDocument/2006/relationships/hyperlink" Target="http://www.sec.gov/Archives/edgar/data/1597033/000119312514015201/d652688dex1017.htm" TargetMode="External"/><Relationship Id="rId148" Type="http://schemas.openxmlformats.org/officeDocument/2006/relationships/hyperlink" Target="http://www.sec.gov/Archives/edgar/data/1597033/000119312514015201/d652688dex1018.htm" TargetMode="External"/><Relationship Id="rId149" Type="http://schemas.openxmlformats.org/officeDocument/2006/relationships/hyperlink" Target="http://www.sec.gov/Archives/edgar/data/1597033/000119312514015201/d652688dex1020.htm" TargetMode="External"/><Relationship Id="rId150" Type="http://schemas.openxmlformats.org/officeDocument/2006/relationships/hyperlink" Target="http://www.sec.gov/Archives/edgar/data/1597033/000119312514015201/d652688dex1021.htm" TargetMode="External"/><Relationship Id="rId151" Type="http://schemas.openxmlformats.org/officeDocument/2006/relationships/hyperlink" Target="http://www.sec.gov/Archives/edgar/data/1597033/000119312514090103/d652688dex1038.htm" TargetMode="External"/><Relationship Id="rId152" Type="http://schemas.openxmlformats.org/officeDocument/2006/relationships/hyperlink" Target="http://www.sec.gov/Archives/edgar/data/1597033/000119312514090103/d652688dex1039.htm" TargetMode="External"/><Relationship Id="rId153" Type="http://schemas.openxmlformats.org/officeDocument/2006/relationships/hyperlink" Target="http://www.sec.gov/Archives/edgar/data/1597033/000119312514090103/d652688dex1040.htm" TargetMode="External"/><Relationship Id="rId154" Type="http://schemas.openxmlformats.org/officeDocument/2006/relationships/hyperlink" Target="http://www.sec.gov/Archives/edgar/data/1597033/000119312514155070/d714044dex101.htm" TargetMode="External"/><Relationship Id="rId155" Type="http://schemas.openxmlformats.org/officeDocument/2006/relationships/hyperlink" Target="http://www.sec.gov/Archives/edgar/data/1597033/000119312514155070/d714044dex102.htm" TargetMode="External"/><Relationship Id="rId156" Type="http://schemas.openxmlformats.org/officeDocument/2006/relationships/hyperlink" Target="http://www.sec.gov/Archives/edgar/data/1597033/000159703318000023/formofindemnificationagree.htm" TargetMode="External"/><Relationship Id="rId158" Type="http://schemas.openxmlformats.org/officeDocument/2006/relationships/hyperlink" Target="http://www.sec.gov/Archives/edgar/data/1597033/000119312514116484/d652688dex1048.htm" TargetMode="External"/><Relationship Id="rId159" Type="http://schemas.openxmlformats.org/officeDocument/2006/relationships/hyperlink" Target="http://www.sec.gov/Archives/edgar/data/1597033/000156459015003303/sabr-ex1049_20150331327.htm" TargetMode="External"/><Relationship Id="rId160" Type="http://schemas.openxmlformats.org/officeDocument/2006/relationships/hyperlink" Target="http://www.sec.gov/Archives/edgar/data/1597033/000156459015003303/sabr-ex1050_20150331328.htm" TargetMode="External"/><Relationship Id="rId161" Type="http://schemas.openxmlformats.org/officeDocument/2006/relationships/hyperlink" Target="http://www.sec.gov/Archives/edgar/data/1597033/000119312514116484/d652688dex1051.htm" TargetMode="External"/><Relationship Id="rId162" Type="http://schemas.openxmlformats.org/officeDocument/2006/relationships/hyperlink" Target="http://www.sec.gov/Archives/edgar/data/1597033/000119312514116484/d652688dex1052.htm" TargetMode="External"/><Relationship Id="rId163" Type="http://schemas.openxmlformats.org/officeDocument/2006/relationships/hyperlink" Target="http://www.sec.gov/Archives/edgar/data/1597033/000119312514122536/d652688dex1053.htm" TargetMode="External"/><Relationship Id="rId164" Type="http://schemas.openxmlformats.org/officeDocument/2006/relationships/hyperlink" Target="http://www.sec.gov/Archives/edgar/data/1597033/000119312515019572/d793574dex1057.htm" TargetMode="External"/><Relationship Id="rId165" Type="http://schemas.openxmlformats.org/officeDocument/2006/relationships/hyperlink" Target="http://www.sec.gov/Archives/edgar/data/1597033/000156459015001223/sabr-ex1058_20141231408.htm" TargetMode="External"/><Relationship Id="rId166" Type="http://schemas.openxmlformats.org/officeDocument/2006/relationships/hyperlink" Target="http://www.sec.gov/Archives/edgar/data/1597033/000119312515131305/d909949dex101.htm" TargetMode="External"/><Relationship Id="rId167" Type="http://schemas.openxmlformats.org/officeDocument/2006/relationships/hyperlink" Target="http://www.sec.gov/Archives/edgar/data/1597033/000119312515372169/d32536dex101.htm" TargetMode="External"/><Relationship Id="rId168" Type="http://schemas.openxmlformats.org/officeDocument/2006/relationships/hyperlink" Target="http://www.sec.gov/Archives/edgar/data/1597033/000159703315000084/ex101sabreexecdeferredcomp.htm" TargetMode="External"/><Relationship Id="rId169" Type="http://schemas.openxmlformats.org/officeDocument/2006/relationships/hyperlink" Target="http://www.sec.gov/Archives/edgar/data/1597033/000159703316000136/sabr10k2015-ex1065.htm" TargetMode="External"/><Relationship Id="rId170" Type="http://schemas.openxmlformats.org/officeDocument/2006/relationships/hyperlink" Target="http://www.sec.gov/Archives/edgar/data/1597033/000159703316000213/sabr8k052616-ex101.htm" TargetMode="External"/><Relationship Id="rId171" Type="http://schemas.openxmlformats.org/officeDocument/2006/relationships/hyperlink" Target="http://www.sec.gov/Archives/edgar/data/1597033/000159703317000104/exhibit1044rsuformofagreem.htm" TargetMode="External"/><Relationship Id="rId172" Type="http://schemas.openxmlformats.org/officeDocument/2006/relationships/hyperlink" Target="http://www.sec.gov/Archives/edgar/data/1597033/000159703317000104/exhibit1045nqsoformofagree.htm" TargetMode="External"/><Relationship Id="rId173" Type="http://schemas.openxmlformats.org/officeDocument/2006/relationships/hyperlink" Target="http://www.sec.gov/Archives/edgar/data/1597033/000159703316000199/sabr10q033116-ex1066.htm" TargetMode="External"/><Relationship Id="rId174" Type="http://schemas.openxmlformats.org/officeDocument/2006/relationships/hyperlink" Target="http://www.sec.gov/Archives/edgar/data/1597033/000159703316000199/sabr10q033116-ex1067.htm" TargetMode="External"/><Relationship Id="rId176" Type="http://schemas.openxmlformats.org/officeDocument/2006/relationships/hyperlink" Target="http://www.sec.gov/Archives/edgar/data/1597033/000119312516651315/d215540dex101.htm" TargetMode="External"/><Relationship Id="rId177" Type="http://schemas.openxmlformats.org/officeDocument/2006/relationships/hyperlink" Target="http://www.sec.gov/Archives/edgar/data/1597033/000119312516651315/d215540dex102.htm" TargetMode="External"/><Relationship Id="rId178" Type="http://schemas.openxmlformats.org/officeDocument/2006/relationships/hyperlink" Target="http://www.sec.gov/Archives/edgar/data/1597033/000119312516651315/d215540dex103.htm" TargetMode="External"/><Relationship Id="rId179" Type="http://schemas.openxmlformats.org/officeDocument/2006/relationships/hyperlink" Target="http://www.sec.gov/Archives/edgar/data/1597033/000159703317000026/a201610ksabrexhibit1056_hp.htm" TargetMode="External"/><Relationship Id="rId180" Type="http://schemas.openxmlformats.org/officeDocument/2006/relationships/hyperlink" Target="http://www.sec.gov/Archives/edgar/data/1597033/000119312517056419/d349651dex101.htm" TargetMode="External"/><Relationship Id="rId181" Type="http://schemas.openxmlformats.org/officeDocument/2006/relationships/hyperlink" Target="http://www.sec.gov/Archives/edgar/data/1597033/000159703317000149/exhibit1062amendment2tomas.htm" TargetMode="External"/><Relationship Id="rId182" Type="http://schemas.openxmlformats.org/officeDocument/2006/relationships/hyperlink" Target="http://www.sec.gov/Archives/edgar/data/1597033/000159703317000158/a3387158_7sabre-2017repric.htm" TargetMode="External"/><Relationship Id="rId183" Type="http://schemas.openxmlformats.org/officeDocument/2006/relationships/hyperlink" Target="http://www.sec.gov/Archives/edgar/data/1597033/000159703317000158/a3387160_6sabre-2017repric.htm" TargetMode="External"/><Relationship Id="rId184" Type="http://schemas.openxmlformats.org/officeDocument/2006/relationships/hyperlink" Target="http://www.sec.gov/Archives/edgar/data/1597033/000159703317000158/a3387159_5sabre-2017repric.htm" TargetMode="External"/><Relationship Id="rId185" Type="http://schemas.openxmlformats.org/officeDocument/2006/relationships/hyperlink" Target="http://www.sec.gov/Archives/edgar/data/1597033/000159703317000184/sabreexecutiveseverancepla.htm" TargetMode="External"/><Relationship Id="rId186" Type="http://schemas.openxmlformats.org/officeDocument/2006/relationships/hyperlink" Target="http://www.sec.gov/Archives/edgar/data/1597033/000159703318000028/fifthtermbloanrefinancinga.htm" TargetMode="External"/><Relationship Id="rId187" Type="http://schemas.openxmlformats.org/officeDocument/2006/relationships/hyperlink" Target="http://www.sec.gov/Archives/edgar/data/1597033/000159703318000077/exhibit10372018annualgrant.htm" TargetMode="External"/><Relationship Id="rId190" Type="http://schemas.openxmlformats.org/officeDocument/2006/relationships/hyperlink" Target="http://www.sec.gov/Archives/edgar/data/1597033/000159703318000077/exhbit10382018annualgrant-.htm" TargetMode="External"/><Relationship Id="rId191" Type="http://schemas.openxmlformats.org/officeDocument/2006/relationships/hyperlink" Target="http://www.sec.gov/Archives/edgar/data/1597033/000159703318000077/exhibit10582016omnibusplan.htm" TargetMode="External"/><Relationship Id="rId192" Type="http://schemas.openxmlformats.org/officeDocument/2006/relationships/hyperlink" Target="http://www.sec.gov/Archives/edgar/data/1597033/000159703318000118/offcyclegrantrsuformofagre.htm" TargetMode="External"/><Relationship Id="rId193" Type="http://schemas.openxmlformats.org/officeDocument/2006/relationships/hyperlink" Target="http://www.sec.gov/Archives/edgar/data/1597033/000159703318000118/offcyclegrantnqsoformofagr.htm" TargetMode="External"/><Relationship Id="rId194" Type="http://schemas.openxmlformats.org/officeDocument/2006/relationships/hyperlink" Target="http://www.sec.gov/Archives/edgar/data/1597033/000159703319000065/exhibit10682016omnibusplan.htm" TargetMode="External"/><Relationship Id="rId195" Type="http://schemas.openxmlformats.org/officeDocument/2006/relationships/hyperlink" Target="http://www.sec.gov/Archives/edgar/data/1597033/000159703319000065/exhibit10692016omnibusplan.htm" TargetMode="External"/><Relationship Id="rId196" Type="http://schemas.openxmlformats.org/officeDocument/2006/relationships/hyperlink" Target="http://www.sec.gov/Archives/edgar/data/1597033/000159703319000065/exhibit10702016psu-2019ann.htm" TargetMode="External"/><Relationship Id="rId197" Type="http://schemas.openxmlformats.org/officeDocument/2006/relationships/hyperlink" Target="http://www.sec.gov/Archives/edgar/data/1597033/000159703319000065/exhibit1071formofchairmanb.htm" TargetMode="External"/><Relationship Id="rId198" Type="http://schemas.openxmlformats.org/officeDocument/2006/relationships/hyperlink" Target="http://www.sec.gov/Archives/edgar/data/1597033/000159703319000065/exhibit10722016omnibusplan.htm" TargetMode="External"/><Relationship Id="rId199" Type="http://schemas.openxmlformats.org/officeDocument/2006/relationships/hyperlink" Target="http://www.sec.gov/Archives/edgar/data/1597033/000119312519117126/d712381dex101.htm" TargetMode="External"/><Relationship Id="rId200" Type="http://schemas.openxmlformats.org/officeDocument/2006/relationships/hyperlink" Target="http://www.sec.gov/Archives/edgar/data/1597033/000119312519117126/d712381dex102.htm" TargetMode="External"/><Relationship Id="rId201" Type="http://schemas.openxmlformats.org/officeDocument/2006/relationships/hyperlink" Target="http://www.sec.gov/Archives/edgar/data/1597033/000159703319000092/exh1075executivestocko.htm" TargetMode="External"/><Relationship Id="rId202" Type="http://schemas.openxmlformats.org/officeDocument/2006/relationships/hyperlink" Target="http://www.sec.gov/Archives/edgar/data/1597033/000159703319000092/exh1076restrictedstock.htm" TargetMode="External"/><Relationship Id="rId203" Type="http://schemas.openxmlformats.org/officeDocument/2006/relationships/hyperlink" Target="http://www.sec.gov/Archives/edgar/data/1597033/000159703319000092/exh1077nonemployeedire.htm" TargetMode="External"/><Relationship Id="rId204" Type="http://schemas.openxmlformats.org/officeDocument/2006/relationships/hyperlink" Target="https://www.sec.gov/Archives/edgar/data/1597033/000159703320000026/exhibit1078paymentandt.htm" TargetMode="External"/><Relationship Id="rId205" Type="http://schemas.openxmlformats.org/officeDocument/2006/relationships/hyperlink" Target="https://www.sec.gov/Archives/edgar/data/1597033/000159703320000028/sabre2020cashltipaward.htm" TargetMode="External"/><Relationship Id="rId206" Type="http://schemas.openxmlformats.org/officeDocument/2006/relationships/hyperlink" Target="https://www.sec.gov/Archives/edgar/data/1597033/000119312520110708/d905903dex41.htm" TargetMode="External"/><Relationship Id="rId209" Type="http://schemas.openxmlformats.org/officeDocument/2006/relationships/hyperlink" Target="https://www.sec.gov/Archives/edgar/data/1597033/000119312520110708/d905903dex43.htm" TargetMode="External"/><Relationship Id="rId210" Type="http://schemas.openxmlformats.org/officeDocument/2006/relationships/hyperlink" Target="https://www.sec.gov/Archives/edgar/data/1597033/000119312520110708/d905903dex101.htm" TargetMode="External"/><Relationship Id="rId211" Type="http://schemas.openxmlformats.org/officeDocument/2006/relationships/hyperlink" Target="https://www.sec.gov/Archives/edgar/data/1597033/000159703320000097/exh1080q12020formofnon.htm" TargetMode="External"/><Relationship Id="rId212" Type="http://schemas.openxmlformats.org/officeDocument/2006/relationships/hyperlink" Target="https://www.sec.gov/Archives/edgar/data/1597033/000159703320000097/exh1081q12020formofexe.htm" TargetMode="External"/><Relationship Id="rId213" Type="http://schemas.openxmlformats.org/officeDocument/2006/relationships/hyperlink" Target="https://www.sec.gov/Archives/edgar/data/1597033/000159703320000097/exh1082q12020formofrsu.htm" TargetMode="External"/><Relationship Id="rId214" Type="http://schemas.openxmlformats.org/officeDocument/2006/relationships/hyperlink" Target="https://www.sec.gov/Archives/edgar/data/1597033/000159703320000097/exh1083q12020formofexe.htm" TargetMode="External"/><Relationship Id="rId215" Type="http://schemas.openxmlformats.org/officeDocument/2006/relationships/hyperlink" Target="https://www.sec.gov/Archives/edgar/data/1597033/000159703320000160/exh1084formofexecutive.htm" TargetMode="External"/><Relationship Id="rId216" Type="http://schemas.openxmlformats.org/officeDocument/2006/relationships/hyperlink" Target="https://www.sec.gov/Archives/edgar/data/1597033/000159703320000160/exh1085formofexecutive.htm" TargetMode="External"/><Relationship Id="rId217" Type="http://schemas.openxmlformats.org/officeDocument/2006/relationships/hyperlink" Target="https://www.sec.gov/Archives/edgar/data/1597033/000159703320000160/exh1086formofexecutive.htm" TargetMode="External"/><Relationship Id="rId218" Type="http://schemas.openxmlformats.org/officeDocument/2006/relationships/hyperlink" Target="https://www.sec.gov/Archives/edgar/data/1597033/000159703320000160/exh1087formofexecutive.htm" TargetMode="External"/><Relationship Id="rId219" Type="http://schemas.openxmlformats.org/officeDocument/2006/relationships/hyperlink" Target="https://www.sec.gov/Archives/edgar/data/1597033/000159703320000160/exh1088formofrestricte.htm" TargetMode="External"/><Relationship Id="rId220" Type="http://schemas.openxmlformats.org/officeDocument/2006/relationships/hyperlink" Target="https://www.sec.gov/Archives/edgar/data/1597033/000159703320000160/exh1089formofexecutive.htm" TargetMode="External"/><Relationship Id="rId221" Type="http://schemas.openxmlformats.org/officeDocument/2006/relationships/hyperlink" Target="https://www.sec.gov/Archives/edgar/data/1597033/000159703320000160/exh1090formofnon-emplo.htm" TargetMode="External"/><Relationship Id="rId222" Type="http://schemas.openxmlformats.org/officeDocument/2006/relationships/hyperlink" Target="https://www.sec.gov/Archives/edgar/data/1597033/000159703320000160/exh1091roshanmendis-sa.htm" TargetMode="External"/><Relationship Id="rId223" Type="http://schemas.openxmlformats.org/officeDocument/2006/relationships/hyperlink" Target="https://www.sec.gov/Archives/edgar/data/1597033/000159703320000160/exh1092davidmoore-sabr.htm" TargetMode="External"/><Relationship Id="rId224" Type="http://schemas.openxmlformats.org/officeDocument/2006/relationships/hyperlink" Target="https://www.sec.gov/Archives/edgar/data/1597033/000119312520233123/d946221dex41.htm" TargetMode="External"/><Relationship Id="rId227" Type="http://schemas.openxmlformats.org/officeDocument/2006/relationships/hyperlink" Target="https://www.sec.gov/Archives/edgar/data/1597033/000119312520233123/d946221dex101.htm" TargetMode="External"/><Relationship Id="rId228" Type="http://schemas.openxmlformats.org/officeDocument/2006/relationships/hyperlink" Target="https://www.sec.gov/Archives/edgar/data/1597033/000159703320000198/exh1094letteragreement.htm" TargetMode="External"/><Relationship Id="rId229" Type="http://schemas.openxmlformats.org/officeDocument/2006/relationships/hyperlink" Target="https://www.sec.gov/Archives/edgar/data/1597033/000159703320000198/exh1095letteragreement.htm" TargetMode="External"/><Relationship Id="rId230" Type="http://schemas.openxmlformats.org/officeDocument/2006/relationships/hyperlink" Target="https://www.sec.gov/Archives/edgar/data/1597033/000159703320000198/a1096amendmentnumber3.htm" TargetMode="External"/><Relationship Id="rId231" Type="http://schemas.openxmlformats.org/officeDocument/2006/relationships/hyperlink" Target="https://www.sec.gov/Archives/edgar/data/1597033/000159703320000198/exhibit1097indentureda.htm" TargetMode="External"/><Relationship Id="rId232" Type="http://schemas.openxmlformats.org/officeDocument/2006/relationships/hyperlink" Target="https://www.sec.gov/Archives/edgar/data/1597033/000119312520320165/d80337dex101.htm" TargetMode="External"/><Relationship Id="rId233" Type="http://schemas.openxmlformats.org/officeDocument/2006/relationships/hyperlink" Target="https://www.sec.gov/Archives/edgar/data/1597033/000119312520320165/d80337dex102.htm" TargetMode="External"/><Relationship Id="rId234" Type="http://schemas.openxmlformats.org/officeDocument/2006/relationships/hyperlink" Target="https://www.sec.gov/Archives/edgar/data/1597033/000159703321000022/exhibit10103masterservices.htm" TargetMode="External"/><Relationship Id="rId235" Type="http://schemas.openxmlformats.org/officeDocument/2006/relationships/hyperlink" Target="https://www.sec.gov/Archives/edgar/data/1597033/000159703321000022/exhibit10104serviceagreeme.htm" TargetMode="External"/><Relationship Id="rId236" Type="http://schemas.openxmlformats.org/officeDocument/2006/relationships/hyperlink" Target="https://www.sec.gov/Archives/edgar/data/1597033/000119312521140370/d181521dex101.htm" TargetMode="External"/><Relationship Id="rId237" Type="http://schemas.openxmlformats.org/officeDocument/2006/relationships/hyperlink" Target="https://www.sec.gov/Archives/edgar/data/1597033/000159703321000073/a10992021rsuformofagreement.htm" TargetMode="External"/><Relationship Id="rId238" Type="http://schemas.openxmlformats.org/officeDocument/2006/relationships/hyperlink" Target="https://www.sec.gov/Archives/edgar/data/1597033/000159703321000073/a101002021directorgrantagr.htm" TargetMode="External"/><Relationship Id="rId239" Type="http://schemas.openxmlformats.org/officeDocument/2006/relationships/hyperlink" Target="https://www.sec.gov/Archives/edgar/data/1597033/000159703321000073/a101012021annualgrantpsurf.htm" TargetMode="External"/><Relationship Id="rId240" Type="http://schemas.openxmlformats.org/officeDocument/2006/relationships/hyperlink" Target="https://www.sec.gov/Archives/edgar/data/1597033/000159703321000073/a101022021annualgrantpsuc3.htm" TargetMode="External"/><Relationship Id="rId241" Type="http://schemas.openxmlformats.org/officeDocument/2006/relationships/hyperlink" Target="https://www.sec.gov/Archives/edgar/data/1597033/000119312521213683/d365949dex101.htm" TargetMode="External"/><Relationship Id="rId242" Type="http://schemas.openxmlformats.org/officeDocument/2006/relationships/hyperlink" Target="https://www.sec.gov/Archives/edgar/data/1597033/000119312521213683/d365949dex102.htm" TargetMode="External"/><Relationship Id="rId245" Type="http://schemas.openxmlformats.org/officeDocument/2006/relationships/hyperlink" Target="https://www.sec.gov/Archives/edgar/data/1597033/000119312521213683/d365949dex103.htm" TargetMode="External"/><Relationship Id="rId246" Type="http://schemas.openxmlformats.org/officeDocument/2006/relationships/hyperlink" Target="https://www.sec.gov/Archives/edgar/data/1597033/000119312521251605/d169865dex11.htm" TargetMode="External"/><Relationship Id="rId247" Type="http://schemas.openxmlformats.org/officeDocument/2006/relationships/hyperlink" Target="https://www.sec.gov/Archives/edgar/data/1597033/000159703322000015/sabrecontractofemployment_.htm" TargetMode="External"/><Relationship Id="rId248" Type="http://schemas.openxmlformats.org/officeDocument/2006/relationships/hyperlink" Target="https://www.sec.gov/Archives/edgar/data/1597033/000159703322000015/amendmentnumber24toservice.htm" TargetMode="External"/><Relationship Id="rId249" Type="http://schemas.openxmlformats.org/officeDocument/2006/relationships/hyperlink" Target="https://www.sec.gov/Archives/edgar/data/1597033/000119312522074792/d230175dex101.htm" TargetMode="External"/><Relationship Id="rId250" Type="http://schemas.openxmlformats.org/officeDocument/2006/relationships/hyperlink" Target="https://www.sec.gov/Archives/edgar/data/1597033/000119312522133575/d335287dex101.htm" TargetMode="External"/><Relationship Id="rId251" Type="http://schemas.openxmlformats.org/officeDocument/2006/relationships/hyperlink" Target="https://www.sec.gov/Archives/edgar/data/1597033/000119312522204189/d385896dex101.htm" TargetMode="External"/><Relationship Id="rId252" Type="http://schemas.openxmlformats.org/officeDocument/2006/relationships/hyperlink" Target="https://www.sec.gov/Archives/edgar/data/1597033/000159703322000053/exhibit10110.htm" TargetMode="External"/><Relationship Id="rId253" Type="http://schemas.openxmlformats.org/officeDocument/2006/relationships/hyperlink" Target="https://www.sec.gov/Archives/edgar/data/1597033/000159703322000053/exhibit10111.htm" TargetMode="External"/><Relationship Id="rId254" Type="http://schemas.openxmlformats.org/officeDocument/2006/relationships/hyperlink" Target="https://www.sec.gov/Archives/edgar/data/1597033/000119312522224678/d393629dex101.htm" TargetMode="External"/><Relationship Id="rId255" Type="http://schemas.openxmlformats.org/officeDocument/2006/relationships/hyperlink" Target="https://www.sec.gov/Archives/edgar/data/1597033/000159703322000093/a10114-offerletterxgarry.htm" TargetMode="External"/><Relationship Id="rId256" Type="http://schemas.openxmlformats.org/officeDocument/2006/relationships/hyperlink" Target="https://www.sec.gov/Archives/edgar/data/1597033/000159703322000093/a10115-offerletterxchadw.htm" TargetMode="External"/><Relationship Id="rId257" Type="http://schemas.openxmlformats.org/officeDocument/2006/relationships/hyperlink" Target="https://www.sec.gov/Archives/edgar/data/1597033/000119312522299495/d371069dex41.htm" TargetMode="External"/><Relationship Id="rId258" Type="http://schemas.openxmlformats.org/officeDocument/2006/relationships/hyperlink" Target="https://www.sec.gov/Archives/edgar/data/1597033/000119312522299495/d371069dex101.htm" TargetMode="External"/><Relationship Id="rId261" Type="http://schemas.openxmlformats.org/officeDocument/2006/relationships/hyperlink" Target="https://www.sec.gov/Archives/edgar/data/1597033/000119312523042021/d451065dex101.htm" TargetMode="External"/><Relationship Id="rId262" Type="http://schemas.openxmlformats.org/officeDocument/2006/relationships/hyperlink" Target="https://www.sec.gov/Archives/edgar/data/1597033/000119312523055196/d476097dex101.htm" TargetMode="External"/><Relationship Id="rId263" Type="http://schemas.openxmlformats.org/officeDocument/2006/relationships/hyperlink" Target="https://www.sec.gov/Archives/edgar/data/1597033/000119312523055196/d476097dex102.htm" TargetMode="External"/><Relationship Id="rId264" Type="http://schemas.openxmlformats.org/officeDocument/2006/relationships/hyperlink" Target="https://www.sec.gov/Archives/edgar/data/1597033/000119312523088020/d490456dex101.htm" TargetMode="External"/><Relationship Id="rId265" Type="http://schemas.openxmlformats.org/officeDocument/2006/relationships/hyperlink" Target="https://www.sec.gov/Archives/edgar/data/1597033/000119312523088020/d490456dex102.htm" TargetMode="External"/><Relationship Id="rId266" Type="http://schemas.openxmlformats.org/officeDocument/2006/relationships/hyperlink" Target="https://www.sec.gov/Archives/edgar/data/1597033/000119312523126997/d202354dex101.htm" TargetMode="External"/><Relationship Id="rId267" Type="http://schemas.openxmlformats.org/officeDocument/2006/relationships/hyperlink" Target="https://www.sec.gov/Archives/edgar/data/1597033/000159703323000046/exhibit10121offerletter-.htm" TargetMode="External"/><Relationship Id="rId268" Type="http://schemas.openxmlformats.org/officeDocument/2006/relationships/hyperlink" Target="https://www.sec.gov/Archives/edgar/data/1597033/000119312523149378/d470842dex101.htm" TargetMode="External"/><Relationship Id="rId269" Type="http://schemas.openxmlformats.org/officeDocument/2006/relationships/hyperlink" Target="https://www.sec.gov/Archives/edgar/data/1597033/000119312523153616/d490581dex101.htm" TargetMode="External"/><Relationship Id="rId270" Type="http://schemas.openxmlformats.org/officeDocument/2006/relationships/hyperlink" Target="https://www.sec.gov/Archives/edgar/data/1597033/000119312523163063/d519212dex101.htm" TargetMode="External"/><Relationship Id="rId271" Type="http://schemas.openxmlformats.org/officeDocument/2006/relationships/hyperlink" Target="https://www.sec.gov/Archives/edgar/data/1597033/000119312523168444/d258407dex101.htm" TargetMode="External"/><Relationship Id="rId272" Type="http://schemas.openxmlformats.org/officeDocument/2006/relationships/hyperlink" Target="https://www.sec.gov/Archives/edgar/data/1597033/000119312523168444/d258407dex102.htm" TargetMode="External"/><Relationship Id="rId273" Type="http://schemas.openxmlformats.org/officeDocument/2006/relationships/hyperlink" Target="https://www.sec.gov/Archives/edgar/data/1597033/000119312523168444/d258407dex103.htm" TargetMode="External"/><Relationship Id="rId274" Type="http://schemas.openxmlformats.org/officeDocument/2006/relationships/hyperlink" Target="https://www.sec.gov/Archives/edgar/data/1597033/000119312523168444/d258407dex104.htm" TargetMode="External"/><Relationship Id="rId275" Type="http://schemas.openxmlformats.org/officeDocument/2006/relationships/hyperlink" Target="https://www.sec.gov/Archives/edgar/data/1597033/000159703323000073/a10123nonemployeedirectorr.htm" TargetMode="External"/><Relationship Id="rId276" Type="http://schemas.openxmlformats.org/officeDocument/2006/relationships/hyperlink" Target="https://www.sec.gov/Archives/edgar/data/1597033/000159703323000073/a10124executiverestrictedp.htm" TargetMode="External"/><Relationship Id="rId277" Type="http://schemas.openxmlformats.org/officeDocument/2006/relationships/hyperlink" Target="https://www.sec.gov/Archives/edgar/data/1597033/000159703323000073/a10125executiverestricteds.htm" TargetMode="External"/><Relationship Id="rId278" Type="http://schemas.openxmlformats.org/officeDocument/2006/relationships/hyperlink" Target="https://www.sec.gov/Archives/edgar/data/1597033/000159703323000073/a10126executiverestricteds.htm" TargetMode="External"/><Relationship Id="rId281" Type="http://schemas.openxmlformats.org/officeDocument/2006/relationships/hyperlink" Target="https://www.sec.gov/Archives/edgar/data/1597033/000119312523230673/d495101dex41.htm" TargetMode="External"/><Relationship Id="rId282" Type="http://schemas.openxmlformats.org/officeDocument/2006/relationships/hyperlink" Target="https://www.sec.gov/Archives/edgar/data/1597033/000119312523230673/d495101dex42.htm" TargetMode="External"/><Relationship Id="rId283" Type="http://schemas.openxmlformats.org/officeDocument/2006/relationships/hyperlink" Target="https://www.sec.gov/Archives/edgar/data/1597033/000119312523230673/d49510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2024-02-15T07:20:43Z</dcterms:created>
  <dcterms:modified xsi:type="dcterms:W3CDTF">2024-02-15T07:20:43Z</dcterms:modified>
</cp:coreProperties>
</file>