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88712ddef14a.htm"/>
        <w:bookmarkStart w:id="1" w:name="ksd888712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Filed by a Party other than the Registrant ☐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245"/>
        <w:gridCol w:w="60"/>
        <w:gridCol w:w="810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b/>
              </w:rPr>
            </w:pPr>
            <w:r>
              <w:rPr>
                <w:b/>
              </w:rPr>
              <w:t>Confidential, for Use of the Commission Only (as permitted by Rule 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Soliciting Material under §240.14a-12</w:t>
            </w:r>
          </w:p>
        </w:tc>
      </w:tr>
    </w:tbl>
    <w:p>
      <w:pPr>
        <w:pStyle w:val="TextBody"/>
        <w:bidi w:val="0"/>
        <w:spacing w:before="360" w:after="0"/>
        <w:jc w:val="center"/>
        <w:rPr>
          <w:rFonts w:ascii="Times New Roman" w:hAnsi="Times New Roman"/>
          <w:b/>
          <w:sz w:val="48"/>
        </w:rPr>
      </w:pPr>
      <w:r>
        <w:rPr>
          <w:rFonts w:ascii="Times New Roman" w:hAnsi="Times New Roman"/>
          <w:b/>
          <w:sz w:val="48"/>
        </w:rPr>
        <w:t>Sabre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tbl>
      <w:tblPr>
        <w:tblW w:w="9969" w:type="dxa"/>
        <w:jc w:val="left"/>
        <w:tblInd w:w="0" w:type="dxa"/>
        <w:tblLayout w:type="fixed"/>
        <w:tblCellMar>
          <w:top w:w="0" w:type="dxa"/>
          <w:left w:w="0" w:type="dxa"/>
          <w:bottom w:w="0" w:type="dxa"/>
          <w:right w:w="0" w:type="dxa"/>
        </w:tblCellMar>
      </w:tblPr>
      <w:tblGrid>
        <w:gridCol w:w="245"/>
        <w:gridCol w:w="60"/>
        <w:gridCol w:w="2641"/>
        <w:gridCol w:w="2641"/>
        <w:gridCol w:w="4382"/>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4382"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972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2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2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4" w:type="dxa"/>
            <w:gridSpan w:val="3"/>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80310" cy="6019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0310" cy="601980"/>
                    </a:xfrm>
                    <a:prstGeom prst="rect">
                      <a:avLst/>
                    </a:prstGeom>
                  </pic:spPr>
                </pic:pic>
              </a:graphicData>
            </a:graphic>
          </wp:inline>
        </w:drawing>
      </w:r>
      <w:r>
        <w:rPr/>
        <w:t xml:space="preserve"> </w:t>
      </w:r>
    </w:p>
    <w:p>
      <w:pPr>
        <w:pStyle w:val="TextBody"/>
        <w:bidi w:val="0"/>
        <w:spacing w:before="720" w:after="0"/>
        <w:jc w:val="center"/>
        <w:rPr>
          <w:rFonts w:ascii="arial" w:hAnsi="arial"/>
          <w:b/>
          <w:sz w:val="68"/>
        </w:rPr>
      </w:pPr>
      <w:r>
        <w:rPr>
          <w:rFonts w:ascii="arial" w:hAnsi="arial"/>
          <w:b/>
          <w:sz w:val="68"/>
        </w:rPr>
        <w:t xml:space="preserve">Notice of 2025 Annual Meeting </w:t>
      </w:r>
    </w:p>
    <w:p>
      <w:pPr>
        <w:pStyle w:val="TextBody"/>
        <w:bidi w:val="0"/>
        <w:spacing w:before="0" w:after="0"/>
        <w:jc w:val="center"/>
        <w:rPr>
          <w:rFonts w:ascii="arial" w:hAnsi="arial"/>
          <w:b/>
          <w:sz w:val="68"/>
        </w:rPr>
      </w:pPr>
      <w:r>
        <w:rPr>
          <w:rFonts w:ascii="arial" w:hAnsi="arial"/>
          <w:b/>
          <w:sz w:val="68"/>
        </w:rPr>
        <w:t xml:space="preserve">of Stockholders and </w:t>
      </w:r>
    </w:p>
    <w:p>
      <w:pPr>
        <w:pStyle w:val="TextBody"/>
        <w:bidi w:val="0"/>
        <w:spacing w:before="0" w:after="0"/>
        <w:jc w:val="center"/>
        <w:rPr>
          <w:rFonts w:ascii="arial" w:hAnsi="arial"/>
          <w:b/>
          <w:sz w:val="68"/>
        </w:rPr>
      </w:pPr>
      <w:r>
        <w:rPr>
          <w:rFonts w:ascii="arial" w:hAnsi="arial"/>
          <w:b/>
          <w:sz w:val="68"/>
        </w:rPr>
        <w:t xml:space="preserve">Proxy Statement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480310" cy="6019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80310" cy="601980"/>
                    </a:xfrm>
                    <a:prstGeom prst="rect">
                      <a:avLst/>
                    </a:prstGeom>
                  </pic:spPr>
                </pic:pic>
              </a:graphicData>
            </a:graphic>
          </wp:inline>
        </w:drawing>
      </w:r>
      <w:r>
        <w:rPr/>
        <w:t xml:space="preserve"> </w:t>
      </w:r>
    </w:p>
    <w:p>
      <w:pPr>
        <w:pStyle w:val="TextBody"/>
        <w:bidi w:val="0"/>
        <w:spacing w:before="720" w:after="0"/>
        <w:jc w:val="left"/>
        <w:rPr>
          <w:rFonts w:ascii="arial" w:hAnsi="arial"/>
          <w:sz w:val="22"/>
        </w:rPr>
      </w:pPr>
      <w:r>
        <w:rPr>
          <w:rFonts w:ascii="arial" w:hAnsi="arial"/>
          <w:sz w:val="22"/>
        </w:rPr>
        <w:t xml:space="preserve">March 13, 2025 </w:t>
      </w:r>
    </w:p>
    <w:p>
      <w:pPr>
        <w:pStyle w:val="TextBody"/>
        <w:bidi w:val="0"/>
        <w:spacing w:before="240" w:after="0"/>
        <w:jc w:val="left"/>
        <w:rPr>
          <w:rFonts w:ascii="arial" w:hAnsi="arial"/>
          <w:sz w:val="22"/>
        </w:rPr>
      </w:pPr>
      <w:r>
        <w:rPr>
          <w:rFonts w:ascii="arial" w:hAnsi="arial"/>
          <w:sz w:val="22"/>
        </w:rPr>
        <w:t xml:space="preserve">Dear Fellow Stockholders: </w:t>
      </w:r>
    </w:p>
    <w:p>
      <w:pPr>
        <w:pStyle w:val="TextBody"/>
        <w:bidi w:val="0"/>
        <w:spacing w:before="240" w:after="0"/>
        <w:jc w:val="left"/>
        <w:rPr>
          <w:rFonts w:ascii="arial" w:hAnsi="arial"/>
          <w:sz w:val="22"/>
        </w:rPr>
      </w:pPr>
      <w:r>
        <w:rPr>
          <w:rFonts w:ascii="arial" w:hAnsi="arial"/>
          <w:sz w:val="22"/>
        </w:rPr>
        <w:t xml:space="preserve">We are pleased to invite you to the 2025 Annual Meeting of Stockholders. The meeting will be held on Wednesday, April 23, 2025, at 9:30 a.m. local time, at our Global Headquarters, located at 3150 Sabre Drive, Southlake, Texas 76092. </w:t>
      </w:r>
    </w:p>
    <w:p>
      <w:pPr>
        <w:pStyle w:val="TextBody"/>
        <w:bidi w:val="0"/>
        <w:spacing w:before="240" w:after="0"/>
        <w:jc w:val="left"/>
        <w:rPr>
          <w:rFonts w:ascii="arial" w:hAnsi="arial"/>
          <w:sz w:val="22"/>
        </w:rPr>
      </w:pPr>
      <w:r>
        <w:rPr>
          <w:rFonts w:ascii="arial" w:hAnsi="arial"/>
          <w:sz w:val="22"/>
        </w:rPr>
        <w:t xml:space="preserve">Details about the business to be conducted at the Annual Meeting can be found in the accompanying Notice of Annual Meeting of Stockholders and proxy statement. </w:t>
      </w:r>
    </w:p>
    <w:p>
      <w:pPr>
        <w:pStyle w:val="TextBody"/>
        <w:bidi w:val="0"/>
        <w:spacing w:before="240" w:after="0"/>
        <w:jc w:val="left"/>
        <w:rPr>
          <w:rFonts w:ascii="arial" w:hAnsi="arial"/>
          <w:sz w:val="22"/>
        </w:rPr>
      </w:pPr>
      <w:r>
        <w:rPr>
          <w:rFonts w:ascii="arial" w:hAnsi="arial"/>
          <w:b/>
          <w:sz w:val="22"/>
        </w:rPr>
        <w:t>Your vote is important.</w:t>
      </w:r>
      <w:r>
        <w:rPr>
          <w:rFonts w:ascii="arial" w:hAnsi="arial"/>
          <w:sz w:val="22"/>
        </w:rPr>
        <w:t xml:space="preserve"> Regardless of whether you plan to attend the Annual Meeting, we urge you to submit your proxy as soon as possible. You may submit your proxy using the proxy card by completing, signing, and dating it, then returning it by mail. Also, most of our stockholders can submit their proxy by telephone or through the Internet. If telephone or Internet voting is available to you, instructions will be included on your proxy card. Additional information about voting your shares is included in the proxy statement. </w:t>
      </w:r>
    </w:p>
    <w:p>
      <w:pPr>
        <w:pStyle w:val="TextBody"/>
        <w:bidi w:val="0"/>
        <w:spacing w:before="240" w:after="0"/>
        <w:jc w:val="left"/>
        <w:rPr>
          <w:rFonts w:ascii="arial" w:hAnsi="arial"/>
          <w:sz w:val="22"/>
        </w:rPr>
      </w:pPr>
      <w:r>
        <w:rPr>
          <w:rFonts w:ascii="arial" w:hAnsi="arial"/>
          <w:sz w:val="22"/>
        </w:rPr>
        <w:t xml:space="preserve">As in prior years, we are utilizing rules that allow companies to furnish proxy materials to stockholders on the Internet. We believe furnishing proxy materials in this manner allows us to continue to make this information available to our stockholders, while reducing printing and delivery costs and acting in a sustainable manner. </w:t>
      </w:r>
    </w:p>
    <w:p>
      <w:pPr>
        <w:pStyle w:val="TextBody"/>
        <w:bidi w:val="0"/>
        <w:spacing w:before="240" w:after="0"/>
        <w:jc w:val="left"/>
        <w:rPr>
          <w:rFonts w:ascii="arial" w:hAnsi="arial"/>
          <w:sz w:val="22"/>
        </w:rPr>
      </w:pPr>
      <w:r>
        <w:rPr>
          <w:rFonts w:ascii="arial" w:hAnsi="arial"/>
          <w:sz w:val="22"/>
        </w:rPr>
        <w:t xml:space="preserve">On behalf of your Board of Directors, thank you for your continued interest and support. </w:t>
      </w:r>
    </w:p>
    <w:p>
      <w:pPr>
        <w:pStyle w:val="TextBody"/>
        <w:bidi w:val="0"/>
        <w:spacing w:before="240" w:after="0"/>
        <w:jc w:val="left"/>
        <w:rPr>
          <w:rFonts w:ascii="arial" w:hAnsi="arial"/>
          <w:sz w:val="22"/>
        </w:rPr>
      </w:pPr>
      <w:r>
        <w:rPr>
          <w:rFonts w:ascii="arial" w:hAnsi="arial"/>
          <w:sz w:val="22"/>
        </w:rPr>
        <w:t xml:space="preserve">Sincerely, </w:t>
      </w:r>
    </w:p>
    <w:p>
      <w:pPr>
        <w:pStyle w:val="TextBody"/>
        <w:bidi w:val="0"/>
        <w:spacing w:before="0" w:after="0"/>
        <w:jc w:val="left"/>
        <w:rPr/>
      </w:pPr>
      <w:r>
        <w:rPr/>
        <w:t> </w:t>
      </w:r>
    </w:p>
    <w:tbl>
      <w:tblPr>
        <w:tblW w:w="5661" w:type="dxa"/>
        <w:jc w:val="left"/>
        <w:tblInd w:w="0" w:type="dxa"/>
        <w:tblLayout w:type="fixed"/>
        <w:tblCellMar>
          <w:top w:w="0" w:type="dxa"/>
          <w:left w:w="0" w:type="dxa"/>
          <w:bottom w:w="0" w:type="dxa"/>
          <w:right w:w="0" w:type="dxa"/>
        </w:tblCellMar>
      </w:tblPr>
      <w:tblGrid>
        <w:gridCol w:w="2221"/>
        <w:gridCol w:w="120"/>
        <w:gridCol w:w="3320"/>
      </w:tblGrid>
      <w:tr>
        <w:trPr/>
        <w:tc>
          <w:tcPr>
            <w:tcW w:w="22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0"/>
              <w:jc w:val="left"/>
              <w:rPr/>
            </w:pPr>
            <w:r>
              <w:rPr/>
              <w:drawing>
                <wp:inline distT="0" distB="0" distL="0" distR="0">
                  <wp:extent cx="1362710" cy="415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62710" cy="41529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drawing>
                <wp:inline distT="0" distB="0" distL="0" distR="0">
                  <wp:extent cx="1134110" cy="5213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34110" cy="521335"/>
                          </a:xfrm>
                          <a:prstGeom prst="rect">
                            <a:avLst/>
                          </a:prstGeom>
                        </pic:spPr>
                      </pic:pic>
                    </a:graphicData>
                  </a:graphic>
                </wp:inline>
              </w:drawing>
            </w:r>
            <w:r>
              <w:rPr/>
              <w:t xml:space="preserve"> </w:t>
            </w:r>
          </w:p>
        </w:tc>
      </w:tr>
      <w:tr>
        <w:trPr/>
        <w:tc>
          <w:tcPr>
            <w:tcW w:w="2221" w:type="dxa"/>
            <w:tcBorders/>
            <w:vAlign w:val="center"/>
          </w:tcPr>
          <w:p>
            <w:pPr>
              <w:pStyle w:val="TableContents"/>
              <w:bidi w:val="0"/>
              <w:spacing w:before="0" w:after="0"/>
              <w:jc w:val="left"/>
              <w:rPr>
                <w:rFonts w:ascii="arial" w:hAnsi="arial"/>
                <w:sz w:val="20"/>
              </w:rPr>
            </w:pPr>
            <w:r>
              <w:rPr>
                <w:rFonts w:ascii="arial" w:hAnsi="arial"/>
                <w:sz w:val="20"/>
              </w:rPr>
              <w:t>Gail Mandel</w:t>
            </w:r>
          </w:p>
        </w:tc>
        <w:tc>
          <w:tcPr>
            <w:tcW w:w="12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sz w:val="20"/>
              </w:rPr>
            </w:pPr>
            <w:r>
              <w:rPr>
                <w:rFonts w:ascii="arial" w:hAnsi="arial"/>
                <w:sz w:val="20"/>
              </w:rPr>
              <w:t>Kurt Ekert</w:t>
            </w:r>
          </w:p>
        </w:tc>
      </w:tr>
      <w:tr>
        <w:trPr/>
        <w:tc>
          <w:tcPr>
            <w:tcW w:w="2221" w:type="dxa"/>
            <w:tcBorders/>
            <w:vAlign w:val="center"/>
          </w:tcPr>
          <w:p>
            <w:pPr>
              <w:pStyle w:val="TableContents"/>
              <w:bidi w:val="0"/>
              <w:spacing w:before="0" w:after="0"/>
              <w:jc w:val="left"/>
              <w:rPr>
                <w:rFonts w:ascii="arial" w:hAnsi="arial"/>
                <w:i/>
                <w:sz w:val="20"/>
              </w:rPr>
            </w:pPr>
            <w:r>
              <w:rPr>
                <w:rFonts w:ascii="arial" w:hAnsi="arial"/>
                <w:i/>
                <w:sz w:val="20"/>
              </w:rPr>
              <w:t>Chair of the Board</w:t>
            </w:r>
          </w:p>
        </w:tc>
        <w:tc>
          <w:tcPr>
            <w:tcW w:w="12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i/>
                <w:sz w:val="20"/>
              </w:rPr>
            </w:pPr>
            <w:r>
              <w:rPr>
                <w:rFonts w:ascii="arial" w:hAnsi="arial"/>
                <w:i/>
                <w:sz w:val="20"/>
              </w:rPr>
              <w:t>Chief Executive Officer and President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74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NOTICE OF ANNUAL MEETING OF STOCKHOLDERS 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2480310" cy="6019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80310" cy="601980"/>
                    </a:xfrm>
                    <a:prstGeom prst="rect">
                      <a:avLst/>
                    </a:prstGeom>
                  </pic:spPr>
                </pic:pic>
              </a:graphicData>
            </a:graphic>
          </wp:inline>
        </w:drawing>
      </w:r>
      <w:r>
        <w:rPr/>
        <w:t xml:space="preserve"> </w:t>
      </w:r>
    </w:p>
    <w:p>
      <w:pPr>
        <w:pStyle w:val="TextBody"/>
        <w:bidi w:val="0"/>
        <w:spacing w:before="240" w:after="0"/>
        <w:jc w:val="left"/>
        <w:rPr>
          <w:rFonts w:ascii="arial" w:hAnsi="arial"/>
          <w:b/>
          <w:sz w:val="22"/>
        </w:rPr>
      </w:pPr>
      <w:r>
        <w:rPr>
          <w:rFonts w:ascii="arial" w:hAnsi="arial"/>
          <w:b/>
          <w:sz w:val="22"/>
        </w:rPr>
        <w:t xml:space="preserve">SABRE CORPORATION </w:t>
      </w:r>
    </w:p>
    <w:p>
      <w:pPr>
        <w:pStyle w:val="TextBody"/>
        <w:bidi w:val="0"/>
        <w:spacing w:before="0" w:after="0"/>
        <w:jc w:val="left"/>
        <w:rPr>
          <w:rFonts w:ascii="arial" w:hAnsi="arial"/>
          <w:b/>
          <w:sz w:val="22"/>
        </w:rPr>
      </w:pPr>
      <w:r>
        <w:rPr>
          <w:rFonts w:ascii="arial" w:hAnsi="arial"/>
          <w:b/>
          <w:sz w:val="22"/>
        </w:rPr>
        <w:t xml:space="preserve">3150 Sabre Drive </w:t>
      </w:r>
    </w:p>
    <w:p>
      <w:pPr>
        <w:pStyle w:val="TextBody"/>
        <w:bidi w:val="0"/>
        <w:spacing w:before="0" w:after="0"/>
        <w:jc w:val="left"/>
        <w:rPr>
          <w:rFonts w:ascii="arial" w:hAnsi="arial"/>
          <w:b/>
          <w:sz w:val="22"/>
        </w:rPr>
      </w:pPr>
      <w:r>
        <w:rPr>
          <w:rFonts w:ascii="arial" w:hAnsi="arial"/>
          <w:b/>
          <w:sz w:val="22"/>
        </w:rPr>
        <w:t xml:space="preserve">Southlake, Texas 76092 </w:t>
      </w:r>
    </w:p>
    <w:p>
      <w:pPr>
        <w:pStyle w:val="TextBody"/>
        <w:bidi w:val="0"/>
        <w:spacing w:before="240" w:after="0"/>
        <w:jc w:val="left"/>
        <w:rPr>
          <w:rFonts w:ascii="arial" w:hAnsi="arial"/>
          <w:b/>
          <w:color w:val="CF0A2C"/>
          <w:sz w:val="44"/>
        </w:rPr>
      </w:pPr>
      <w:r>
        <w:rPr>
          <w:rFonts w:ascii="arial" w:hAnsi="arial"/>
          <w:b/>
          <w:color w:val="CF0A2C"/>
          <w:sz w:val="44"/>
        </w:rPr>
        <w:t xml:space="preserve">NOTICE OF ANNUAL MEETING OF STOCKHOLDERS </w:t>
      </w:r>
    </w:p>
    <w:p>
      <w:pPr>
        <w:pStyle w:val="TextBody"/>
        <w:bidi w:val="0"/>
        <w:spacing w:before="240" w:after="0"/>
        <w:jc w:val="left"/>
        <w:rPr>
          <w:rFonts w:ascii="arial" w:hAnsi="arial"/>
          <w:sz w:val="22"/>
        </w:rPr>
      </w:pPr>
      <w:r>
        <w:rPr>
          <w:rFonts w:ascii="arial" w:hAnsi="arial"/>
          <w:sz w:val="22"/>
        </w:rPr>
        <w:t xml:space="preserve">The Annual Meeting of Stockholders (including any adjournments or postponements, the “Annual Meeting”) of Sabre Corporation, a Delaware corporation, will be held at 9:30 a.m. local time on Wednesday, April 23, 2025, at our Global Headquarters, 3150 Sabre Drive, Southlake, Texas 76092,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b/>
              </w:rPr>
            </w:pPr>
            <w:r>
              <w:rPr>
                <w:b/>
              </w:rPr>
              <w:t>1.</w:t>
            </w:r>
          </w:p>
        </w:tc>
        <w:tc>
          <w:tcPr>
            <w:tcW w:w="10026" w:type="dxa"/>
            <w:tcBorders/>
            <w:vAlign w:val="center"/>
          </w:tcPr>
          <w:p>
            <w:pPr>
              <w:pStyle w:val="TableContents"/>
              <w:bidi w:val="0"/>
              <w:spacing w:before="0" w:after="0"/>
              <w:jc w:val="left"/>
              <w:rPr>
                <w:rFonts w:ascii="arial" w:hAnsi="arial"/>
                <w:b/>
                <w:sz w:val="22"/>
              </w:rPr>
            </w:pPr>
            <w:r>
              <w:rPr>
                <w:rFonts w:ascii="arial" w:hAnsi="arial"/>
                <w:b/>
                <w:sz w:val="22"/>
              </w:rPr>
              <w:t xml:space="preserve">To elect George Bravante, Jr., Hervé Couturier, Kurt Ekert, Eric Kelly, Gail Mandel, Phyllis Newhouse, Elaine Paul, John Scott, Wendi Sturgis, and Ashan Willy to our Board of Directors, each to serve a one-year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b/>
              </w:rPr>
            </w:pPr>
            <w:r>
              <w:rPr>
                <w:b/>
              </w:rPr>
              <w:t>2.</w:t>
            </w:r>
          </w:p>
        </w:tc>
        <w:tc>
          <w:tcPr>
            <w:tcW w:w="10006" w:type="dxa"/>
            <w:tcBorders/>
            <w:vAlign w:val="center"/>
          </w:tcPr>
          <w:p>
            <w:pPr>
              <w:pStyle w:val="TableContents"/>
              <w:bidi w:val="0"/>
              <w:spacing w:before="0" w:after="0"/>
              <w:jc w:val="left"/>
              <w:rPr>
                <w:rFonts w:ascii="arial" w:hAnsi="arial"/>
                <w:b/>
                <w:sz w:val="22"/>
              </w:rPr>
            </w:pPr>
            <w:r>
              <w:rPr>
                <w:rFonts w:ascii="arial" w:hAnsi="arial"/>
                <w:b/>
                <w:sz w:val="22"/>
              </w:rPr>
              <w:t xml:space="preserve">To ratify the appointment of Ernst &amp; Young LLP as our independent auditors for the fiscal year ending December 31, 2025, </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215"/>
        <w:gridCol w:w="6440"/>
      </w:tblGrid>
      <w:tr>
        <w:trPr/>
        <w:tc>
          <w:tcPr>
            <w:tcW w:w="215" w:type="dxa"/>
            <w:tcBorders/>
            <w:vAlign w:val="center"/>
          </w:tcPr>
          <w:p>
            <w:pPr>
              <w:pStyle w:val="TableContents"/>
              <w:bidi w:val="0"/>
              <w:spacing w:before="0" w:after="283"/>
              <w:jc w:val="left"/>
              <w:rPr>
                <w:b/>
              </w:rPr>
            </w:pPr>
            <w:r>
              <w:rPr>
                <w:b/>
              </w:rPr>
              <w:t>3.</w:t>
            </w:r>
          </w:p>
        </w:tc>
        <w:tc>
          <w:tcPr>
            <w:tcW w:w="6440" w:type="dxa"/>
            <w:tcBorders/>
            <w:vAlign w:val="center"/>
          </w:tcPr>
          <w:p>
            <w:pPr>
              <w:pStyle w:val="TableContents"/>
              <w:bidi w:val="0"/>
              <w:spacing w:before="0" w:after="0"/>
              <w:jc w:val="left"/>
              <w:rPr>
                <w:rFonts w:ascii="arial" w:hAnsi="arial"/>
                <w:b/>
                <w:sz w:val="22"/>
              </w:rPr>
            </w:pPr>
            <w:r>
              <w:rPr>
                <w:rFonts w:ascii="arial" w:hAnsi="arial"/>
                <w:b/>
                <w:sz w:val="22"/>
              </w:rPr>
              <w:t xml:space="preserve">To approve our 2025 Omnibus Incentive Compensation Plan,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215"/>
        <w:gridCol w:w="8810"/>
      </w:tblGrid>
      <w:tr>
        <w:trPr/>
        <w:tc>
          <w:tcPr>
            <w:tcW w:w="215" w:type="dxa"/>
            <w:tcBorders/>
            <w:vAlign w:val="center"/>
          </w:tcPr>
          <w:p>
            <w:pPr>
              <w:pStyle w:val="TableContents"/>
              <w:bidi w:val="0"/>
              <w:spacing w:before="0" w:after="283"/>
              <w:jc w:val="left"/>
              <w:rPr>
                <w:b/>
              </w:rPr>
            </w:pPr>
            <w:r>
              <w:rPr>
                <w:b/>
              </w:rPr>
              <w:t>4.</w:t>
            </w:r>
          </w:p>
        </w:tc>
        <w:tc>
          <w:tcPr>
            <w:tcW w:w="8810" w:type="dxa"/>
            <w:tcBorders/>
            <w:vAlign w:val="center"/>
          </w:tcPr>
          <w:p>
            <w:pPr>
              <w:pStyle w:val="TableContents"/>
              <w:bidi w:val="0"/>
              <w:spacing w:before="0" w:after="0"/>
              <w:jc w:val="left"/>
              <w:rPr>
                <w:rFonts w:ascii="arial" w:hAnsi="arial"/>
                <w:b/>
                <w:sz w:val="22"/>
              </w:rPr>
            </w:pPr>
            <w:r>
              <w:rPr>
                <w:rFonts w:ascii="arial" w:hAnsi="arial"/>
                <w:b/>
                <w:sz w:val="22"/>
              </w:rPr>
              <w:t xml:space="preserve">To hold an advisory vote on the compensation of our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b/>
              </w:rPr>
            </w:pPr>
            <w:r>
              <w:rPr>
                <w:b/>
              </w:rPr>
              <w:t>5.</w:t>
            </w:r>
          </w:p>
        </w:tc>
        <w:tc>
          <w:tcPr>
            <w:tcW w:w="10006" w:type="dxa"/>
            <w:tcBorders/>
            <w:vAlign w:val="center"/>
          </w:tcPr>
          <w:p>
            <w:pPr>
              <w:pStyle w:val="TableContents"/>
              <w:bidi w:val="0"/>
              <w:spacing w:before="0" w:after="0"/>
              <w:jc w:val="left"/>
              <w:rPr>
                <w:rFonts w:ascii="arial" w:hAnsi="arial"/>
                <w:b/>
                <w:sz w:val="22"/>
              </w:rPr>
            </w:pPr>
            <w:r>
              <w:rPr>
                <w:rFonts w:ascii="arial" w:hAnsi="arial"/>
                <w:b/>
                <w:sz w:val="22"/>
              </w:rPr>
              <w:t xml:space="preserve">To transact any other business that may properly come before the Annual Meeting or any adjournments or postponements. </w:t>
            </w:r>
          </w:p>
        </w:tc>
      </w:tr>
    </w:tbl>
    <w:p>
      <w:pPr>
        <w:pStyle w:val="TextBody"/>
        <w:bidi w:val="0"/>
        <w:spacing w:before="200" w:after="0"/>
        <w:jc w:val="left"/>
        <w:rPr>
          <w:rFonts w:ascii="arial" w:hAnsi="arial"/>
          <w:sz w:val="22"/>
        </w:rPr>
      </w:pPr>
      <w:r>
        <w:rPr>
          <w:rFonts w:ascii="arial" w:hAnsi="arial"/>
          <w:sz w:val="22"/>
        </w:rPr>
        <w:t>Our Board of Directors recommends you vote (1) </w:t>
      </w:r>
      <w:r>
        <w:rPr>
          <w:rFonts w:ascii="arial" w:hAnsi="arial"/>
          <w:b/>
          <w:sz w:val="22"/>
        </w:rPr>
        <w:t>FOR</w:t>
      </w:r>
      <w:r>
        <w:rPr>
          <w:rFonts w:ascii="arial" w:hAnsi="arial"/>
          <w:sz w:val="22"/>
        </w:rPr>
        <w:t xml:space="preserve"> the election of the ten nominees for directors named in this proxy statement, (2) </w:t>
      </w:r>
      <w:r>
        <w:rPr>
          <w:rFonts w:ascii="arial" w:hAnsi="arial"/>
          <w:b/>
          <w:sz w:val="22"/>
        </w:rPr>
        <w:t>FOR</w:t>
      </w:r>
      <w:r>
        <w:rPr>
          <w:rFonts w:ascii="arial" w:hAnsi="arial"/>
          <w:sz w:val="22"/>
        </w:rPr>
        <w:t xml:space="preserve"> ratification of the appointment of our independent auditors, (3) </w:t>
      </w:r>
      <w:r>
        <w:rPr>
          <w:rFonts w:ascii="arial" w:hAnsi="arial"/>
          <w:b/>
          <w:sz w:val="22"/>
        </w:rPr>
        <w:t>FOR</w:t>
      </w:r>
      <w:r>
        <w:rPr>
          <w:rFonts w:ascii="arial" w:hAnsi="arial"/>
          <w:sz w:val="22"/>
        </w:rPr>
        <w:t xml:space="preserve"> the approval of our 2025 Omnibus Incentive Compensation Plan, and (4) </w:t>
      </w:r>
      <w:r>
        <w:rPr>
          <w:rFonts w:ascii="arial" w:hAnsi="arial"/>
          <w:b/>
          <w:sz w:val="22"/>
        </w:rPr>
        <w:t>FOR</w:t>
      </w:r>
      <w:r>
        <w:rPr>
          <w:rFonts w:ascii="arial" w:hAnsi="arial"/>
          <w:sz w:val="22"/>
        </w:rPr>
        <w:t xml:space="preserve"> the advisory, non-binding vote on the compensation of our named executive officers. </w:t>
      </w:r>
    </w:p>
    <w:p>
      <w:pPr>
        <w:pStyle w:val="TextBody"/>
        <w:bidi w:val="0"/>
        <w:spacing w:before="200" w:after="0"/>
        <w:jc w:val="left"/>
        <w:rPr>
          <w:rFonts w:ascii="arial" w:hAnsi="arial"/>
          <w:sz w:val="22"/>
        </w:rPr>
      </w:pPr>
      <w:r>
        <w:rPr>
          <w:rFonts w:ascii="arial" w:hAnsi="arial"/>
          <w:sz w:val="22"/>
        </w:rPr>
        <w:t xml:space="preserve">Only stockholders of record at the close of business on February 24, 2025, are entitled to notice of, to attend, and to vote at the Annual Meeting and any adjournments or postponements. </w:t>
      </w:r>
    </w:p>
    <w:p>
      <w:pPr>
        <w:pStyle w:val="TextBody"/>
        <w:bidi w:val="0"/>
        <w:spacing w:before="200" w:after="0"/>
        <w:jc w:val="left"/>
        <w:rPr>
          <w:rFonts w:ascii="arial" w:hAnsi="arial"/>
          <w:sz w:val="22"/>
        </w:rPr>
      </w:pPr>
      <w:r>
        <w:rPr>
          <w:rFonts w:ascii="arial" w:hAnsi="arial"/>
          <w:sz w:val="22"/>
        </w:rPr>
        <w:t xml:space="preserve">Whether or not you expect to attend the Annual Meeting, we encourage you to submit your proxy promptly by using the Internet or telephone or by signing, dating, and returning your proxy card. </w:t>
      </w:r>
    </w:p>
    <w:p>
      <w:pPr>
        <w:pStyle w:val="TextBody"/>
        <w:bidi w:val="0"/>
        <w:spacing w:before="200" w:after="0"/>
        <w:jc w:val="left"/>
        <w:rPr>
          <w:rFonts w:ascii="arial" w:hAnsi="arial"/>
          <w:sz w:val="22"/>
        </w:rPr>
      </w:pPr>
      <w:r>
        <w:rPr>
          <w:rFonts w:ascii="arial" w:hAnsi="arial"/>
          <w:sz w:val="22"/>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546860" cy="294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46860" cy="294005"/>
                    </a:xfrm>
                    <a:prstGeom prst="rect">
                      <a:avLst/>
                    </a:prstGeom>
                  </pic:spPr>
                </pic:pic>
              </a:graphicData>
            </a:graphic>
          </wp:inline>
        </w:drawing>
      </w:r>
      <w:r>
        <w:rPr/>
        <w:t xml:space="preserve"> </w:t>
      </w:r>
    </w:p>
    <w:p>
      <w:pPr>
        <w:pStyle w:val="TextBody"/>
        <w:bidi w:val="0"/>
        <w:spacing w:before="200" w:after="0"/>
        <w:jc w:val="left"/>
        <w:rPr>
          <w:rFonts w:ascii="arial" w:hAnsi="arial"/>
          <w:sz w:val="22"/>
        </w:rPr>
      </w:pPr>
      <w:r>
        <w:rPr>
          <w:rFonts w:ascii="arial" w:hAnsi="arial"/>
          <w:sz w:val="22"/>
        </w:rPr>
        <w:t xml:space="preserve">Steve Milton </w:t>
      </w:r>
    </w:p>
    <w:p>
      <w:pPr>
        <w:pStyle w:val="TextBody"/>
        <w:bidi w:val="0"/>
        <w:spacing w:before="0" w:after="0"/>
        <w:jc w:val="left"/>
        <w:rPr>
          <w:rFonts w:ascii="arial" w:hAnsi="arial"/>
          <w:i/>
          <w:sz w:val="22"/>
        </w:rPr>
      </w:pPr>
      <w:r>
        <w:rPr>
          <w:rFonts w:ascii="arial" w:hAnsi="arial"/>
          <w:i/>
          <w:sz w:val="22"/>
        </w:rPr>
        <w:t xml:space="preserve">Corporate Secretary </w:t>
      </w:r>
    </w:p>
    <w:p>
      <w:pPr>
        <w:pStyle w:val="TextBody"/>
        <w:bidi w:val="0"/>
        <w:spacing w:before="200" w:after="0"/>
        <w:jc w:val="left"/>
        <w:rPr>
          <w:rFonts w:ascii="arial" w:hAnsi="arial"/>
          <w:sz w:val="22"/>
        </w:rPr>
      </w:pPr>
      <w:r>
        <w:rPr>
          <w:rFonts w:ascii="arial" w:hAnsi="arial"/>
          <w:sz w:val="22"/>
        </w:rPr>
        <w:t xml:space="preserve">March 13, 2025 </w:t>
      </w:r>
    </w:p>
    <w:p>
      <w:pPr>
        <w:pStyle w:val="TextBody"/>
        <w:bidi w:val="0"/>
        <w:spacing w:before="0" w:after="0"/>
        <w:jc w:val="left"/>
        <w:rPr/>
      </w:pPr>
      <w:r>
        <w:rPr/>
        <w:t> </w:t>
      </w:r>
    </w:p>
    <w:p>
      <w:pPr>
        <w:pStyle w:val="TextBody"/>
        <w:pBdr/>
        <w:bidi w:val="0"/>
        <w:spacing w:before="0" w:after="0"/>
        <w:jc w:val="center"/>
        <w:rPr>
          <w:rFonts w:ascii="arial" w:hAnsi="arial"/>
          <w:b/>
          <w:sz w:val="22"/>
          <w:shd w:fill="D8D8D8" w:val="clear"/>
        </w:rPr>
      </w:pPr>
      <w:r>
        <w:rPr>
          <w:rFonts w:ascii="arial" w:hAnsi="arial"/>
          <w:b/>
          <w:sz w:val="22"/>
          <w:shd w:fill="D8D8D8" w:val="clear"/>
        </w:rPr>
        <w:t xml:space="preserve">Important Notice Regarding the Availability of Proxy Materials </w:t>
      </w:r>
    </w:p>
    <w:p>
      <w:pPr>
        <w:pStyle w:val="TextBody"/>
        <w:bidi w:val="0"/>
        <w:spacing w:before="0" w:after="0"/>
        <w:jc w:val="center"/>
        <w:rPr>
          <w:rFonts w:ascii="arial" w:hAnsi="arial"/>
          <w:b/>
          <w:sz w:val="22"/>
          <w:shd w:fill="D8D8D8" w:val="clear"/>
        </w:rPr>
      </w:pPr>
      <w:r>
        <w:rPr>
          <w:rFonts w:ascii="arial" w:hAnsi="arial"/>
          <w:b/>
          <w:sz w:val="22"/>
          <w:shd w:fill="D8D8D8" w:val="clear"/>
        </w:rPr>
        <w:t xml:space="preserve">for the Stockholder Meeting to be Held on April 23, 2025 </w:t>
      </w:r>
    </w:p>
    <w:p>
      <w:pPr>
        <w:pStyle w:val="TextBody"/>
        <w:bidi w:val="0"/>
        <w:spacing w:before="0" w:after="0"/>
        <w:jc w:val="center"/>
        <w:rPr>
          <w:rFonts w:ascii="arial" w:hAnsi="arial"/>
          <w:b/>
          <w:sz w:val="22"/>
          <w:shd w:fill="D8D8D8" w:val="clear"/>
        </w:rPr>
      </w:pPr>
      <w:r>
        <w:rPr>
          <w:rFonts w:ascii="arial" w:hAnsi="arial"/>
          <w:b/>
          <w:sz w:val="22"/>
          <w:shd w:fill="D8D8D8" w:val="clear"/>
        </w:rPr>
        <w:t xml:space="preserve">This proxy statement and the 2024 annual report are available at </w:t>
      </w:r>
    </w:p>
    <w:p>
      <w:pPr>
        <w:pStyle w:val="TextBody"/>
        <w:pBdr/>
        <w:bidi w:val="0"/>
        <w:spacing w:before="0" w:after="0"/>
        <w:jc w:val="center"/>
        <w:rPr>
          <w:rFonts w:ascii="arial" w:hAnsi="arial"/>
          <w:b/>
          <w:i/>
          <w:color w:val="CF0A2C"/>
          <w:sz w:val="22"/>
          <w:u w:val="single"/>
          <w:shd w:fill="D8D8D8" w:val="clear"/>
        </w:rPr>
      </w:pPr>
      <w:r>
        <w:rPr>
          <w:rFonts w:ascii="arial" w:hAnsi="arial"/>
          <w:b/>
          <w:i/>
          <w:color w:val="CF0A2C"/>
          <w:sz w:val="22"/>
          <w:u w:val="single"/>
          <w:shd w:fill="D8D8D8" w:val="clear"/>
        </w:rPr>
        <w:t xml:space="preserve">www.proxydocs.com/SABR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2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18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TABLE OF CONTENTS </w:t>
            </w:r>
          </w:p>
          <w:p>
            <w:pPr>
              <w:pStyle w:val="TableContents"/>
              <w:bidi w:val="0"/>
              <w:spacing w:before="0" w:after="20"/>
              <w:jc w:val="left"/>
              <w:rPr/>
            </w:pPr>
            <w:r>
              <w:rPr/>
              <w:t>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475"/>
        <w:gridCol w:w="120"/>
        <w:gridCol w:w="60"/>
        <w:gridCol w:w="260"/>
        <w:gridCol w:w="75"/>
      </w:tblGrid>
      <w:tr>
        <w:trPr/>
        <w:tc>
          <w:tcPr>
            <w:tcW w:w="7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5" w:type="dxa"/>
            <w:tcBorders/>
            <w:vAlign w:val="center"/>
          </w:tcPr>
          <w:p>
            <w:pPr>
              <w:pStyle w:val="TableContents"/>
              <w:bidi w:val="0"/>
              <w:spacing w:before="0" w:after="0"/>
              <w:jc w:val="left"/>
              <w:rPr>
                <w:rFonts w:ascii="arial" w:hAnsi="arial"/>
                <w:b/>
                <w:color w:val="CF0A2C"/>
                <w:sz w:val="44"/>
              </w:rPr>
            </w:pPr>
            <w:bookmarkStart w:id="2" w:name="toc"/>
            <w:bookmarkEnd w:id="2"/>
            <w:r>
              <w:rPr>
                <w:rFonts w:ascii="arial" w:hAnsi="arial"/>
                <w:b/>
                <w:color w:val="CF0A2C"/>
                <w:sz w:val="44"/>
              </w:rPr>
              <w:t>TABLE OF CONTENTS</w:t>
            </w:r>
          </w:p>
          <w:p>
            <w:pPr>
              <w:pStyle w:val="TableContents"/>
              <w:bidi w:val="0"/>
              <w:spacing w:before="0" w:after="20"/>
              <w:jc w:val="left"/>
              <w:rPr/>
            </w:pPr>
            <w:r>
              <w:rPr/>
              <w:t> </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1">
              <w:r>
                <w:rPr>
                  <w:rStyle w:val="InternetLink"/>
                  <w:rFonts w:ascii="arial" w:hAnsi="arial"/>
                  <w:b/>
                  <w:sz w:val="20"/>
                </w:rPr>
                <w:t>PROXY STATEMENT SUMMARY</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2">
              <w:r>
                <w:rPr>
                  <w:rStyle w:val="InternetLink"/>
                  <w:rFonts w:ascii="arial" w:hAnsi="arial"/>
                  <w:b/>
                  <w:sz w:val="20"/>
                </w:rPr>
                <w:t>INFORMATION ABOUT OUR ANNUAL MEETING</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3">
              <w:r>
                <w:rPr>
                  <w:rStyle w:val="InternetLink"/>
                  <w:rFonts w:ascii="arial" w:hAnsi="arial"/>
                  <w:sz w:val="24"/>
                </w:rPr>
                <w:t>Date and Time of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4">
              <w:r>
                <w:rPr>
                  <w:rStyle w:val="InternetLink"/>
                  <w:rFonts w:ascii="arial" w:hAnsi="arial"/>
                  <w:sz w:val="24"/>
                </w:rPr>
                <w:t>Record Date; Mailing Date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5">
              <w:r>
                <w:rPr>
                  <w:rStyle w:val="InternetLink"/>
                  <w:rFonts w:ascii="arial" w:hAnsi="arial"/>
                  <w:sz w:val="24"/>
                </w:rPr>
                <w:t>Notice of Electronic Availability of Proxy Statement and Annual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6">
              <w:r>
                <w:rPr>
                  <w:rStyle w:val="InternetLink"/>
                  <w:rFonts w:ascii="arial" w:hAnsi="arial"/>
                  <w:sz w:val="24"/>
                </w:rPr>
                <w:t>How to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7">
              <w:r>
                <w:rPr>
                  <w:rStyle w:val="InternetLink"/>
                  <w:rFonts w:ascii="arial" w:hAnsi="arial"/>
                  <w:sz w:val="24"/>
                </w:rPr>
                <w:t>How to Revoke Your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8">
              <w:r>
                <w:rPr>
                  <w:rStyle w:val="InternetLink"/>
                  <w:rFonts w:ascii="arial" w:hAnsi="arial"/>
                  <w:sz w:val="24"/>
                </w:rPr>
                <w:t>Quorum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9">
              <w:r>
                <w:rPr>
                  <w:rStyle w:val="InternetLink"/>
                  <w:rFonts w:ascii="arial" w:hAnsi="arial"/>
                  <w:sz w:val="24"/>
                </w:rPr>
                <w:t>Votes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10">
              <w:r>
                <w:rPr>
                  <w:rStyle w:val="InternetLink"/>
                  <w:rFonts w:ascii="arial" w:hAnsi="arial"/>
                  <w:sz w:val="24"/>
                </w:rPr>
                <w:t>Abstentions and Broker Non-Votes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11">
              <w:r>
                <w:rPr>
                  <w:rStyle w:val="InternetLink"/>
                  <w:rFonts w:ascii="arial" w:hAnsi="arial"/>
                  <w:sz w:val="24"/>
                </w:rPr>
                <w:t>Solicitation of Proxies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12">
              <w:r>
                <w:rPr>
                  <w:rStyle w:val="InternetLink"/>
                  <w:rFonts w:ascii="arial" w:hAnsi="arial"/>
                  <w:sz w:val="24"/>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13">
              <w:r>
                <w:rPr>
                  <w:rStyle w:val="InternetLink"/>
                  <w:rFonts w:ascii="arial" w:hAnsi="arial"/>
                  <w:b/>
                  <w:sz w:val="20"/>
                </w:rPr>
                <w:t>CORPORATE GOVERNANCE</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10</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14">
              <w:r>
                <w:rPr>
                  <w:rStyle w:val="InternetLink"/>
                  <w:rFonts w:ascii="arial" w:hAnsi="arial"/>
                  <w:sz w:val="24"/>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15">
              <w:r>
                <w:rPr>
                  <w:rStyle w:val="InternetLink"/>
                  <w:rFonts w:ascii="arial" w:hAnsi="arial"/>
                  <w:sz w:val="24"/>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16">
              <w:r>
                <w:rPr>
                  <w:rStyle w:val="InternetLink"/>
                  <w:rFonts w:ascii="arial" w:hAnsi="arial"/>
                  <w:sz w:val="24"/>
                </w:rPr>
                <w:t>Overview of Board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17">
              <w:r>
                <w:rPr>
                  <w:rStyle w:val="InternetLink"/>
                  <w:rFonts w:ascii="arial" w:hAnsi="arial"/>
                  <w:sz w:val="24"/>
                </w:rPr>
                <w:t>Board Composition and 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18">
              <w:r>
                <w:rPr>
                  <w:rStyle w:val="InternetLink"/>
                  <w:rFonts w:ascii="arial" w:hAnsi="arial"/>
                  <w:sz w:val="24"/>
                </w:rPr>
                <w:t>Director Nominee Criteria and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19">
              <w:r>
                <w:rPr>
                  <w:rStyle w:val="InternetLink"/>
                  <w:rFonts w:ascii="arial" w:hAnsi="arial"/>
                  <w:sz w:val="24"/>
                </w:rPr>
                <w:t>Attributes of Current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20">
              <w:r>
                <w:rPr>
                  <w:rStyle w:val="InternetLink"/>
                  <w:rFonts w:ascii="arial" w:hAnsi="arial"/>
                  <w:sz w:val="24"/>
                </w:rPr>
                <w:t>Board Tenure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21">
              <w:r>
                <w:rPr>
                  <w:rStyle w:val="InternetLink"/>
                  <w:rFonts w:ascii="arial" w:hAnsi="arial"/>
                  <w:sz w:val="24"/>
                </w:rPr>
                <w:t>Board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22">
              <w:r>
                <w:rPr>
                  <w:rStyle w:val="InternetLink"/>
                  <w:rFonts w:ascii="arial" w:hAnsi="arial"/>
                  <w:sz w:val="24"/>
                </w:rPr>
                <w:t>Diversity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23">
              <w:r>
                <w:rPr>
                  <w:rStyle w:val="InternetLink"/>
                  <w:rFonts w:ascii="arial" w:hAnsi="arial"/>
                  <w:sz w:val="24"/>
                </w:rPr>
                <w:t>Stockholder Nominations for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24">
              <w:r>
                <w:rPr>
                  <w:rStyle w:val="InternetLink"/>
                  <w:rFonts w:ascii="arial" w:hAnsi="arial"/>
                  <w:sz w:val="24"/>
                </w:rPr>
                <w:t>Board Meetings and Annual Meeting Attendance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25">
              <w:r>
                <w:rPr>
                  <w:rStyle w:val="InternetLink"/>
                  <w:rFonts w:ascii="arial" w:hAnsi="arial"/>
                  <w:sz w:val="24"/>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26">
              <w:r>
                <w:rPr>
                  <w:rStyle w:val="InternetLink"/>
                  <w:rFonts w:ascii="arial" w:hAnsi="arial"/>
                  <w:sz w:val="24"/>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27">
              <w:r>
                <w:rPr>
                  <w:rStyle w:val="InternetLink"/>
                  <w:rFonts w:ascii="arial" w:hAnsi="arial"/>
                  <w:sz w:val="24"/>
                </w:rPr>
                <w:t>Other Corporate Governance Practices and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28">
              <w:r>
                <w:rPr>
                  <w:rStyle w:val="InternetLink"/>
                  <w:rFonts w:ascii="arial" w:hAnsi="arial"/>
                  <w:b/>
                  <w:sz w:val="20"/>
                </w:rPr>
                <w:t>PROPOSAL 1: ELECTION OF DIRECTORS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22</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29">
              <w:r>
                <w:rPr>
                  <w:rStyle w:val="InternetLink"/>
                  <w:rFonts w:ascii="arial" w:hAnsi="arial"/>
                  <w:sz w:val="24"/>
                </w:rPr>
                <w:t>General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30">
              <w:r>
                <w:rPr>
                  <w:rStyle w:val="InternetLink"/>
                  <w:rFonts w:ascii="arial" w:hAnsi="arial"/>
                  <w:sz w:val="24"/>
                </w:rPr>
                <w:t>Certain Information Regarding Nominees for Director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31">
              <w:r>
                <w:rPr>
                  <w:rStyle w:val="InternetLink"/>
                  <w:rFonts w:ascii="arial" w:hAnsi="arial"/>
                  <w:sz w:val="24"/>
                </w:rPr>
                <w:t>Director Compensation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74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32">
              <w:r>
                <w:rPr>
                  <w:rStyle w:val="InternetLink"/>
                  <w:rFonts w:ascii="arial" w:hAnsi="arial"/>
                  <w:b/>
                  <w:sz w:val="20"/>
                </w:rPr>
                <w:t>PROPOSAL 2: RATIFICATION OF INDEPENDENT AUDITORS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36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33">
              <w:r>
                <w:rPr>
                  <w:rStyle w:val="InternetLink"/>
                  <w:rFonts w:ascii="arial" w:hAnsi="arial"/>
                  <w:sz w:val="24"/>
                </w:rPr>
                <w:t>Principal Accounting Firm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34">
              <w:r>
                <w:rPr>
                  <w:rStyle w:val="InternetLink"/>
                  <w:rFonts w:ascii="arial" w:hAnsi="arial"/>
                  <w:sz w:val="24"/>
                </w:rPr>
                <w:t>Audit Committee Approval of Audit and Non-Audit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tx888712_35">
              <w:r>
                <w:rPr>
                  <w:rStyle w:val="InternetLink"/>
                  <w:rFonts w:ascii="arial" w:hAnsi="arial"/>
                  <w:sz w:val="24"/>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412" w:type="dxa"/>
        <w:jc w:val="left"/>
        <w:tblInd w:w="0" w:type="dxa"/>
        <w:tblLayout w:type="fixed"/>
        <w:tblCellMar>
          <w:top w:w="0" w:type="dxa"/>
          <w:left w:w="0" w:type="dxa"/>
          <w:bottom w:w="0" w:type="dxa"/>
          <w:right w:w="0" w:type="dxa"/>
        </w:tblCellMar>
      </w:tblPr>
      <w:tblGrid>
        <w:gridCol w:w="38"/>
        <w:gridCol w:w="23"/>
        <w:gridCol w:w="23"/>
        <w:gridCol w:w="23"/>
        <w:gridCol w:w="23"/>
        <w:gridCol w:w="60"/>
        <w:gridCol w:w="23"/>
        <w:gridCol w:w="23"/>
        <w:gridCol w:w="23"/>
        <w:gridCol w:w="23"/>
        <w:gridCol w:w="23"/>
        <w:gridCol w:w="60"/>
        <w:gridCol w:w="5272"/>
        <w:gridCol w:w="120"/>
        <w:gridCol w:w="60"/>
        <w:gridCol w:w="60"/>
        <w:gridCol w:w="80"/>
        <w:gridCol w:w="60"/>
        <w:gridCol w:w="120"/>
        <w:gridCol w:w="60"/>
        <w:gridCol w:w="60"/>
        <w:gridCol w:w="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b/>
                <w:color w:val="666666"/>
              </w:rPr>
            </w:pPr>
            <w:r>
              <w:rPr>
                <w:b/>
                <w:color w:val="666666"/>
              </w:rPr>
              <w:t>i</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27" w:type="dxa"/>
        <w:jc w:val="left"/>
        <w:tblInd w:w="0" w:type="dxa"/>
        <w:tblLayout w:type="fixed"/>
        <w:tblCellMar>
          <w:top w:w="0" w:type="dxa"/>
          <w:left w:w="0" w:type="dxa"/>
          <w:bottom w:w="0" w:type="dxa"/>
          <w:right w:w="0" w:type="dxa"/>
        </w:tblCellMar>
      </w:tblPr>
      <w:tblGrid>
        <w:gridCol w:w="2180"/>
        <w:gridCol w:w="60"/>
        <w:gridCol w:w="23"/>
        <w:gridCol w:w="60"/>
        <w:gridCol w:w="23"/>
        <w:gridCol w:w="60"/>
        <w:gridCol w:w="23"/>
        <w:gridCol w:w="60"/>
        <w:gridCol w:w="38"/>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TABLE OF CONTENTS 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36">
              <w:r>
                <w:rPr>
                  <w:rStyle w:val="InternetLink"/>
                  <w:rFonts w:ascii="arial" w:hAnsi="arial"/>
                  <w:b/>
                  <w:sz w:val="20"/>
                </w:rPr>
                <w:t>PROPOSAL 3: APPROVAL OF THE SABRE CORPORATION 2025 OMNIBUS INCENTIVE COMPENSATION PLAN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39</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37">
              <w:r>
                <w:rPr>
                  <w:rStyle w:val="InternetLink"/>
                  <w:rFonts w:ascii="arial" w:hAnsi="arial"/>
                  <w:sz w:val="24"/>
                </w:rPr>
                <w:t>Alignment of 2025 Omnibus Plan with Stockholders’ Interests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38">
              <w:r>
                <w:rPr>
                  <w:rStyle w:val="InternetLink"/>
                  <w:rFonts w:ascii="arial" w:hAnsi="arial"/>
                  <w:sz w:val="24"/>
                </w:rPr>
                <w:t>Key Data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39">
              <w:r>
                <w:rPr>
                  <w:rStyle w:val="InternetLink"/>
                  <w:rFonts w:ascii="arial" w:hAnsi="arial"/>
                  <w:sz w:val="24"/>
                </w:rPr>
                <w:t>Summary of Terms of the 2025 Omnibus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40">
              <w:r>
                <w:rPr>
                  <w:rStyle w:val="InternetLink"/>
                  <w:rFonts w:ascii="arial" w:hAnsi="arial"/>
                  <w:sz w:val="24"/>
                </w:rPr>
                <w:t>New Plan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41">
              <w:r>
                <w:rPr>
                  <w:rStyle w:val="InternetLink"/>
                  <w:rFonts w:ascii="arial" w:hAnsi="arial"/>
                  <w:sz w:val="24"/>
                </w:rPr>
                <w:t>U.S. Federal Income Tax Consequences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42">
              <w:r>
                <w:rPr>
                  <w:rStyle w:val="InternetLink"/>
                  <w:rFonts w:ascii="arial" w:hAnsi="arial"/>
                  <w:sz w:val="24"/>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43">
              <w:r>
                <w:rPr>
                  <w:rStyle w:val="InternetLink"/>
                  <w:rFonts w:ascii="arial" w:hAnsi="arial"/>
                  <w:b/>
                  <w:sz w:val="24"/>
                </w:rPr>
                <w:t>PROPOSAL 4: ADVISORY, NON-BINDING VOTE ON THE COMPENSATION OF OUR NAMED EXECUTIVE OFFICERS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49</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44">
              <w:r>
                <w:rPr>
                  <w:rStyle w:val="InternetLink"/>
                  <w:rFonts w:ascii="arial" w:hAnsi="arial"/>
                  <w:b/>
                  <w:sz w:val="24"/>
                </w:rPr>
                <w:t>COMPENSATION DISCUSSION AND ANALYSIS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51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r>
              <w:rPr/>
              <w:t> </w:t>
            </w:r>
          </w:p>
          <w:p>
            <w:pPr>
              <w:pStyle w:val="TableContents"/>
              <w:bidi w:val="0"/>
              <w:spacing w:before="0" w:after="20"/>
              <w:jc w:val="left"/>
              <w:rPr/>
            </w:pPr>
            <w:hyperlink w:anchor="tx888712_45">
              <w:r>
                <w:rPr>
                  <w:rStyle w:val="InternetLink"/>
                  <w:rFonts w:ascii="arial" w:hAnsi="arial"/>
                  <w:sz w:val="24"/>
                </w:rPr>
                <w:t>Executive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46">
              <w:r>
                <w:rPr>
                  <w:rStyle w:val="InternetLink"/>
                  <w:rFonts w:ascii="arial" w:hAnsi="arial"/>
                  <w:sz w:val="24"/>
                </w:rPr>
                <w:t>Compensation Philosophy and Principles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47">
              <w:r>
                <w:rPr>
                  <w:rStyle w:val="InternetLink"/>
                  <w:rFonts w:ascii="arial" w:hAnsi="arial"/>
                  <w:sz w:val="24"/>
                </w:rPr>
                <w:t>2024 Total Direct Compensation Mix</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48">
              <w:r>
                <w:rPr>
                  <w:rStyle w:val="InternetLink"/>
                  <w:rFonts w:ascii="arial" w:hAnsi="arial"/>
                  <w:sz w:val="24"/>
                </w:rPr>
                <w:t>Compensation-Setting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49">
              <w:r>
                <w:rPr>
                  <w:rStyle w:val="InternetLink"/>
                  <w:rFonts w:ascii="arial" w:hAnsi="arial"/>
                  <w:sz w:val="24"/>
                </w:rPr>
                <w:t>Compensation Elements of 2024 Total Direct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50">
              <w:r>
                <w:rPr>
                  <w:rStyle w:val="InternetLink"/>
                  <w:rFonts w:ascii="arial" w:hAnsi="arial"/>
                  <w:sz w:val="24"/>
                </w:rPr>
                <w:t>2025 Executive Compensation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51">
              <w:r>
                <w:rPr>
                  <w:rStyle w:val="InternetLink"/>
                  <w:rFonts w:ascii="arial" w:hAnsi="arial"/>
                  <w:sz w:val="24"/>
                </w:rPr>
                <w:t>Employment Agreements and Offer Letters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52">
              <w:r>
                <w:rPr>
                  <w:rStyle w:val="InternetLink"/>
                  <w:rFonts w:ascii="arial" w:hAnsi="arial"/>
                  <w:sz w:val="24"/>
                </w:rPr>
                <w:t>Post-Employment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53">
              <w:r>
                <w:rPr>
                  <w:rStyle w:val="InternetLink"/>
                  <w:rFonts w:ascii="arial" w:hAnsi="arial"/>
                  <w:sz w:val="24"/>
                </w:rPr>
                <w:t>Other Compensation Policies and Programs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54">
              <w:r>
                <w:rPr>
                  <w:rStyle w:val="InternetLink"/>
                  <w:rFonts w:ascii="arial" w:hAnsi="arial"/>
                  <w:sz w:val="24"/>
                </w:rPr>
                <w:t>Tax and Accounting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55">
              <w:r>
                <w:rPr>
                  <w:rStyle w:val="InternetLink"/>
                  <w:rFonts w:ascii="arial" w:hAnsi="arial"/>
                  <w:sz w:val="24"/>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969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56">
              <w:r>
                <w:rPr>
                  <w:rStyle w:val="InternetLink"/>
                  <w:rFonts w:ascii="arial" w:hAnsi="arial"/>
                  <w:b/>
                  <w:sz w:val="24"/>
                </w:rPr>
                <w:t>EXECUTIVE COMPENSATION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76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57">
              <w:r>
                <w:rPr>
                  <w:rStyle w:val="InternetLink"/>
                  <w:rFonts w:ascii="arial" w:hAnsi="arial"/>
                  <w:sz w:val="24"/>
                </w:rPr>
                <w:t>2024 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58">
              <w:r>
                <w:rPr>
                  <w:rStyle w:val="InternetLink"/>
                  <w:rFonts w:ascii="arial" w:hAnsi="arial"/>
                  <w:sz w:val="24"/>
                </w:rPr>
                <w:t>2024 Grants of Plan-Based Awards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59">
              <w:r>
                <w:rPr>
                  <w:rStyle w:val="InternetLink"/>
                  <w:rFonts w:ascii="arial" w:hAnsi="arial"/>
                  <w:sz w:val="24"/>
                </w:rPr>
                <w:t>2024 Outstanding Equity Awards at Fiscal Year-End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60">
              <w:r>
                <w:rPr>
                  <w:rStyle w:val="InternetLink"/>
                  <w:rFonts w:ascii="arial" w:hAnsi="arial"/>
                  <w:sz w:val="24"/>
                </w:rPr>
                <w:t>2024 Option Exercises and Stock Vested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61">
              <w:r>
                <w:rPr>
                  <w:rStyle w:val="InternetLink"/>
                  <w:rFonts w:ascii="arial" w:hAnsi="arial"/>
                  <w:sz w:val="24"/>
                </w:rPr>
                <w:t>Information on Employment Agreements and Offer Letters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62">
              <w:r>
                <w:rPr>
                  <w:rStyle w:val="InternetLink"/>
                  <w:rFonts w:ascii="arial" w:hAnsi="arial"/>
                  <w:sz w:val="24"/>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63">
              <w:r>
                <w:rPr>
                  <w:rStyle w:val="InternetLink"/>
                  <w:rFonts w:ascii="arial" w:hAnsi="arial"/>
                  <w:sz w:val="24"/>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64">
              <w:r>
                <w:rPr>
                  <w:rStyle w:val="InternetLink"/>
                  <w:rFonts w:ascii="arial" w:hAnsi="arial"/>
                  <w:sz w:val="24"/>
                </w:rPr>
                <w:t>Pay-Versus-Performance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969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65">
              <w:r>
                <w:rPr>
                  <w:rStyle w:val="InternetLink"/>
                  <w:rFonts w:ascii="arial" w:hAnsi="arial"/>
                  <w:b/>
                  <w:sz w:val="24"/>
                </w:rPr>
                <w:t>SECURITY OWNERSHIP OF CERTAIN BENEFICIAL OWNERS AND MANAGEMENT</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91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66">
              <w:r>
                <w:rPr>
                  <w:rStyle w:val="InternetLink"/>
                  <w:rFonts w:ascii="arial" w:hAnsi="arial"/>
                  <w:b/>
                  <w:sz w:val="24"/>
                </w:rPr>
                <w:t>CERTAIN RELATIONSHIPS AND RELATED PARTY TRANSACTIONS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93</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888712_67">
              <w:r>
                <w:rPr>
                  <w:rStyle w:val="InternetLink"/>
                  <w:rFonts w:ascii="arial" w:hAnsi="arial"/>
                  <w:b/>
                  <w:sz w:val="24"/>
                </w:rPr>
                <w:t>OTHER INFORMATION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94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r>
              <w:rPr/>
              <w:t> </w:t>
            </w:r>
          </w:p>
          <w:p>
            <w:pPr>
              <w:pStyle w:val="TableContents"/>
              <w:bidi w:val="0"/>
              <w:spacing w:before="0" w:after="20"/>
              <w:jc w:val="left"/>
              <w:rPr/>
            </w:pPr>
            <w:hyperlink w:anchor="tx888712_68">
              <w:r>
                <w:rPr>
                  <w:rStyle w:val="InternetLink"/>
                  <w:rFonts w:ascii="arial" w:hAnsi="arial"/>
                  <w:sz w:val="24"/>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69">
              <w:r>
                <w:rPr>
                  <w:rStyle w:val="InternetLink"/>
                  <w:rFonts w:ascii="arial" w:hAnsi="arial"/>
                  <w:sz w:val="24"/>
                </w:rPr>
                <w:t>2026 Stockholder Proposals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70">
              <w:r>
                <w:rPr>
                  <w:rStyle w:val="InternetLink"/>
                  <w:rFonts w:ascii="arial" w:hAnsi="arial"/>
                  <w:sz w:val="24"/>
                </w:rPr>
                <w:t>Proxy Access Nominations and Annual Meeting Advance Notice Requirements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88712_71">
              <w:r>
                <w:rPr>
                  <w:rStyle w:val="InternetLink"/>
                  <w:rFonts w:ascii="arial" w:hAnsi="arial"/>
                  <w:sz w:val="24"/>
                </w:rPr>
                <w:t>Householding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bl>
    <w:tbl>
      <w:tblPr>
        <w:tblW w:w="9015" w:type="dxa"/>
        <w:jc w:val="left"/>
        <w:tblInd w:w="0" w:type="dxa"/>
        <w:tblLayout w:type="fixed"/>
        <w:tblCellMar>
          <w:top w:w="0" w:type="dxa"/>
          <w:left w:w="0" w:type="dxa"/>
          <w:bottom w:w="0" w:type="dxa"/>
          <w:right w:w="0" w:type="dxa"/>
        </w:tblCellMar>
      </w:tblPr>
      <w:tblGrid>
        <w:gridCol w:w="1625"/>
        <w:gridCol w:w="60"/>
        <w:gridCol w:w="6740"/>
        <w:gridCol w:w="60"/>
        <w:gridCol w:w="60"/>
        <w:gridCol w:w="395"/>
        <w:gridCol w:w="75"/>
      </w:tblGrid>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6800" w:type="dxa"/>
            <w:gridSpan w:val="2"/>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28" w:type="dxa"/>
            </w:tcMar>
            <w:vAlign w:val="center"/>
          </w:tcPr>
          <w:p>
            <w:pPr>
              <w:pStyle w:val="TableContents"/>
              <w:bidi w:val="0"/>
              <w:spacing w:before="0" w:after="283"/>
              <w:jc w:val="left"/>
              <w:rPr>
                <w:b/>
              </w:rPr>
            </w:pPr>
            <w:r>
              <w:rPr>
                <w:b/>
              </w:rPr>
              <w:t>APPENDIX 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0" w:type="dxa"/>
            <w:tcBorders>
              <w:bottom w:val="single" w:sz="6" w:space="0" w:color="000000"/>
            </w:tcBorders>
            <w:tcMar>
              <w:bottom w:w="28" w:type="dxa"/>
            </w:tcMar>
            <w:vAlign w:val="center"/>
          </w:tcPr>
          <w:p>
            <w:pPr>
              <w:pStyle w:val="TableContents"/>
              <w:bidi w:val="0"/>
              <w:spacing w:before="0" w:after="283"/>
              <w:jc w:val="left"/>
              <w:rPr/>
            </w:pPr>
            <w:hyperlink w:anchor="tx888712_72">
              <w:r>
                <w:rPr>
                  <w:rStyle w:val="InternetLink"/>
                </w:rPr>
                <w:t>Sabre Corporation 2025 Omnibus Incentive Compensation Plan</w:t>
              </w:r>
            </w:hyperlink>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5" w:type="dxa"/>
            <w:tcBorders>
              <w:bottom w:val="single" w:sz="6" w:space="0" w:color="000000"/>
            </w:tcBorders>
            <w:tcMar>
              <w:bottom w:w="28" w:type="dxa"/>
            </w:tcMar>
            <w:vAlign w:val="center"/>
          </w:tcPr>
          <w:p>
            <w:pPr>
              <w:pStyle w:val="TableContents"/>
              <w:bidi w:val="0"/>
              <w:spacing w:before="0" w:after="283"/>
              <w:jc w:val="right"/>
              <w:rPr>
                <w:b/>
              </w:rPr>
            </w:pPr>
            <w:r>
              <w:rPr>
                <w:b/>
              </w:rPr>
              <w:t>A-1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800" w:type="dxa"/>
            <w:gridSpan w:val="2"/>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28" w:type="dxa"/>
            </w:tcMar>
            <w:vAlign w:val="center"/>
          </w:tcPr>
          <w:p>
            <w:pPr>
              <w:pStyle w:val="TableContents"/>
              <w:bidi w:val="0"/>
              <w:spacing w:before="0" w:after="283"/>
              <w:jc w:val="left"/>
              <w:rPr>
                <w:b/>
              </w:rPr>
            </w:pPr>
            <w:r>
              <w:rPr>
                <w:b/>
              </w:rPr>
              <w:t>APPENDIX B:</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0" w:type="dxa"/>
            <w:tcBorders>
              <w:bottom w:val="single" w:sz="6" w:space="0" w:color="000000"/>
            </w:tcBorders>
            <w:tcMar>
              <w:bottom w:w="28" w:type="dxa"/>
            </w:tcMar>
            <w:vAlign w:val="center"/>
          </w:tcPr>
          <w:p>
            <w:pPr>
              <w:pStyle w:val="TableContents"/>
              <w:bidi w:val="0"/>
              <w:spacing w:before="0" w:after="283"/>
              <w:jc w:val="left"/>
              <w:rPr/>
            </w:pPr>
            <w:hyperlink w:anchor="tx888712_73">
              <w:r>
                <w:rPr>
                  <w:rStyle w:val="InternetLink"/>
                </w:rPr>
                <w:t>Reconciliations of Certain Non-GAAP and GAAP Financial Measures</w:t>
              </w:r>
            </w:hyperlink>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5" w:type="dxa"/>
            <w:tcBorders>
              <w:bottom w:val="single" w:sz="6" w:space="0" w:color="000000"/>
            </w:tcBorders>
            <w:tcMar>
              <w:bottom w:w="28" w:type="dxa"/>
            </w:tcMar>
            <w:vAlign w:val="center"/>
          </w:tcPr>
          <w:p>
            <w:pPr>
              <w:pStyle w:val="TableContents"/>
              <w:bidi w:val="0"/>
              <w:spacing w:before="0" w:after="283"/>
              <w:jc w:val="right"/>
              <w:rPr>
                <w:b/>
              </w:rPr>
            </w:pPr>
            <w:r>
              <w:rPr>
                <w:b/>
              </w:rPr>
              <w:t>B-1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ii</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2480310" cy="6019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480310" cy="601980"/>
                    </a:xfrm>
                    <a:prstGeom prst="rect">
                      <a:avLst/>
                    </a:prstGeom>
                  </pic:spPr>
                </pic:pic>
              </a:graphicData>
            </a:graphic>
          </wp:inline>
        </w:drawing>
      </w:r>
      <w:r>
        <w:rPr/>
        <w:t xml:space="preserve"> </w:t>
      </w:r>
    </w:p>
    <w:p>
      <w:pPr>
        <w:pStyle w:val="TextBody"/>
        <w:bidi w:val="0"/>
        <w:spacing w:before="120" w:after="0"/>
        <w:jc w:val="left"/>
        <w:rPr>
          <w:rFonts w:ascii="arial" w:hAnsi="arial"/>
          <w:b/>
          <w:color w:val="CF0A2C"/>
          <w:sz w:val="44"/>
        </w:rPr>
      </w:pPr>
      <w:bookmarkStart w:id="3" w:name="tx888712_1"/>
      <w:bookmarkEnd w:id="3"/>
      <w:r>
        <w:rPr>
          <w:rFonts w:ascii="arial" w:hAnsi="arial"/>
          <w:b/>
          <w:color w:val="CF0A2C"/>
          <w:sz w:val="44"/>
        </w:rPr>
        <w:t xml:space="preserve">PROXY STATEMENT SUMMARY </w:t>
      </w:r>
    </w:p>
    <w:p>
      <w:pPr>
        <w:pStyle w:val="TextBody"/>
        <w:bidi w:val="0"/>
        <w:spacing w:before="120" w:after="0"/>
        <w:jc w:val="left"/>
        <w:rPr>
          <w:rFonts w:ascii="arial" w:hAnsi="arial"/>
          <w:i/>
          <w:sz w:val="22"/>
        </w:rPr>
      </w:pPr>
      <w:r>
        <w:rPr>
          <w:rFonts w:ascii="arial" w:hAnsi="arial"/>
          <w:i/>
          <w:sz w:val="22"/>
        </w:rPr>
        <w:t xml:space="preserve">This summary represents only selected information. You should review the entire proxy statement before voting. </w:t>
      </w:r>
    </w:p>
    <w:p>
      <w:pPr>
        <w:pStyle w:val="TextBody"/>
        <w:bidi w:val="0"/>
        <w:spacing w:before="360" w:after="0"/>
        <w:jc w:val="left"/>
        <w:rPr>
          <w:rFonts w:ascii="arial" w:hAnsi="arial"/>
          <w:b/>
          <w:color w:val="CF0A2C"/>
          <w:sz w:val="28"/>
        </w:rPr>
      </w:pPr>
      <w:r>
        <w:rPr>
          <w:rFonts w:ascii="arial" w:hAnsi="arial"/>
          <w:b/>
          <w:color w:val="CF0A2C"/>
          <w:sz w:val="28"/>
        </w:rPr>
        <w:t xml:space="preserve">2025 Annual Meeting Information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685" w:type="dxa"/>
        <w:jc w:val="left"/>
        <w:tblInd w:w="0" w:type="dxa"/>
        <w:tblLayout w:type="fixed"/>
        <w:tblCellMar>
          <w:top w:w="0" w:type="dxa"/>
          <w:left w:w="0" w:type="dxa"/>
          <w:bottom w:w="0" w:type="dxa"/>
          <w:right w:w="0" w:type="dxa"/>
        </w:tblCellMar>
      </w:tblPr>
      <w:tblGrid>
        <w:gridCol w:w="1970"/>
        <w:gridCol w:w="60"/>
        <w:gridCol w:w="1220"/>
        <w:gridCol w:w="60"/>
        <w:gridCol w:w="2375"/>
      </w:tblGrid>
      <w:tr>
        <w:trPr/>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666666"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Time</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Date</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3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Place</w:t>
            </w:r>
          </w:p>
          <w:p>
            <w:pPr>
              <w:pStyle w:val="TableContents"/>
              <w:bidi w:val="0"/>
              <w:spacing w:before="0" w:after="20"/>
              <w:jc w:val="left"/>
              <w:rPr/>
            </w:pPr>
            <w:r>
              <w:rPr/>
              <w:t> </w:t>
            </w:r>
          </w:p>
        </w:tc>
      </w:tr>
      <w:tr>
        <w:trPr/>
        <w:tc>
          <w:tcPr>
            <w:tcW w:w="1970" w:type="dxa"/>
            <w:tcBorders/>
            <w:shd w:fill="E5E5E5" w:val="clear"/>
            <w:vAlign w:val="center"/>
          </w:tcPr>
          <w:p>
            <w:pPr>
              <w:pStyle w:val="TableContents"/>
              <w:bidi w:val="0"/>
              <w:spacing w:before="0" w:after="0"/>
              <w:jc w:val="left"/>
              <w:rPr>
                <w:rFonts w:ascii="arial" w:hAnsi="arial"/>
                <w:sz w:val="20"/>
              </w:rPr>
            </w:pPr>
            <w:r>
              <w:rPr>
                <w:rFonts w:ascii="arial" w:hAnsi="arial"/>
                <w:sz w:val="20"/>
              </w:rPr>
              <w:t>9:30 a.m. Central time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0"/>
              <w:jc w:val="left"/>
              <w:rPr>
                <w:rFonts w:ascii="arial" w:hAnsi="arial"/>
                <w:sz w:val="20"/>
              </w:rPr>
            </w:pPr>
            <w:r>
              <w:rPr>
                <w:rFonts w:ascii="arial" w:hAnsi="arial"/>
                <w:sz w:val="20"/>
              </w:rPr>
              <w:t>Wednesday</w:t>
            </w:r>
          </w:p>
          <w:p>
            <w:pPr>
              <w:pStyle w:val="TableContents"/>
              <w:bidi w:val="0"/>
              <w:spacing w:before="0" w:after="20"/>
              <w:jc w:val="left"/>
              <w:rPr>
                <w:rFonts w:ascii="arial" w:hAnsi="arial"/>
                <w:sz w:val="20"/>
              </w:rPr>
            </w:pPr>
            <w:r>
              <w:rPr>
                <w:rFonts w:ascii="arial" w:hAnsi="arial"/>
                <w:sz w:val="20"/>
              </w:rPr>
              <w:t>April 23, 2025</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375" w:type="dxa"/>
            <w:tcBorders/>
            <w:shd w:fill="E5E5E5" w:val="clear"/>
            <w:vAlign w:val="center"/>
          </w:tcPr>
          <w:p>
            <w:pPr>
              <w:pStyle w:val="TableContents"/>
              <w:bidi w:val="0"/>
              <w:spacing w:before="0" w:after="0"/>
              <w:jc w:val="left"/>
              <w:rPr>
                <w:rFonts w:ascii="arial" w:hAnsi="arial"/>
                <w:sz w:val="20"/>
              </w:rPr>
            </w:pPr>
            <w:r>
              <w:rPr>
                <w:rFonts w:ascii="arial" w:hAnsi="arial"/>
                <w:sz w:val="20"/>
              </w:rPr>
              <w:t>Sabre Global Headquarters</w:t>
            </w:r>
          </w:p>
          <w:p>
            <w:pPr>
              <w:pStyle w:val="TableContents"/>
              <w:bidi w:val="0"/>
              <w:spacing w:before="0" w:after="0"/>
              <w:jc w:val="left"/>
              <w:rPr>
                <w:rFonts w:ascii="arial" w:hAnsi="arial"/>
                <w:sz w:val="20"/>
              </w:rPr>
            </w:pPr>
            <w:r>
              <w:rPr>
                <w:rFonts w:ascii="arial" w:hAnsi="arial"/>
                <w:sz w:val="20"/>
              </w:rPr>
              <w:t>3150 Sabre Drive</w:t>
            </w:r>
          </w:p>
          <w:p>
            <w:pPr>
              <w:pStyle w:val="TableContents"/>
              <w:bidi w:val="0"/>
              <w:spacing w:before="0" w:after="20"/>
              <w:jc w:val="left"/>
              <w:rPr>
                <w:rFonts w:ascii="arial" w:hAnsi="arial"/>
                <w:sz w:val="20"/>
              </w:rPr>
            </w:pPr>
            <w:r>
              <w:rPr>
                <w:rFonts w:ascii="arial" w:hAnsi="arial"/>
                <w:sz w:val="20"/>
              </w:rPr>
              <w:t>Southlake, Texas 76092</w:t>
            </w:r>
          </w:p>
        </w:tc>
      </w:tr>
    </w:tbl>
    <w:p>
      <w:pPr>
        <w:pStyle w:val="TextBody"/>
        <w:bidi w:val="0"/>
        <w:spacing w:before="360" w:after="0"/>
        <w:jc w:val="left"/>
        <w:rPr>
          <w:rFonts w:ascii="arial" w:hAnsi="arial"/>
          <w:b/>
          <w:color w:val="CF0A2C"/>
          <w:sz w:val="28"/>
        </w:rPr>
      </w:pPr>
      <w:r>
        <w:rPr>
          <w:rFonts w:ascii="arial" w:hAnsi="arial"/>
          <w:b/>
          <w:color w:val="CF0A2C"/>
          <w:sz w:val="28"/>
        </w:rPr>
        <w:t xml:space="preserve">Matters for Stockholder Voting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6"/>
        <w:gridCol w:w="60"/>
        <w:gridCol w:w="5688"/>
        <w:gridCol w:w="60"/>
        <w:gridCol w:w="1681"/>
      </w:tblGrid>
      <w:tr>
        <w:trPr/>
        <w:tc>
          <w:tcPr>
            <w:tcW w:w="2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666666" w:val="clear"/>
            <w:vAlign w:val="center"/>
          </w:tcPr>
          <w:p>
            <w:pPr>
              <w:pStyle w:val="TableContents"/>
              <w:bidi w:val="0"/>
              <w:spacing w:before="0" w:after="0"/>
              <w:jc w:val="left"/>
              <w:rPr>
                <w:color w:val="FFFFFF"/>
              </w:rPr>
            </w:pPr>
            <w:r>
              <w:rPr>
                <w:color w:val="FFFFFF"/>
              </w:rPr>
              <w:t> </w:t>
            </w:r>
            <w:r>
              <w:rPr>
                <w:rFonts w:ascii="arial" w:hAnsi="arial"/>
                <w:b/>
                <w:color w:val="FFFFFF"/>
                <w:sz w:val="18"/>
              </w:rPr>
              <w:t>Proposal</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5688"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Description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81"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Board Voting</w:t>
              <w:br/>
              <w:t>Recommendation</w:t>
            </w:r>
          </w:p>
          <w:p>
            <w:pPr>
              <w:pStyle w:val="TableContents"/>
              <w:bidi w:val="0"/>
              <w:spacing w:before="0" w:after="20"/>
              <w:jc w:val="left"/>
              <w:rPr/>
            </w:pPr>
            <w:r>
              <w:rPr/>
              <w:t> </w:t>
            </w:r>
          </w:p>
        </w:tc>
      </w:tr>
      <w:tr>
        <w:trPr/>
        <w:tc>
          <w:tcPr>
            <w:tcW w:w="2716"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1. Election of directors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688"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Election of George Bravante, Jr., Hervé Couturier, Kurt Ekert, Eric Kelly, Gail Mandel, Phyllis Newhouse, Elaine Paul, John Scott, Wendi Sturgis, and Ashan Willy, each to serve a one-year term</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681"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0"/>
              </w:rPr>
              <w:t>FOR</w:t>
            </w:r>
            <w:r>
              <w:rPr>
                <w:rFonts w:ascii="arial" w:hAnsi="arial"/>
                <w:sz w:val="20"/>
              </w:rPr>
              <w:t xml:space="preserve"> these nominees</w:t>
            </w:r>
          </w:p>
        </w:tc>
      </w:tr>
      <w:tr>
        <w:trPr/>
        <w:tc>
          <w:tcPr>
            <w:tcW w:w="2716" w:type="dxa"/>
            <w:tcBorders/>
            <w:vAlign w:val="center"/>
          </w:tcPr>
          <w:p>
            <w:pPr>
              <w:pStyle w:val="TableContents"/>
              <w:bidi w:val="0"/>
              <w:spacing w:before="0" w:after="283"/>
              <w:jc w:val="left"/>
              <w:rPr>
                <w:sz w:val="4"/>
                <w:szCs w:val="4"/>
              </w:rPr>
            </w:pPr>
            <w:r>
              <w:rPr>
                <w:sz w:val="4"/>
                <w:szCs w:val="4"/>
              </w:rPr>
            </w:r>
          </w:p>
        </w:tc>
        <w:tc>
          <w:tcPr>
            <w:tcW w:w="5748"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741"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271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2. Ratification of appointment of auditors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68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Ratification of the appointment of Ernst &amp; Young LLP as our independent auditors for 2025</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20"/>
              </w:rPr>
              <w:t>FOR</w:t>
            </w:r>
          </w:p>
          <w:p>
            <w:pPr>
              <w:pStyle w:val="TableContents"/>
              <w:bidi w:val="0"/>
              <w:spacing w:before="0" w:after="20"/>
              <w:jc w:val="left"/>
              <w:rPr/>
            </w:pPr>
            <w:r>
              <w:rPr/>
              <w:t> </w:t>
            </w:r>
          </w:p>
        </w:tc>
      </w:tr>
      <w:tr>
        <w:trPr/>
        <w:tc>
          <w:tcPr>
            <w:tcW w:w="2716" w:type="dxa"/>
            <w:tcBorders/>
            <w:shd w:fill="E5E5E5" w:val="clear"/>
            <w:vAlign w:val="center"/>
          </w:tcPr>
          <w:p>
            <w:pPr>
              <w:pStyle w:val="TableContents"/>
              <w:bidi w:val="0"/>
              <w:spacing w:before="0" w:after="283"/>
              <w:jc w:val="left"/>
              <w:rPr>
                <w:sz w:val="4"/>
                <w:szCs w:val="4"/>
              </w:rPr>
            </w:pPr>
            <w:r>
              <w:rPr>
                <w:sz w:val="4"/>
                <w:szCs w:val="4"/>
              </w:rPr>
            </w:r>
          </w:p>
        </w:tc>
        <w:tc>
          <w:tcPr>
            <w:tcW w:w="5748"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41"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716"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3. Approval of our 2025 Omnibus Incentive Compensation Plan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688" w:type="dxa"/>
            <w:tcBorders/>
            <w:shd w:fill="E5E5E5"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Approval of our 2025 Omnibus Incentive Compensation Plan, to replace our 2024 Omnibus Incentive Compensation Plan and increase the number of shares authorized for issuance under our equity-based compensation plans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681" w:type="dxa"/>
            <w:tcBorders/>
            <w:shd w:fill="E5E5E5"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20"/>
              </w:rPr>
              <w:t>FOR</w:t>
            </w:r>
          </w:p>
          <w:p>
            <w:pPr>
              <w:pStyle w:val="TableContents"/>
              <w:bidi w:val="0"/>
              <w:spacing w:before="0" w:after="20"/>
              <w:jc w:val="left"/>
              <w:rPr/>
            </w:pPr>
            <w:r>
              <w:rPr/>
              <w:t> </w:t>
            </w:r>
          </w:p>
        </w:tc>
      </w:tr>
      <w:tr>
        <w:trPr/>
        <w:tc>
          <w:tcPr>
            <w:tcW w:w="2716" w:type="dxa"/>
            <w:tcBorders/>
            <w:vAlign w:val="center"/>
          </w:tcPr>
          <w:p>
            <w:pPr>
              <w:pStyle w:val="TableContents"/>
              <w:bidi w:val="0"/>
              <w:spacing w:before="0" w:after="283"/>
              <w:jc w:val="left"/>
              <w:rPr>
                <w:sz w:val="4"/>
                <w:szCs w:val="4"/>
              </w:rPr>
            </w:pPr>
            <w:r>
              <w:rPr>
                <w:sz w:val="4"/>
                <w:szCs w:val="4"/>
              </w:rPr>
            </w:r>
          </w:p>
        </w:tc>
        <w:tc>
          <w:tcPr>
            <w:tcW w:w="5748"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741"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271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4. Advisory, non-binding vote on the compensation of our named executive officers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68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Approval, on an advisory and non-binding basis, of our named executive officers’ 2024 compensation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0"/>
              </w:rPr>
              <w:t>FOR</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020"/>
        <w:gridCol w:w="60"/>
        <w:gridCol w:w="23"/>
        <w:gridCol w:w="60"/>
        <w:gridCol w:w="23"/>
        <w:gridCol w:w="60"/>
        <w:gridCol w:w="23"/>
        <w:gridCol w:w="60"/>
        <w:gridCol w:w="38"/>
      </w:tblGrid>
      <w:tr>
        <w:trPr/>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r>
        <w:rPr>
          <w:rFonts w:ascii="arial" w:hAnsi="arial"/>
          <w:b/>
          <w:color w:val="CF0A2C"/>
          <w:sz w:val="28"/>
        </w:rPr>
        <w:t xml:space="preserve">Information on Director Nominees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Information about the ten nominees for director is included below. The Nominating and Governance Committee has reviewed the individual director attributes and contributions of these nominees, and the Board of Directors recommends that stockholders vote </w:t>
      </w:r>
      <w:r>
        <w:rPr>
          <w:rFonts w:ascii="arial" w:hAnsi="arial"/>
          <w:b/>
          <w:sz w:val="22"/>
        </w:rPr>
        <w:t>FOR</w:t>
      </w:r>
      <w:r>
        <w:rPr>
          <w:rFonts w:ascii="arial" w:hAnsi="arial"/>
          <w:sz w:val="22"/>
        </w:rPr>
        <w:t xml:space="preserve"> the election of each of these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6"/>
        <w:gridCol w:w="60"/>
        <w:gridCol w:w="1577"/>
        <w:gridCol w:w="60"/>
        <w:gridCol w:w="1070"/>
        <w:gridCol w:w="60"/>
        <w:gridCol w:w="5422"/>
      </w:tblGrid>
      <w:tr>
        <w:trPr/>
        <w:tc>
          <w:tcPr>
            <w:tcW w:w="1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22"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666666" w:val="clear"/>
            <w:vAlign w:val="center"/>
          </w:tcPr>
          <w:p>
            <w:pPr>
              <w:pStyle w:val="TableContents"/>
              <w:bidi w:val="0"/>
              <w:spacing w:before="0" w:after="0"/>
              <w:jc w:val="left"/>
              <w:rPr>
                <w:color w:val="FFFFFF"/>
              </w:rPr>
            </w:pPr>
            <w:r>
              <w:rPr>
                <w:color w:val="FFFFFF"/>
              </w:rPr>
              <w:t> </w:t>
            </w:r>
            <w:r>
              <w:rPr>
                <w:rFonts w:ascii="arial" w:hAnsi="arial"/>
                <w:b/>
                <w:color w:val="FFFFFF"/>
                <w:sz w:val="18"/>
              </w:rPr>
              <w:t>Name and Occupation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577"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Committee </w:t>
              <w:br/>
              <w:t>Roles </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70"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Independent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5422"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Experience Highlights</w:t>
            </w:r>
          </w:p>
          <w:p>
            <w:pPr>
              <w:pStyle w:val="TableContents"/>
              <w:bidi w:val="0"/>
              <w:spacing w:before="0" w:after="20"/>
              <w:jc w:val="left"/>
              <w:rPr/>
            </w:pPr>
            <w:r>
              <w:rPr/>
              <w:t> </w:t>
            </w:r>
          </w:p>
        </w:tc>
      </w:tr>
      <w:tr>
        <w:trPr/>
        <w:tc>
          <w:tcPr>
            <w:tcW w:w="1956" w:type="dxa"/>
            <w:tcBorders/>
            <w:shd w:fill="E5E5E5" w:val="clear"/>
            <w:vAlign w:val="center"/>
          </w:tcPr>
          <w:p>
            <w:pPr>
              <w:pStyle w:val="TableContents"/>
              <w:bidi w:val="0"/>
              <w:spacing w:before="0" w:after="283"/>
              <w:jc w:val="left"/>
              <w:rPr>
                <w:sz w:val="4"/>
                <w:szCs w:val="4"/>
              </w:rPr>
            </w:pPr>
            <w:r>
              <w:rPr>
                <w:sz w:val="4"/>
                <w:szCs w:val="4"/>
              </w:rPr>
            </w:r>
          </w:p>
        </w:tc>
        <w:tc>
          <w:tcPr>
            <w:tcW w:w="1637"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482"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56" w:type="dxa"/>
            <w:tcBorders/>
            <w:shd w:fill="E5E5E5" w:val="clear"/>
            <w:vAlign w:val="center"/>
          </w:tcPr>
          <w:p>
            <w:pPr>
              <w:pStyle w:val="TableContents"/>
              <w:bidi w:val="0"/>
              <w:spacing w:before="0" w:after="0"/>
              <w:jc w:val="left"/>
              <w:rPr>
                <w:rFonts w:ascii="arial" w:hAnsi="arial"/>
                <w:sz w:val="20"/>
              </w:rPr>
            </w:pPr>
            <w:r>
              <w:rPr>
                <w:rFonts w:ascii="arial" w:hAnsi="arial"/>
                <w:sz w:val="20"/>
              </w:rPr>
              <w:t>George Bravante, Jr.</w:t>
            </w:r>
          </w:p>
          <w:p>
            <w:pPr>
              <w:pStyle w:val="TableContents"/>
              <w:bidi w:val="0"/>
              <w:spacing w:before="0" w:after="0"/>
              <w:jc w:val="left"/>
              <w:rPr>
                <w:rFonts w:ascii="arial" w:hAnsi="arial"/>
                <w:i/>
                <w:sz w:val="20"/>
              </w:rPr>
            </w:pPr>
            <w:r>
              <w:rPr>
                <w:rFonts w:ascii="arial" w:hAnsi="arial"/>
                <w:i/>
                <w:sz w:val="20"/>
              </w:rPr>
              <w:t>Co-founder of Bravante-Curci Investors,</w:t>
            </w:r>
          </w:p>
          <w:p>
            <w:pPr>
              <w:pStyle w:val="TableContents"/>
              <w:bidi w:val="0"/>
              <w:spacing w:before="0" w:after="0"/>
              <w:jc w:val="left"/>
              <w:rPr>
                <w:rFonts w:ascii="arial" w:hAnsi="arial"/>
                <w:i/>
                <w:sz w:val="20"/>
              </w:rPr>
            </w:pPr>
            <w:r>
              <w:rPr>
                <w:rFonts w:ascii="arial" w:hAnsi="arial"/>
                <w:i/>
                <w:sz w:val="20"/>
              </w:rPr>
              <w:t>LP, Owner of Bravante Produce, and</w:t>
            </w:r>
          </w:p>
          <w:p>
            <w:pPr>
              <w:pStyle w:val="TableContents"/>
              <w:bidi w:val="0"/>
              <w:spacing w:before="0" w:after="20"/>
              <w:jc w:val="left"/>
              <w:rPr>
                <w:rFonts w:ascii="arial" w:hAnsi="arial"/>
                <w:i/>
                <w:sz w:val="20"/>
              </w:rPr>
            </w:pPr>
            <w:r>
              <w:rPr>
                <w:rFonts w:ascii="arial" w:hAnsi="arial"/>
                <w:i/>
                <w:sz w:val="20"/>
              </w:rPr>
              <w:t>CEO of Pacific Agricultural Realty, LP</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77" w:type="dxa"/>
            <w:tcBorders/>
            <w:shd w:fill="E5E5E5" w:val="clear"/>
            <w:vAlign w:val="center"/>
          </w:tcPr>
          <w:p>
            <w:pPr>
              <w:pStyle w:val="TableContents"/>
              <w:bidi w:val="0"/>
              <w:spacing w:before="0" w:after="0"/>
              <w:jc w:val="left"/>
              <w:rPr/>
            </w:pPr>
            <w:r>
              <w:rPr/>
              <w:t>• </w:t>
            </w:r>
            <w:r>
              <w:rPr>
                <w:rFonts w:ascii="arial" w:hAnsi="arial"/>
                <w:sz w:val="20"/>
              </w:rPr>
              <w:t>Audit Committee (chair)</w:t>
            </w:r>
          </w:p>
          <w:p>
            <w:pPr>
              <w:pStyle w:val="TableContents"/>
              <w:bidi w:val="0"/>
              <w:spacing w:before="0" w:after="20"/>
              <w:jc w:val="left"/>
              <w:rPr/>
            </w:pPr>
            <w:r>
              <w:rPr/>
              <w:t>• </w:t>
            </w:r>
            <w:r>
              <w:rPr>
                <w:rFonts w:ascii="arial" w:hAnsi="arial"/>
                <w:sz w:val="20"/>
              </w:rPr>
              <w:t>Executive Committee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422" w:type="dxa"/>
            <w:tcBorders/>
            <w:shd w:fill="E5E5E5" w:val="clear"/>
            <w:vAlign w:val="center"/>
          </w:tcPr>
          <w:p>
            <w:pPr>
              <w:pStyle w:val="TableContents"/>
              <w:bidi w:val="0"/>
              <w:spacing w:before="0" w:after="0"/>
              <w:jc w:val="left"/>
              <w:rPr/>
            </w:pPr>
            <w:r>
              <w:rPr/>
              <w:t>• </w:t>
            </w:r>
            <w:r>
              <w:rPr>
                <w:rFonts w:ascii="arial" w:hAnsi="arial"/>
                <w:sz w:val="20"/>
              </w:rPr>
              <w:t>Travel industry experience, as the former Chairman of the Board of ExpressJet Holdings, Inc.</w:t>
            </w:r>
          </w:p>
          <w:p>
            <w:pPr>
              <w:pStyle w:val="TableContents"/>
              <w:bidi w:val="0"/>
              <w:spacing w:before="0" w:after="0"/>
              <w:jc w:val="left"/>
              <w:rPr/>
            </w:pPr>
            <w:r>
              <w:rPr/>
              <w:t>• </w:t>
            </w:r>
            <w:r>
              <w:rPr>
                <w:rFonts w:ascii="arial" w:hAnsi="arial"/>
                <w:sz w:val="20"/>
              </w:rPr>
              <w:t>Investment experience</w:t>
            </w:r>
          </w:p>
          <w:p>
            <w:pPr>
              <w:pStyle w:val="TableContents"/>
              <w:bidi w:val="0"/>
              <w:spacing w:before="0" w:after="0"/>
              <w:jc w:val="left"/>
              <w:rPr/>
            </w:pPr>
            <w:r>
              <w:rPr/>
              <w:t>• </w:t>
            </w:r>
            <w:r>
              <w:rPr>
                <w:rFonts w:ascii="arial" w:hAnsi="arial"/>
                <w:sz w:val="20"/>
              </w:rPr>
              <w:t>Financial and strategic business knowledge</w:t>
            </w:r>
          </w:p>
          <w:p>
            <w:pPr>
              <w:pStyle w:val="TableContents"/>
              <w:bidi w:val="0"/>
              <w:spacing w:before="0" w:after="0"/>
              <w:jc w:val="left"/>
              <w:rPr/>
            </w:pPr>
            <w:r>
              <w:rPr/>
              <w:t>• </w:t>
            </w:r>
            <w:r>
              <w:rPr>
                <w:rFonts w:ascii="arial" w:hAnsi="arial"/>
                <w:sz w:val="20"/>
              </w:rPr>
              <w:t>Executive experience</w:t>
            </w:r>
          </w:p>
          <w:p>
            <w:pPr>
              <w:pStyle w:val="TableContents"/>
              <w:bidi w:val="0"/>
              <w:spacing w:before="0" w:after="0"/>
              <w:jc w:val="left"/>
              <w:rPr/>
            </w:pPr>
            <w:r>
              <w:rPr/>
              <w:t>• </w:t>
            </w:r>
            <w:r>
              <w:rPr>
                <w:rFonts w:ascii="arial" w:hAnsi="arial"/>
                <w:sz w:val="20"/>
              </w:rPr>
              <w:t>Background in public accounting</w:t>
            </w:r>
          </w:p>
          <w:p>
            <w:pPr>
              <w:pStyle w:val="TableContents"/>
              <w:bidi w:val="0"/>
              <w:spacing w:before="0" w:after="20"/>
              <w:jc w:val="left"/>
              <w:rPr/>
            </w:pPr>
            <w:r>
              <w:rPr/>
              <w:t>• </w:t>
            </w:r>
            <w:r>
              <w:rPr>
                <w:rFonts w:ascii="arial" w:hAnsi="arial"/>
                <w:sz w:val="20"/>
              </w:rPr>
              <w:t>Audit Committee financial expert</w:t>
            </w:r>
          </w:p>
        </w:tc>
      </w:tr>
      <w:tr>
        <w:trPr/>
        <w:tc>
          <w:tcPr>
            <w:tcW w:w="1956" w:type="dxa"/>
            <w:tcBorders/>
            <w:vAlign w:val="center"/>
          </w:tcPr>
          <w:p>
            <w:pPr>
              <w:pStyle w:val="TableContents"/>
              <w:bidi w:val="0"/>
              <w:spacing w:before="0" w:after="283"/>
              <w:jc w:val="left"/>
              <w:rPr>
                <w:sz w:val="4"/>
                <w:szCs w:val="4"/>
              </w:rPr>
            </w:pPr>
            <w:r>
              <w:rPr>
                <w:sz w:val="4"/>
                <w:szCs w:val="4"/>
              </w:rPr>
            </w:r>
          </w:p>
        </w:tc>
        <w:tc>
          <w:tcPr>
            <w:tcW w:w="1637"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5482"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56" w:type="dxa"/>
            <w:tcBorders/>
            <w:vAlign w:val="center"/>
          </w:tcPr>
          <w:p>
            <w:pPr>
              <w:pStyle w:val="TableContents"/>
              <w:bidi w:val="0"/>
              <w:spacing w:before="0" w:after="0"/>
              <w:jc w:val="left"/>
              <w:rPr>
                <w:rFonts w:ascii="arial" w:hAnsi="arial"/>
                <w:sz w:val="20"/>
              </w:rPr>
            </w:pPr>
            <w:r>
              <w:rPr>
                <w:rFonts w:ascii="arial" w:hAnsi="arial"/>
                <w:sz w:val="20"/>
              </w:rPr>
              <w:t>Hervé Couturier</w:t>
            </w:r>
          </w:p>
          <w:p>
            <w:pPr>
              <w:pStyle w:val="TableContents"/>
              <w:bidi w:val="0"/>
              <w:spacing w:before="0" w:after="20"/>
              <w:jc w:val="left"/>
              <w:rPr>
                <w:rFonts w:ascii="arial" w:hAnsi="arial"/>
                <w:i/>
                <w:sz w:val="20"/>
              </w:rPr>
            </w:pPr>
            <w:r>
              <w:rPr>
                <w:rFonts w:ascii="arial" w:hAnsi="arial"/>
                <w:i/>
                <w:sz w:val="20"/>
              </w:rPr>
              <w:t>President, Kerney Partners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0"/>
              <w:jc w:val="left"/>
              <w:rPr/>
            </w:pPr>
            <w:r>
              <w:rPr/>
              <w:t>• </w:t>
            </w:r>
            <w:r>
              <w:rPr>
                <w:rFonts w:ascii="arial" w:hAnsi="arial"/>
                <w:sz w:val="20"/>
              </w:rPr>
              <w:t>Audit Committee</w:t>
            </w:r>
          </w:p>
          <w:p>
            <w:pPr>
              <w:pStyle w:val="TableContents"/>
              <w:bidi w:val="0"/>
              <w:spacing w:before="0" w:after="0"/>
              <w:jc w:val="left"/>
              <w:rPr/>
            </w:pPr>
            <w:r>
              <w:rPr/>
              <w:t>• </w:t>
            </w:r>
            <w:r>
              <w:rPr>
                <w:rFonts w:ascii="arial" w:hAnsi="arial"/>
                <w:sz w:val="20"/>
              </w:rPr>
              <w:t>Executive Committee</w:t>
            </w:r>
          </w:p>
          <w:p>
            <w:pPr>
              <w:pStyle w:val="TableContents"/>
              <w:bidi w:val="0"/>
              <w:spacing w:before="0" w:after="20"/>
              <w:jc w:val="left"/>
              <w:rPr/>
            </w:pPr>
            <w:r>
              <w:rPr/>
              <w:t>• </w:t>
            </w:r>
            <w:r>
              <w:rPr>
                <w:rFonts w:ascii="arial" w:hAnsi="arial"/>
                <w:sz w:val="20"/>
              </w:rPr>
              <w:t>Technology Committee (chair)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422" w:type="dxa"/>
            <w:tcBorders/>
            <w:vAlign w:val="center"/>
          </w:tcPr>
          <w:p>
            <w:pPr>
              <w:pStyle w:val="TableContents"/>
              <w:bidi w:val="0"/>
              <w:spacing w:before="0" w:after="0"/>
              <w:jc w:val="left"/>
              <w:rPr/>
            </w:pPr>
            <w:r>
              <w:rPr/>
              <w:t>• </w:t>
            </w:r>
            <w:r>
              <w:rPr>
                <w:rFonts w:ascii="arial" w:hAnsi="arial"/>
                <w:sz w:val="20"/>
              </w:rPr>
              <w:t>Significant experience in the areas of solutions strategy, product strategy, product development, and business management in software-based companies</w:t>
            </w:r>
          </w:p>
          <w:p>
            <w:pPr>
              <w:pStyle w:val="TableContents"/>
              <w:bidi w:val="0"/>
              <w:spacing w:before="0" w:after="0"/>
              <w:jc w:val="left"/>
              <w:rPr/>
            </w:pPr>
            <w:r>
              <w:rPr/>
              <w:t>• </w:t>
            </w:r>
            <w:r>
              <w:rPr>
                <w:rFonts w:ascii="arial" w:hAnsi="arial"/>
                <w:sz w:val="20"/>
              </w:rPr>
              <w:t>Domain experience in the travel industry</w:t>
            </w:r>
          </w:p>
          <w:p>
            <w:pPr>
              <w:pStyle w:val="TableContents"/>
              <w:bidi w:val="0"/>
              <w:spacing w:before="0" w:after="0"/>
              <w:jc w:val="left"/>
              <w:rPr/>
            </w:pPr>
            <w:r>
              <w:rPr/>
              <w:t>• </w:t>
            </w:r>
            <w:r>
              <w:rPr>
                <w:rFonts w:ascii="arial" w:hAnsi="arial"/>
                <w:sz w:val="20"/>
              </w:rPr>
              <w:t>Executive experience at a travel distribution company</w:t>
            </w:r>
          </w:p>
          <w:p>
            <w:pPr>
              <w:pStyle w:val="TableContents"/>
              <w:bidi w:val="0"/>
              <w:spacing w:before="0" w:after="0"/>
              <w:jc w:val="left"/>
              <w:rPr/>
            </w:pPr>
            <w:r>
              <w:rPr/>
              <w:t>• </w:t>
            </w:r>
            <w:r>
              <w:rPr>
                <w:rFonts w:ascii="arial" w:hAnsi="arial"/>
                <w:sz w:val="20"/>
              </w:rPr>
              <w:t>Deep experience managing in complex mainframe and cloud environments</w:t>
            </w:r>
          </w:p>
          <w:p>
            <w:pPr>
              <w:pStyle w:val="TableContents"/>
              <w:bidi w:val="0"/>
              <w:spacing w:before="0" w:after="20"/>
              <w:jc w:val="left"/>
              <w:rPr/>
            </w:pPr>
            <w:r>
              <w:rPr/>
              <w:t>• </w:t>
            </w:r>
            <w:r>
              <w:rPr>
                <w:rFonts w:ascii="arial" w:hAnsi="arial"/>
                <w:sz w:val="20"/>
              </w:rPr>
              <w:t>International experience</w:t>
            </w:r>
          </w:p>
        </w:tc>
      </w:tr>
      <w:tr>
        <w:trPr/>
        <w:tc>
          <w:tcPr>
            <w:tcW w:w="1956" w:type="dxa"/>
            <w:tcBorders/>
            <w:shd w:fill="E5E5E5" w:val="clear"/>
            <w:vAlign w:val="center"/>
          </w:tcPr>
          <w:p>
            <w:pPr>
              <w:pStyle w:val="TableContents"/>
              <w:bidi w:val="0"/>
              <w:spacing w:before="0" w:after="283"/>
              <w:jc w:val="left"/>
              <w:rPr>
                <w:sz w:val="4"/>
                <w:szCs w:val="4"/>
              </w:rPr>
            </w:pPr>
            <w:r>
              <w:rPr>
                <w:sz w:val="4"/>
                <w:szCs w:val="4"/>
              </w:rPr>
            </w:r>
          </w:p>
        </w:tc>
        <w:tc>
          <w:tcPr>
            <w:tcW w:w="1637"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482"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56" w:type="dxa"/>
            <w:tcBorders/>
            <w:shd w:fill="E5E5E5" w:val="clear"/>
            <w:vAlign w:val="center"/>
          </w:tcPr>
          <w:p>
            <w:pPr>
              <w:pStyle w:val="TableContents"/>
              <w:bidi w:val="0"/>
              <w:spacing w:before="0" w:after="0"/>
              <w:jc w:val="left"/>
              <w:rPr>
                <w:rFonts w:ascii="arial" w:hAnsi="arial"/>
                <w:sz w:val="20"/>
              </w:rPr>
            </w:pPr>
            <w:r>
              <w:rPr>
                <w:rFonts w:ascii="arial" w:hAnsi="arial"/>
                <w:sz w:val="20"/>
              </w:rPr>
              <w:t>Kurt Ekert</w:t>
            </w:r>
          </w:p>
          <w:p>
            <w:pPr>
              <w:pStyle w:val="TableContents"/>
              <w:bidi w:val="0"/>
              <w:spacing w:before="0" w:after="0"/>
              <w:jc w:val="left"/>
              <w:rPr>
                <w:rFonts w:ascii="arial" w:hAnsi="arial"/>
                <w:i/>
                <w:sz w:val="20"/>
              </w:rPr>
            </w:pPr>
            <w:r>
              <w:rPr>
                <w:rFonts w:ascii="arial" w:hAnsi="arial"/>
                <w:i/>
                <w:sz w:val="20"/>
              </w:rPr>
              <w:t>Chief Executive Officer and President,</w:t>
            </w:r>
          </w:p>
          <w:p>
            <w:pPr>
              <w:pStyle w:val="TableContents"/>
              <w:bidi w:val="0"/>
              <w:spacing w:before="0" w:after="20"/>
              <w:jc w:val="left"/>
              <w:rPr>
                <w:rFonts w:ascii="arial" w:hAnsi="arial"/>
                <w:i/>
                <w:sz w:val="20"/>
              </w:rPr>
            </w:pPr>
            <w:r>
              <w:rPr>
                <w:rFonts w:ascii="arial" w:hAnsi="arial"/>
                <w:i/>
                <w:sz w:val="20"/>
              </w:rPr>
              <w:t>Sabre Corporation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77" w:type="dxa"/>
            <w:tcBorders/>
            <w:shd w:fill="E5E5E5" w:val="clear"/>
            <w:vAlign w:val="center"/>
          </w:tcPr>
          <w:p>
            <w:pPr>
              <w:pStyle w:val="TableContents"/>
              <w:bidi w:val="0"/>
              <w:spacing w:before="0" w:after="0"/>
              <w:jc w:val="left"/>
              <w:rPr/>
            </w:pPr>
            <w:r>
              <w:rPr/>
              <w:t>• </w:t>
            </w:r>
            <w:r>
              <w:rPr>
                <w:rFonts w:ascii="arial" w:hAnsi="arial"/>
                <w:sz w:val="20"/>
              </w:rPr>
              <w:t>Executive Committee</w:t>
            </w:r>
          </w:p>
          <w:p>
            <w:pPr>
              <w:pStyle w:val="TableContents"/>
              <w:bidi w:val="0"/>
              <w:spacing w:before="0" w:after="20"/>
              <w:jc w:val="left"/>
              <w:rPr/>
            </w:pPr>
            <w:r>
              <w:rPr/>
              <w:t>• </w:t>
            </w:r>
            <w:r>
              <w:rPr>
                <w:rFonts w:ascii="arial" w:hAnsi="arial"/>
                <w:sz w:val="20"/>
              </w:rPr>
              <w:t>Technology Committee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422" w:type="dxa"/>
            <w:tcBorders/>
            <w:shd w:fill="E5E5E5" w:val="clear"/>
            <w:vAlign w:val="center"/>
          </w:tcPr>
          <w:p>
            <w:pPr>
              <w:pStyle w:val="TableContents"/>
              <w:bidi w:val="0"/>
              <w:spacing w:before="0" w:after="0"/>
              <w:jc w:val="left"/>
              <w:rPr/>
            </w:pPr>
            <w:r>
              <w:rPr/>
              <w:t>• </w:t>
            </w:r>
            <w:r>
              <w:rPr>
                <w:rFonts w:ascii="arial" w:hAnsi="arial"/>
                <w:sz w:val="20"/>
              </w:rPr>
              <w:t>Deep experience in travel industry, including at a travel distribution company, airline, online travel agency, and travel management company</w:t>
            </w:r>
          </w:p>
          <w:p>
            <w:pPr>
              <w:pStyle w:val="TableContents"/>
              <w:bidi w:val="0"/>
              <w:spacing w:before="0" w:after="0"/>
              <w:jc w:val="left"/>
              <w:rPr/>
            </w:pPr>
            <w:r>
              <w:rPr/>
              <w:t>• </w:t>
            </w:r>
            <w:r>
              <w:rPr>
                <w:rFonts w:ascii="arial" w:hAnsi="arial"/>
                <w:sz w:val="20"/>
              </w:rPr>
              <w:t>Significant executive experience, including serving as Chief Executive Officer, President, Chief Commercial Officer, and Chief Operating Officer of travel industry companies</w:t>
            </w:r>
          </w:p>
          <w:p>
            <w:pPr>
              <w:pStyle w:val="TableContents"/>
              <w:bidi w:val="0"/>
              <w:spacing w:before="0" w:after="20"/>
              <w:jc w:val="left"/>
              <w:rPr/>
            </w:pPr>
            <w:r>
              <w:rPr/>
              <w:t>• </w:t>
            </w:r>
            <w:r>
              <w:rPr>
                <w:rFonts w:ascii="arial" w:hAnsi="arial"/>
                <w:sz w:val="20"/>
              </w:rPr>
              <w:t>Leadership experience through private company board experience and as an active duty officer in the United States Army</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7"/>
        <w:gridCol w:w="60"/>
        <w:gridCol w:w="1982"/>
        <w:gridCol w:w="60"/>
        <w:gridCol w:w="1070"/>
        <w:gridCol w:w="60"/>
        <w:gridCol w:w="5366"/>
      </w:tblGrid>
      <w:tr>
        <w:trPr/>
        <w:tc>
          <w:tcPr>
            <w:tcW w:w="1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66" w:type="dxa"/>
            <w:tcBorders/>
            <w:vAlign w:val="center"/>
          </w:tcPr>
          <w:p>
            <w:pPr>
              <w:pStyle w:val="TableContents"/>
              <w:bidi w:val="0"/>
              <w:spacing w:before="0" w:after="283"/>
              <w:jc w:val="left"/>
              <w:rPr>
                <w:sz w:val="4"/>
                <w:szCs w:val="4"/>
              </w:rPr>
            </w:pPr>
            <w:r>
              <w:rPr>
                <w:sz w:val="4"/>
                <w:szCs w:val="4"/>
              </w:rPr>
            </w:r>
          </w:p>
        </w:tc>
      </w:tr>
      <w:tr>
        <w:trPr/>
        <w:tc>
          <w:tcPr>
            <w:tcW w:w="1607" w:type="dxa"/>
            <w:tcBorders/>
            <w:shd w:fill="666666" w:val="clear"/>
            <w:vAlign w:val="center"/>
          </w:tcPr>
          <w:p>
            <w:pPr>
              <w:pStyle w:val="TableContents"/>
              <w:bidi w:val="0"/>
              <w:spacing w:before="0" w:after="0"/>
              <w:jc w:val="left"/>
              <w:rPr>
                <w:color w:val="FFFFFF"/>
              </w:rPr>
            </w:pPr>
            <w:r>
              <w:rPr>
                <w:color w:val="FFFFFF"/>
              </w:rPr>
              <w:t> </w:t>
            </w:r>
            <w:r>
              <w:rPr>
                <w:rFonts w:ascii="arial" w:hAnsi="arial"/>
                <w:b/>
                <w:color w:val="FFFFFF"/>
                <w:sz w:val="18"/>
              </w:rPr>
              <w:t>Name and Occupation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82"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Committee </w:t>
              <w:br/>
              <w:t>Roles </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70"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Independent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5366"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Experience Highlights</w:t>
            </w:r>
          </w:p>
          <w:p>
            <w:pPr>
              <w:pStyle w:val="TableContents"/>
              <w:bidi w:val="0"/>
              <w:spacing w:before="0" w:after="20"/>
              <w:jc w:val="left"/>
              <w:rPr/>
            </w:pPr>
            <w:r>
              <w:rPr/>
              <w:t> </w:t>
            </w:r>
          </w:p>
        </w:tc>
      </w:tr>
      <w:tr>
        <w:trPr/>
        <w:tc>
          <w:tcPr>
            <w:tcW w:w="1607" w:type="dxa"/>
            <w:tcBorders/>
            <w:vAlign w:val="center"/>
          </w:tcPr>
          <w:p>
            <w:pPr>
              <w:pStyle w:val="TableContents"/>
              <w:bidi w:val="0"/>
              <w:spacing w:before="0" w:after="283"/>
              <w:jc w:val="left"/>
              <w:rPr>
                <w:sz w:val="4"/>
                <w:szCs w:val="4"/>
              </w:rPr>
            </w:pPr>
            <w:r>
              <w:rPr>
                <w:sz w:val="4"/>
                <w:szCs w:val="4"/>
              </w:rPr>
            </w:r>
          </w:p>
        </w:tc>
        <w:tc>
          <w:tcPr>
            <w:tcW w:w="2042"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5426"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607" w:type="dxa"/>
            <w:tcBorders/>
            <w:vAlign w:val="center"/>
          </w:tcPr>
          <w:p>
            <w:pPr>
              <w:pStyle w:val="TableContents"/>
              <w:bidi w:val="0"/>
              <w:spacing w:before="0" w:after="0"/>
              <w:jc w:val="left"/>
              <w:rPr>
                <w:rFonts w:ascii="arial" w:hAnsi="arial"/>
                <w:sz w:val="20"/>
              </w:rPr>
            </w:pPr>
            <w:r>
              <w:rPr>
                <w:rFonts w:ascii="arial" w:hAnsi="arial"/>
                <w:sz w:val="20"/>
              </w:rPr>
              <w:t>Eric Kelly</w:t>
            </w:r>
          </w:p>
          <w:p>
            <w:pPr>
              <w:pStyle w:val="TableContents"/>
              <w:bidi w:val="0"/>
              <w:spacing w:before="0" w:after="0"/>
              <w:jc w:val="left"/>
              <w:rPr>
                <w:rFonts w:ascii="arial" w:hAnsi="arial"/>
                <w:i/>
                <w:sz w:val="20"/>
              </w:rPr>
            </w:pPr>
            <w:r>
              <w:rPr>
                <w:rFonts w:ascii="arial" w:hAnsi="arial"/>
                <w:i/>
                <w:sz w:val="20"/>
              </w:rPr>
              <w:t>Chairman and CEO, Overland Tandberg</w:t>
            </w:r>
          </w:p>
          <w:p>
            <w:pPr>
              <w:pStyle w:val="TableContents"/>
              <w:bidi w:val="0"/>
              <w:spacing w:before="0" w:after="20"/>
              <w:jc w:val="left"/>
              <w:rPr>
                <w:rFonts w:ascii="arial" w:hAnsi="arial"/>
                <w:i/>
                <w:sz w:val="20"/>
              </w:rPr>
            </w:pPr>
            <w:r>
              <w:rPr>
                <w:rFonts w:ascii="arial" w:hAnsi="arial"/>
                <w:i/>
                <w:sz w:val="20"/>
              </w:rPr>
              <w:t>Inc.</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pPr>
            <w:r>
              <w:rPr/>
              <w:t>• </w:t>
            </w:r>
            <w:r>
              <w:rPr>
                <w:rFonts w:ascii="arial" w:hAnsi="arial"/>
                <w:sz w:val="20"/>
              </w:rPr>
              <w:t>Audit Committee</w:t>
            </w:r>
          </w:p>
          <w:p>
            <w:pPr>
              <w:pStyle w:val="TableContents"/>
              <w:bidi w:val="0"/>
              <w:spacing w:before="0" w:after="20"/>
              <w:jc w:val="left"/>
              <w:rPr/>
            </w:pPr>
            <w:r>
              <w:rPr/>
              <w:t>• </w:t>
            </w:r>
            <w:r>
              <w:rPr>
                <w:rFonts w:ascii="arial" w:hAnsi="arial"/>
                <w:sz w:val="20"/>
              </w:rPr>
              <w:t>Technology Committee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366" w:type="dxa"/>
            <w:tcBorders/>
            <w:vAlign w:val="center"/>
          </w:tcPr>
          <w:p>
            <w:pPr>
              <w:pStyle w:val="TableContents"/>
              <w:bidi w:val="0"/>
              <w:spacing w:before="0" w:after="0"/>
              <w:jc w:val="left"/>
              <w:rPr/>
            </w:pPr>
            <w:r>
              <w:rPr/>
              <w:t>• </w:t>
            </w:r>
            <w:r>
              <w:rPr>
                <w:rFonts w:ascii="arial" w:hAnsi="arial"/>
                <w:sz w:val="20"/>
              </w:rPr>
              <w:t>Significant experience across the technology industry</w:t>
            </w:r>
          </w:p>
          <w:p>
            <w:pPr>
              <w:pStyle w:val="TableContents"/>
              <w:bidi w:val="0"/>
              <w:spacing w:before="0" w:after="0"/>
              <w:jc w:val="left"/>
              <w:rPr/>
            </w:pPr>
            <w:r>
              <w:rPr/>
              <w:t>• </w:t>
            </w:r>
            <w:r>
              <w:rPr>
                <w:rFonts w:ascii="arial" w:hAnsi="arial"/>
                <w:sz w:val="20"/>
              </w:rPr>
              <w:t>Extensive senior executive leadership experience</w:t>
            </w:r>
          </w:p>
          <w:p>
            <w:pPr>
              <w:pStyle w:val="TableContents"/>
              <w:bidi w:val="0"/>
              <w:spacing w:before="0" w:after="0"/>
              <w:jc w:val="left"/>
              <w:rPr/>
            </w:pPr>
            <w:r>
              <w:rPr/>
              <w:t>• </w:t>
            </w:r>
            <w:r>
              <w:rPr>
                <w:rFonts w:ascii="arial" w:hAnsi="arial"/>
                <w:sz w:val="20"/>
              </w:rPr>
              <w:t>Cybersecurity experience</w:t>
            </w:r>
          </w:p>
          <w:p>
            <w:pPr>
              <w:pStyle w:val="TableContents"/>
              <w:bidi w:val="0"/>
              <w:spacing w:before="0" w:after="0"/>
              <w:jc w:val="left"/>
              <w:rPr/>
            </w:pPr>
            <w:r>
              <w:rPr/>
              <w:t>• </w:t>
            </w:r>
            <w:r>
              <w:rPr>
                <w:rFonts w:ascii="arial" w:hAnsi="arial"/>
                <w:sz w:val="20"/>
              </w:rPr>
              <w:t>Cloud software and infrastructure experience</w:t>
            </w:r>
          </w:p>
          <w:p>
            <w:pPr>
              <w:pStyle w:val="TableContents"/>
              <w:bidi w:val="0"/>
              <w:spacing w:before="0" w:after="0"/>
              <w:jc w:val="left"/>
              <w:rPr/>
            </w:pPr>
            <w:r>
              <w:rPr/>
              <w:t>• </w:t>
            </w:r>
            <w:r>
              <w:rPr>
                <w:rFonts w:ascii="arial" w:hAnsi="arial"/>
                <w:sz w:val="20"/>
              </w:rPr>
              <w:t>Mergers and acquisition strategy and strategic business transformation experience</w:t>
            </w:r>
          </w:p>
          <w:p>
            <w:pPr>
              <w:pStyle w:val="TableContents"/>
              <w:bidi w:val="0"/>
              <w:spacing w:before="0" w:after="20"/>
              <w:jc w:val="left"/>
              <w:rPr/>
            </w:pPr>
            <w:r>
              <w:rPr/>
              <w:t>• </w:t>
            </w:r>
            <w:r>
              <w:rPr>
                <w:rFonts w:ascii="arial" w:hAnsi="arial"/>
                <w:sz w:val="20"/>
              </w:rPr>
              <w:t>Audit Committee financial expert</w:t>
            </w:r>
          </w:p>
        </w:tc>
      </w:tr>
      <w:tr>
        <w:trPr/>
        <w:tc>
          <w:tcPr>
            <w:tcW w:w="1607" w:type="dxa"/>
            <w:tcBorders/>
            <w:shd w:fill="E5E5E5" w:val="clear"/>
            <w:vAlign w:val="center"/>
          </w:tcPr>
          <w:p>
            <w:pPr>
              <w:pStyle w:val="TableContents"/>
              <w:bidi w:val="0"/>
              <w:spacing w:before="0" w:after="283"/>
              <w:jc w:val="left"/>
              <w:rPr>
                <w:sz w:val="4"/>
                <w:szCs w:val="4"/>
              </w:rPr>
            </w:pPr>
            <w:r>
              <w:rPr>
                <w:sz w:val="4"/>
                <w:szCs w:val="4"/>
              </w:rPr>
            </w:r>
          </w:p>
        </w:tc>
        <w:tc>
          <w:tcPr>
            <w:tcW w:w="2042"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426"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607" w:type="dxa"/>
            <w:tcBorders/>
            <w:shd w:fill="E5E5E5" w:val="clear"/>
            <w:vAlign w:val="center"/>
          </w:tcPr>
          <w:p>
            <w:pPr>
              <w:pStyle w:val="TableContents"/>
              <w:bidi w:val="0"/>
              <w:spacing w:before="0" w:after="0"/>
              <w:jc w:val="left"/>
              <w:rPr>
                <w:rFonts w:ascii="arial" w:hAnsi="arial"/>
                <w:sz w:val="20"/>
              </w:rPr>
            </w:pPr>
            <w:r>
              <w:rPr>
                <w:rFonts w:ascii="arial" w:hAnsi="arial"/>
                <w:sz w:val="20"/>
              </w:rPr>
              <w:t>Gail Mandel</w:t>
            </w:r>
          </w:p>
          <w:p>
            <w:pPr>
              <w:pStyle w:val="TableContents"/>
              <w:bidi w:val="0"/>
              <w:spacing w:before="0" w:after="0"/>
              <w:jc w:val="left"/>
              <w:rPr>
                <w:rFonts w:ascii="arial" w:hAnsi="arial"/>
                <w:i/>
                <w:sz w:val="20"/>
              </w:rPr>
            </w:pPr>
            <w:r>
              <w:rPr>
                <w:rFonts w:ascii="arial" w:hAnsi="arial"/>
                <w:i/>
                <w:sz w:val="20"/>
              </w:rPr>
              <w:t>Managing Director, Focused Point</w:t>
            </w:r>
          </w:p>
          <w:p>
            <w:pPr>
              <w:pStyle w:val="TableContents"/>
              <w:bidi w:val="0"/>
              <w:spacing w:before="0" w:after="0"/>
              <w:jc w:val="left"/>
              <w:rPr>
                <w:rFonts w:ascii="arial" w:hAnsi="arial"/>
                <w:i/>
                <w:sz w:val="20"/>
              </w:rPr>
            </w:pPr>
            <w:r>
              <w:rPr>
                <w:rFonts w:ascii="arial" w:hAnsi="arial"/>
                <w:i/>
                <w:sz w:val="20"/>
              </w:rPr>
              <w:t>Ventures, LLC</w:t>
            </w:r>
          </w:p>
          <w:p>
            <w:pPr>
              <w:pStyle w:val="TableContents"/>
              <w:bidi w:val="0"/>
              <w:spacing w:before="0" w:after="20"/>
              <w:jc w:val="left"/>
              <w:rPr>
                <w:rFonts w:ascii="arial" w:hAnsi="arial"/>
                <w:i/>
                <w:sz w:val="20"/>
              </w:rPr>
            </w:pPr>
            <w:r>
              <w:rPr>
                <w:rFonts w:ascii="arial" w:hAnsi="arial"/>
                <w:i/>
                <w:sz w:val="20"/>
              </w:rPr>
              <w:t>Chair of the Board, Sabre Corporation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2" w:type="dxa"/>
            <w:tcBorders/>
            <w:shd w:fill="E5E5E5" w:val="clear"/>
            <w:vAlign w:val="center"/>
          </w:tcPr>
          <w:p>
            <w:pPr>
              <w:pStyle w:val="TableContents"/>
              <w:bidi w:val="0"/>
              <w:spacing w:before="0" w:after="0"/>
              <w:jc w:val="left"/>
              <w:rPr/>
            </w:pPr>
            <w:r>
              <w:rPr/>
              <w:t>• </w:t>
            </w:r>
            <w:r>
              <w:rPr>
                <w:rFonts w:ascii="arial" w:hAnsi="arial"/>
                <w:sz w:val="20"/>
              </w:rPr>
              <w:t>Compensation Committee</w:t>
            </w:r>
          </w:p>
          <w:p>
            <w:pPr>
              <w:pStyle w:val="TableContents"/>
              <w:bidi w:val="0"/>
              <w:spacing w:before="0" w:after="0"/>
              <w:jc w:val="left"/>
              <w:rPr/>
            </w:pPr>
            <w:r>
              <w:rPr/>
              <w:t>• </w:t>
            </w:r>
            <w:r>
              <w:rPr>
                <w:rFonts w:ascii="arial" w:hAnsi="arial"/>
                <w:sz w:val="20"/>
              </w:rPr>
              <w:t>Executive Committee (chair)</w:t>
            </w:r>
          </w:p>
          <w:p>
            <w:pPr>
              <w:pStyle w:val="TableContents"/>
              <w:bidi w:val="0"/>
              <w:spacing w:before="0" w:after="20"/>
              <w:jc w:val="left"/>
              <w:rPr/>
            </w:pPr>
            <w:r>
              <w:rPr/>
              <w:t>• </w:t>
            </w:r>
            <w:r>
              <w:rPr>
                <w:rFonts w:ascii="arial" w:hAnsi="arial"/>
                <w:sz w:val="20"/>
              </w:rPr>
              <w:t>Nominating and Governance Committee (chair)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366" w:type="dxa"/>
            <w:tcBorders/>
            <w:shd w:fill="E5E5E5" w:val="clear"/>
            <w:vAlign w:val="center"/>
          </w:tcPr>
          <w:p>
            <w:pPr>
              <w:pStyle w:val="TableContents"/>
              <w:bidi w:val="0"/>
              <w:spacing w:before="0" w:after="0"/>
              <w:jc w:val="left"/>
              <w:rPr/>
            </w:pPr>
            <w:r>
              <w:rPr/>
              <w:t>• </w:t>
            </w:r>
            <w:r>
              <w:rPr>
                <w:rFonts w:ascii="arial" w:hAnsi="arial"/>
                <w:sz w:val="20"/>
              </w:rPr>
              <w:t>Extensive leadership experience, as well as mergers and acquisition and financing experience, in the hospitality and travel industry</w:t>
            </w:r>
          </w:p>
          <w:p>
            <w:pPr>
              <w:pStyle w:val="TableContents"/>
              <w:bidi w:val="0"/>
              <w:spacing w:before="0" w:after="0"/>
              <w:jc w:val="left"/>
              <w:rPr/>
            </w:pPr>
            <w:r>
              <w:rPr/>
              <w:t>• </w:t>
            </w:r>
            <w:r>
              <w:rPr>
                <w:rFonts w:ascii="arial" w:hAnsi="arial"/>
                <w:sz w:val="20"/>
              </w:rPr>
              <w:t>Significant experience in finance and technology implementation</w:t>
            </w:r>
          </w:p>
          <w:p>
            <w:pPr>
              <w:pStyle w:val="TableContents"/>
              <w:bidi w:val="0"/>
              <w:spacing w:before="0" w:after="0"/>
              <w:jc w:val="left"/>
              <w:rPr/>
            </w:pPr>
            <w:r>
              <w:rPr/>
              <w:t>• </w:t>
            </w:r>
            <w:r>
              <w:rPr>
                <w:rFonts w:ascii="arial" w:hAnsi="arial"/>
                <w:sz w:val="20"/>
              </w:rPr>
              <w:t>Audit Committee financial expert</w:t>
            </w:r>
          </w:p>
          <w:p>
            <w:pPr>
              <w:pStyle w:val="TableContents"/>
              <w:bidi w:val="0"/>
              <w:spacing w:before="0" w:after="20"/>
              <w:jc w:val="left"/>
              <w:rPr/>
            </w:pPr>
            <w:r>
              <w:rPr/>
              <w:t>• </w:t>
            </w:r>
            <w:r>
              <w:rPr>
                <w:rFonts w:ascii="arial" w:hAnsi="arial"/>
                <w:sz w:val="20"/>
              </w:rPr>
              <w:t>As Chair of the Board, provides key strategic guidance to both our Board and management, and spends a significant amount of time engaging in matters related to our Board</w:t>
            </w:r>
          </w:p>
        </w:tc>
      </w:tr>
      <w:tr>
        <w:trPr/>
        <w:tc>
          <w:tcPr>
            <w:tcW w:w="1607" w:type="dxa"/>
            <w:tcBorders/>
            <w:vAlign w:val="center"/>
          </w:tcPr>
          <w:p>
            <w:pPr>
              <w:pStyle w:val="TableContents"/>
              <w:bidi w:val="0"/>
              <w:spacing w:before="0" w:after="283"/>
              <w:jc w:val="left"/>
              <w:rPr>
                <w:sz w:val="4"/>
                <w:szCs w:val="4"/>
              </w:rPr>
            </w:pPr>
            <w:r>
              <w:rPr>
                <w:sz w:val="4"/>
                <w:szCs w:val="4"/>
              </w:rPr>
            </w:r>
          </w:p>
        </w:tc>
        <w:tc>
          <w:tcPr>
            <w:tcW w:w="2042"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5426"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607" w:type="dxa"/>
            <w:tcBorders/>
            <w:vAlign w:val="center"/>
          </w:tcPr>
          <w:p>
            <w:pPr>
              <w:pStyle w:val="TableContents"/>
              <w:bidi w:val="0"/>
              <w:spacing w:before="0" w:after="0"/>
              <w:jc w:val="left"/>
              <w:rPr>
                <w:rFonts w:ascii="arial" w:hAnsi="arial"/>
                <w:sz w:val="20"/>
              </w:rPr>
            </w:pPr>
            <w:r>
              <w:rPr>
                <w:rFonts w:ascii="arial" w:hAnsi="arial"/>
                <w:sz w:val="20"/>
              </w:rPr>
              <w:t>Phyllis Newhouse</w:t>
            </w:r>
          </w:p>
          <w:p>
            <w:pPr>
              <w:pStyle w:val="TableContents"/>
              <w:bidi w:val="0"/>
              <w:spacing w:before="0" w:after="0"/>
              <w:jc w:val="left"/>
              <w:rPr>
                <w:rFonts w:ascii="arial" w:hAnsi="arial"/>
                <w:i/>
                <w:sz w:val="20"/>
              </w:rPr>
            </w:pPr>
            <w:r>
              <w:rPr>
                <w:rFonts w:ascii="arial" w:hAnsi="arial"/>
                <w:i/>
                <w:sz w:val="20"/>
              </w:rPr>
              <w:t>Founder and CEO, Xtreme Solutions,</w:t>
            </w:r>
          </w:p>
          <w:p>
            <w:pPr>
              <w:pStyle w:val="TableContents"/>
              <w:bidi w:val="0"/>
              <w:spacing w:before="0" w:after="20"/>
              <w:jc w:val="left"/>
              <w:rPr>
                <w:rFonts w:ascii="arial" w:hAnsi="arial"/>
                <w:i/>
                <w:sz w:val="20"/>
              </w:rPr>
            </w:pPr>
            <w:r>
              <w:rPr>
                <w:rFonts w:ascii="arial" w:hAnsi="arial"/>
                <w:i/>
                <w:sz w:val="20"/>
              </w:rPr>
              <w:t>Inc.</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pPr>
            <w:r>
              <w:rPr/>
              <w:t>• </w:t>
            </w:r>
            <w:r>
              <w:rPr>
                <w:rFonts w:ascii="arial" w:hAnsi="arial"/>
                <w:sz w:val="20"/>
              </w:rPr>
              <w:t>Audit Committee</w:t>
            </w:r>
          </w:p>
          <w:p>
            <w:pPr>
              <w:pStyle w:val="TableContents"/>
              <w:bidi w:val="0"/>
              <w:spacing w:before="0" w:after="20"/>
              <w:jc w:val="left"/>
              <w:rPr/>
            </w:pPr>
            <w:r>
              <w:rPr/>
              <w:t>• </w:t>
            </w:r>
            <w:r>
              <w:rPr>
                <w:rFonts w:ascii="arial" w:hAnsi="arial"/>
                <w:sz w:val="20"/>
              </w:rPr>
              <w:t>Technology Committee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366" w:type="dxa"/>
            <w:tcBorders/>
            <w:vAlign w:val="center"/>
          </w:tcPr>
          <w:p>
            <w:pPr>
              <w:pStyle w:val="TableContents"/>
              <w:bidi w:val="0"/>
              <w:spacing w:before="0" w:after="0"/>
              <w:jc w:val="left"/>
              <w:rPr/>
            </w:pPr>
            <w:r>
              <w:rPr/>
              <w:t>• </w:t>
            </w:r>
            <w:r>
              <w:rPr>
                <w:rFonts w:ascii="arial" w:hAnsi="arial"/>
                <w:sz w:val="20"/>
              </w:rPr>
              <w:t>Deep experience in cybersecurity and information technology fields as the CEO of a cybersecurity firm and as a former United States Army noncommissioned officer that focused on national security</w:t>
            </w:r>
          </w:p>
          <w:p>
            <w:pPr>
              <w:pStyle w:val="TableContents"/>
              <w:bidi w:val="0"/>
              <w:spacing w:before="0" w:after="20"/>
              <w:jc w:val="left"/>
              <w:rPr/>
            </w:pPr>
            <w:r>
              <w:rPr/>
              <w:t>• </w:t>
            </w:r>
            <w:r>
              <w:rPr>
                <w:rFonts w:ascii="arial" w:hAnsi="arial"/>
                <w:sz w:val="20"/>
              </w:rPr>
              <w:t>Significant focus on entrepreneurship, including through the founding of her firm and a nonprofit dedicated to connecting and supporting women on their entrepreneurial journeys</w:t>
            </w:r>
          </w:p>
        </w:tc>
      </w:tr>
      <w:tr>
        <w:trPr/>
        <w:tc>
          <w:tcPr>
            <w:tcW w:w="1607" w:type="dxa"/>
            <w:tcBorders/>
            <w:shd w:fill="E5E5E5" w:val="clear"/>
            <w:vAlign w:val="center"/>
          </w:tcPr>
          <w:p>
            <w:pPr>
              <w:pStyle w:val="TableContents"/>
              <w:bidi w:val="0"/>
              <w:spacing w:before="0" w:after="283"/>
              <w:jc w:val="left"/>
              <w:rPr>
                <w:sz w:val="4"/>
                <w:szCs w:val="4"/>
              </w:rPr>
            </w:pPr>
            <w:r>
              <w:rPr>
                <w:sz w:val="4"/>
                <w:szCs w:val="4"/>
              </w:rPr>
            </w:r>
          </w:p>
        </w:tc>
        <w:tc>
          <w:tcPr>
            <w:tcW w:w="2042"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426"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607" w:type="dxa"/>
            <w:tcBorders/>
            <w:shd w:fill="E5E5E5" w:val="clear"/>
            <w:vAlign w:val="center"/>
          </w:tcPr>
          <w:p>
            <w:pPr>
              <w:pStyle w:val="TableContents"/>
              <w:bidi w:val="0"/>
              <w:spacing w:before="0" w:after="0"/>
              <w:jc w:val="left"/>
              <w:rPr>
                <w:rFonts w:ascii="arial" w:hAnsi="arial"/>
                <w:sz w:val="20"/>
              </w:rPr>
            </w:pPr>
            <w:r>
              <w:rPr>
                <w:rFonts w:ascii="arial" w:hAnsi="arial"/>
                <w:sz w:val="20"/>
              </w:rPr>
              <w:t>Elaine Paul</w:t>
            </w:r>
          </w:p>
          <w:p>
            <w:pPr>
              <w:pStyle w:val="TableContents"/>
              <w:bidi w:val="0"/>
              <w:spacing w:before="0" w:after="20"/>
              <w:jc w:val="left"/>
              <w:rPr>
                <w:rFonts w:ascii="arial" w:hAnsi="arial"/>
                <w:i/>
                <w:sz w:val="20"/>
              </w:rPr>
            </w:pPr>
            <w:r>
              <w:rPr>
                <w:rFonts w:ascii="arial" w:hAnsi="arial"/>
                <w:i/>
                <w:sz w:val="20"/>
              </w:rPr>
              <w:t>Corporate Director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2" w:type="dxa"/>
            <w:tcBorders/>
            <w:shd w:fill="E5E5E5" w:val="clear"/>
            <w:vAlign w:val="center"/>
          </w:tcPr>
          <w:p>
            <w:pPr>
              <w:pStyle w:val="TableContents"/>
              <w:bidi w:val="0"/>
              <w:spacing w:before="0" w:after="0"/>
              <w:jc w:val="left"/>
              <w:rPr/>
            </w:pPr>
            <w:r>
              <w:rPr/>
              <w:t>• </w:t>
            </w:r>
            <w:r>
              <w:rPr>
                <w:rFonts w:ascii="arial" w:hAnsi="arial"/>
                <w:sz w:val="20"/>
              </w:rPr>
              <w:t>Audit Committee</w:t>
            </w:r>
          </w:p>
          <w:p>
            <w:pPr>
              <w:pStyle w:val="TableContents"/>
              <w:bidi w:val="0"/>
              <w:spacing w:before="0" w:after="20"/>
              <w:jc w:val="left"/>
              <w:rPr/>
            </w:pPr>
            <w:r>
              <w:rPr/>
              <w:t>• </w:t>
            </w:r>
            <w:r>
              <w:rPr>
                <w:rFonts w:ascii="arial" w:hAnsi="arial"/>
                <w:sz w:val="20"/>
              </w:rPr>
              <w:t>Technology Committee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366" w:type="dxa"/>
            <w:tcBorders/>
            <w:shd w:fill="E5E5E5" w:val="clear"/>
            <w:vAlign w:val="center"/>
          </w:tcPr>
          <w:p>
            <w:pPr>
              <w:pStyle w:val="TableContents"/>
              <w:bidi w:val="0"/>
              <w:spacing w:before="0" w:after="0"/>
              <w:jc w:val="left"/>
              <w:rPr/>
            </w:pPr>
            <w:r>
              <w:rPr/>
              <w:t>• </w:t>
            </w:r>
            <w:r>
              <w:rPr>
                <w:rFonts w:ascii="arial" w:hAnsi="arial"/>
                <w:sz w:val="20"/>
              </w:rPr>
              <w:t>Extensive financial leadership in the technology industry, including service as CFO</w:t>
            </w:r>
          </w:p>
          <w:p>
            <w:pPr>
              <w:pStyle w:val="TableContents"/>
              <w:bidi w:val="0"/>
              <w:spacing w:before="0" w:after="0"/>
              <w:jc w:val="left"/>
              <w:rPr/>
            </w:pPr>
            <w:r>
              <w:rPr/>
              <w:t>• </w:t>
            </w:r>
            <w:r>
              <w:rPr>
                <w:rFonts w:ascii="arial" w:hAnsi="arial"/>
                <w:sz w:val="20"/>
              </w:rPr>
              <w:t>Background in business strategy and corporate development in technology</w:t>
            </w:r>
          </w:p>
          <w:p>
            <w:pPr>
              <w:pStyle w:val="TableContents"/>
              <w:bidi w:val="0"/>
              <w:spacing w:before="0" w:after="20"/>
              <w:jc w:val="left"/>
              <w:rPr/>
            </w:pPr>
            <w:r>
              <w:rPr/>
              <w:t>• </w:t>
            </w:r>
            <w:r>
              <w:rPr>
                <w:rFonts w:ascii="arial" w:hAnsi="arial"/>
                <w:sz w:val="20"/>
              </w:rPr>
              <w:t>Audit Committee financial expert</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020"/>
        <w:gridCol w:w="60"/>
        <w:gridCol w:w="23"/>
        <w:gridCol w:w="60"/>
        <w:gridCol w:w="23"/>
        <w:gridCol w:w="60"/>
        <w:gridCol w:w="23"/>
        <w:gridCol w:w="60"/>
        <w:gridCol w:w="38"/>
      </w:tblGrid>
      <w:tr>
        <w:trPr/>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7"/>
        <w:gridCol w:w="60"/>
        <w:gridCol w:w="1945"/>
        <w:gridCol w:w="60"/>
        <w:gridCol w:w="1070"/>
        <w:gridCol w:w="60"/>
        <w:gridCol w:w="5303"/>
      </w:tblGrid>
      <w:tr>
        <w:trPr/>
        <w:tc>
          <w:tcPr>
            <w:tcW w:w="1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3" w:type="dxa"/>
            <w:tcBorders/>
            <w:vAlign w:val="center"/>
          </w:tcPr>
          <w:p>
            <w:pPr>
              <w:pStyle w:val="TableContents"/>
              <w:bidi w:val="0"/>
              <w:spacing w:before="0" w:after="283"/>
              <w:jc w:val="left"/>
              <w:rPr>
                <w:sz w:val="4"/>
                <w:szCs w:val="4"/>
              </w:rPr>
            </w:pPr>
            <w:r>
              <w:rPr>
                <w:sz w:val="4"/>
                <w:szCs w:val="4"/>
              </w:rPr>
            </w:r>
          </w:p>
        </w:tc>
      </w:tr>
      <w:tr>
        <w:trPr/>
        <w:tc>
          <w:tcPr>
            <w:tcW w:w="1707" w:type="dxa"/>
            <w:tcBorders/>
            <w:shd w:fill="666666" w:val="clear"/>
            <w:vAlign w:val="center"/>
          </w:tcPr>
          <w:p>
            <w:pPr>
              <w:pStyle w:val="TableContents"/>
              <w:bidi w:val="0"/>
              <w:spacing w:before="0" w:after="0"/>
              <w:jc w:val="left"/>
              <w:rPr>
                <w:color w:val="FFFFFF"/>
              </w:rPr>
            </w:pPr>
            <w:r>
              <w:rPr>
                <w:color w:val="FFFFFF"/>
              </w:rPr>
              <w:t> </w:t>
            </w:r>
            <w:r>
              <w:rPr>
                <w:rFonts w:ascii="arial" w:hAnsi="arial"/>
                <w:b/>
                <w:color w:val="FFFFFF"/>
                <w:sz w:val="18"/>
              </w:rPr>
              <w:t>Name and Occupation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4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Committee </w:t>
              <w:br/>
              <w:t>Roles </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70"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Independent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5303"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Experience Highlights</w:t>
            </w:r>
          </w:p>
          <w:p>
            <w:pPr>
              <w:pStyle w:val="TableContents"/>
              <w:bidi w:val="0"/>
              <w:spacing w:before="0" w:after="20"/>
              <w:jc w:val="left"/>
              <w:rPr/>
            </w:pPr>
            <w:r>
              <w:rPr/>
              <w:t> </w:t>
            </w:r>
          </w:p>
        </w:tc>
      </w:tr>
      <w:tr>
        <w:trPr/>
        <w:tc>
          <w:tcPr>
            <w:tcW w:w="1707" w:type="dxa"/>
            <w:tcBorders/>
            <w:vAlign w:val="center"/>
          </w:tcPr>
          <w:p>
            <w:pPr>
              <w:pStyle w:val="TableContents"/>
              <w:bidi w:val="0"/>
              <w:spacing w:before="0" w:after="283"/>
              <w:jc w:val="left"/>
              <w:rPr>
                <w:sz w:val="4"/>
                <w:szCs w:val="4"/>
              </w:rPr>
            </w:pPr>
            <w:r>
              <w:rPr>
                <w:sz w:val="4"/>
                <w:szCs w:val="4"/>
              </w:rPr>
            </w:r>
          </w:p>
        </w:tc>
        <w:tc>
          <w:tcPr>
            <w:tcW w:w="2005"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5363"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707" w:type="dxa"/>
            <w:tcBorders/>
            <w:vAlign w:val="center"/>
          </w:tcPr>
          <w:p>
            <w:pPr>
              <w:pStyle w:val="TableContents"/>
              <w:bidi w:val="0"/>
              <w:spacing w:before="0" w:after="0"/>
              <w:jc w:val="left"/>
              <w:rPr>
                <w:rFonts w:ascii="arial" w:hAnsi="arial"/>
                <w:sz w:val="20"/>
              </w:rPr>
            </w:pPr>
            <w:r>
              <w:rPr>
                <w:rFonts w:ascii="arial" w:hAnsi="arial"/>
                <w:sz w:val="20"/>
              </w:rPr>
              <w:t>John Scott</w:t>
            </w:r>
          </w:p>
          <w:p>
            <w:pPr>
              <w:pStyle w:val="TableContents"/>
              <w:bidi w:val="0"/>
              <w:spacing w:before="0" w:after="20"/>
              <w:jc w:val="left"/>
              <w:rPr>
                <w:rFonts w:ascii="arial" w:hAnsi="arial"/>
                <w:i/>
                <w:sz w:val="20"/>
              </w:rPr>
            </w:pPr>
            <w:r>
              <w:rPr>
                <w:rFonts w:ascii="arial" w:hAnsi="arial"/>
                <w:i/>
                <w:sz w:val="20"/>
              </w:rPr>
              <w:t>Founder and Chairman, Park House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0"/>
              <w:jc w:val="left"/>
              <w:rPr/>
            </w:pPr>
            <w:r>
              <w:rPr/>
              <w:t>• </w:t>
            </w:r>
            <w:r>
              <w:rPr>
                <w:rFonts w:ascii="arial" w:hAnsi="arial"/>
                <w:sz w:val="20"/>
              </w:rPr>
              <w:t>Compensation Committee (chair)</w:t>
            </w:r>
          </w:p>
          <w:p>
            <w:pPr>
              <w:pStyle w:val="TableContents"/>
              <w:bidi w:val="0"/>
              <w:spacing w:before="0" w:after="0"/>
              <w:jc w:val="left"/>
              <w:rPr/>
            </w:pPr>
            <w:r>
              <w:rPr/>
              <w:t>• </w:t>
            </w:r>
            <w:r>
              <w:rPr>
                <w:rFonts w:ascii="arial" w:hAnsi="arial"/>
                <w:sz w:val="20"/>
              </w:rPr>
              <w:t>Executive Committee</w:t>
            </w:r>
          </w:p>
          <w:p>
            <w:pPr>
              <w:pStyle w:val="TableContents"/>
              <w:bidi w:val="0"/>
              <w:spacing w:before="0" w:after="20"/>
              <w:jc w:val="left"/>
              <w:rPr/>
            </w:pPr>
            <w:r>
              <w:rPr/>
              <w:t>• </w:t>
            </w:r>
            <w:r>
              <w:rPr>
                <w:rFonts w:ascii="arial" w:hAnsi="arial"/>
                <w:sz w:val="20"/>
              </w:rPr>
              <w:t>Nominating and Governance Committee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303" w:type="dxa"/>
            <w:tcBorders/>
            <w:vAlign w:val="center"/>
          </w:tcPr>
          <w:p>
            <w:pPr>
              <w:pStyle w:val="TableContents"/>
              <w:bidi w:val="0"/>
              <w:spacing w:before="0" w:after="0"/>
              <w:jc w:val="left"/>
              <w:rPr/>
            </w:pPr>
            <w:r>
              <w:rPr/>
              <w:t>• </w:t>
            </w:r>
            <w:r>
              <w:rPr>
                <w:rFonts w:ascii="arial" w:hAnsi="arial"/>
                <w:sz w:val="20"/>
              </w:rPr>
              <w:t>Extensive experience in the hospitality, leisure, and entertainment industries</w:t>
            </w:r>
          </w:p>
          <w:p>
            <w:pPr>
              <w:pStyle w:val="TableContents"/>
              <w:bidi w:val="0"/>
              <w:spacing w:before="0" w:after="20"/>
              <w:jc w:val="left"/>
              <w:rPr/>
            </w:pPr>
            <w:r>
              <w:rPr/>
              <w:t>• </w:t>
            </w:r>
            <w:r>
              <w:rPr>
                <w:rFonts w:ascii="arial" w:hAnsi="arial"/>
                <w:sz w:val="20"/>
              </w:rPr>
              <w:t>Significant experience serving on the boards of private and public companies</w:t>
            </w:r>
          </w:p>
        </w:tc>
      </w:tr>
      <w:tr>
        <w:trPr/>
        <w:tc>
          <w:tcPr>
            <w:tcW w:w="1707" w:type="dxa"/>
            <w:tcBorders/>
            <w:shd w:fill="E5E5E5" w:val="clear"/>
            <w:vAlign w:val="center"/>
          </w:tcPr>
          <w:p>
            <w:pPr>
              <w:pStyle w:val="TableContents"/>
              <w:bidi w:val="0"/>
              <w:spacing w:before="0" w:after="283"/>
              <w:jc w:val="left"/>
              <w:rPr>
                <w:sz w:val="4"/>
                <w:szCs w:val="4"/>
              </w:rPr>
            </w:pPr>
            <w:r>
              <w:rPr>
                <w:sz w:val="4"/>
                <w:szCs w:val="4"/>
              </w:rPr>
            </w:r>
          </w:p>
        </w:tc>
        <w:tc>
          <w:tcPr>
            <w:tcW w:w="2005"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363"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707" w:type="dxa"/>
            <w:tcBorders/>
            <w:shd w:fill="E5E5E5" w:val="clear"/>
            <w:vAlign w:val="center"/>
          </w:tcPr>
          <w:p>
            <w:pPr>
              <w:pStyle w:val="TableContents"/>
              <w:bidi w:val="0"/>
              <w:spacing w:before="0" w:after="0"/>
              <w:jc w:val="left"/>
              <w:rPr>
                <w:rFonts w:ascii="arial" w:hAnsi="arial"/>
                <w:sz w:val="20"/>
              </w:rPr>
            </w:pPr>
            <w:r>
              <w:rPr>
                <w:rFonts w:ascii="arial" w:hAnsi="arial"/>
                <w:sz w:val="20"/>
              </w:rPr>
              <w:t>Wendi Sturgis</w:t>
            </w:r>
          </w:p>
          <w:p>
            <w:pPr>
              <w:pStyle w:val="TableContents"/>
              <w:bidi w:val="0"/>
              <w:spacing w:before="0" w:after="0"/>
              <w:jc w:val="left"/>
              <w:rPr>
                <w:rFonts w:ascii="arial" w:hAnsi="arial"/>
                <w:i/>
                <w:sz w:val="20"/>
              </w:rPr>
            </w:pPr>
            <w:r>
              <w:rPr>
                <w:rFonts w:ascii="arial" w:hAnsi="arial"/>
                <w:i/>
                <w:sz w:val="20"/>
              </w:rPr>
              <w:t>Chief Executive Officer, cleverbridge</w:t>
            </w:r>
          </w:p>
          <w:p>
            <w:pPr>
              <w:pStyle w:val="TableContents"/>
              <w:bidi w:val="0"/>
              <w:spacing w:before="0" w:after="20"/>
              <w:jc w:val="left"/>
              <w:rPr>
                <w:rFonts w:ascii="arial" w:hAnsi="arial"/>
                <w:i/>
                <w:sz w:val="20"/>
              </w:rPr>
            </w:pPr>
            <w:r>
              <w:rPr>
                <w:rFonts w:ascii="arial" w:hAnsi="arial"/>
                <w:i/>
                <w:sz w:val="20"/>
              </w:rPr>
              <w:t>GmbH</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45" w:type="dxa"/>
            <w:tcBorders/>
            <w:shd w:fill="E5E5E5" w:val="clear"/>
            <w:vAlign w:val="center"/>
          </w:tcPr>
          <w:p>
            <w:pPr>
              <w:pStyle w:val="TableContents"/>
              <w:bidi w:val="0"/>
              <w:spacing w:before="0" w:after="0"/>
              <w:jc w:val="left"/>
              <w:rPr/>
            </w:pPr>
            <w:r>
              <w:rPr/>
              <w:t>• </w:t>
            </w:r>
            <w:r>
              <w:rPr>
                <w:rFonts w:ascii="arial" w:hAnsi="arial"/>
                <w:sz w:val="20"/>
              </w:rPr>
              <w:t>Compensation Committee</w:t>
            </w:r>
          </w:p>
          <w:p>
            <w:pPr>
              <w:pStyle w:val="TableContents"/>
              <w:bidi w:val="0"/>
              <w:spacing w:before="0" w:after="20"/>
              <w:jc w:val="left"/>
              <w:rPr/>
            </w:pPr>
            <w:r>
              <w:rPr/>
              <w:t>• </w:t>
            </w:r>
            <w:r>
              <w:rPr>
                <w:rFonts w:ascii="arial" w:hAnsi="arial"/>
                <w:sz w:val="20"/>
              </w:rPr>
              <w:t>Nominating and Governance Committee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70" w:type="dxa"/>
            <w:tcBorders/>
            <w:shd w:fill="E5E5E5" w:val="clear"/>
            <w:vAlign w:val="center"/>
          </w:tcPr>
          <w:p>
            <w:pPr>
              <w:pStyle w:val="TableContents"/>
              <w:bidi w:val="0"/>
              <w:spacing w:before="0" w:after="283"/>
              <w:jc w:val="center"/>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5303" w:type="dxa"/>
            <w:tcBorders/>
            <w:shd w:fill="E5E5E5" w:val="clear"/>
            <w:vAlign w:val="center"/>
          </w:tcPr>
          <w:p>
            <w:pPr>
              <w:pStyle w:val="TableContents"/>
              <w:bidi w:val="0"/>
              <w:spacing w:before="0" w:after="0"/>
              <w:jc w:val="left"/>
              <w:rPr/>
            </w:pPr>
            <w:r>
              <w:rPr/>
              <w:t>• </w:t>
            </w:r>
            <w:r>
              <w:rPr>
                <w:rFonts w:ascii="arial" w:hAnsi="arial"/>
                <w:sz w:val="20"/>
              </w:rPr>
              <w:t>Significant technology and marketing leadership experience</w:t>
            </w:r>
          </w:p>
          <w:p>
            <w:pPr>
              <w:pStyle w:val="TableContents"/>
              <w:bidi w:val="0"/>
              <w:spacing w:before="0" w:after="0"/>
              <w:jc w:val="left"/>
              <w:rPr/>
            </w:pPr>
            <w:r>
              <w:rPr/>
              <w:t>• </w:t>
            </w:r>
            <w:r>
              <w:rPr>
                <w:rFonts w:ascii="arial" w:hAnsi="arial"/>
                <w:sz w:val="20"/>
              </w:rPr>
              <w:t>Extensive executive officer experience, including as a founding executive of a search experience cloud company</w:t>
            </w:r>
          </w:p>
          <w:p>
            <w:pPr>
              <w:pStyle w:val="TableContents"/>
              <w:bidi w:val="0"/>
              <w:spacing w:before="0" w:after="20"/>
              <w:jc w:val="left"/>
              <w:rPr/>
            </w:pPr>
            <w:r>
              <w:rPr/>
              <w:t>• </w:t>
            </w:r>
            <w:r>
              <w:rPr>
                <w:rFonts w:ascii="arial" w:hAnsi="arial"/>
                <w:sz w:val="20"/>
              </w:rPr>
              <w:t>Experience addressing cybersecurity matters</w:t>
            </w:r>
          </w:p>
        </w:tc>
      </w:tr>
      <w:tr>
        <w:trPr/>
        <w:tc>
          <w:tcPr>
            <w:tcW w:w="1707" w:type="dxa"/>
            <w:tcBorders/>
            <w:vAlign w:val="center"/>
          </w:tcPr>
          <w:p>
            <w:pPr>
              <w:pStyle w:val="TableContents"/>
              <w:bidi w:val="0"/>
              <w:spacing w:before="0" w:after="283"/>
              <w:jc w:val="left"/>
              <w:rPr>
                <w:sz w:val="4"/>
                <w:szCs w:val="4"/>
              </w:rPr>
            </w:pPr>
            <w:r>
              <w:rPr>
                <w:sz w:val="4"/>
                <w:szCs w:val="4"/>
              </w:rPr>
            </w:r>
          </w:p>
        </w:tc>
        <w:tc>
          <w:tcPr>
            <w:tcW w:w="2005"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1130" w:type="dxa"/>
            <w:gridSpan w:val="2"/>
            <w:tcBorders>
              <w:left w:val="single" w:sz="12" w:space="0" w:color="FFFFFF"/>
            </w:tcBorders>
            <w:tcMar>
              <w:left w:w="28" w:type="dxa"/>
            </w:tcMar>
            <w:vAlign w:val="center"/>
          </w:tcPr>
          <w:p>
            <w:pPr>
              <w:pStyle w:val="TableContents"/>
              <w:bidi w:val="0"/>
              <w:spacing w:before="0" w:after="283"/>
              <w:jc w:val="left"/>
              <w:rPr/>
            </w:pPr>
            <w:r>
              <w:rPr/>
              <w:t> </w:t>
            </w:r>
          </w:p>
        </w:tc>
        <w:tc>
          <w:tcPr>
            <w:tcW w:w="5363"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1707" w:type="dxa"/>
            <w:tcBorders/>
            <w:vAlign w:val="center"/>
          </w:tcPr>
          <w:p>
            <w:pPr>
              <w:pStyle w:val="TableContents"/>
              <w:bidi w:val="0"/>
              <w:spacing w:before="0" w:after="0"/>
              <w:jc w:val="left"/>
              <w:rPr>
                <w:rFonts w:ascii="arial" w:hAnsi="arial"/>
                <w:sz w:val="20"/>
              </w:rPr>
            </w:pPr>
            <w:r>
              <w:rPr>
                <w:rFonts w:ascii="arial" w:hAnsi="arial"/>
                <w:sz w:val="20"/>
              </w:rPr>
              <w:t>Ashan Willy</w:t>
            </w:r>
          </w:p>
          <w:p>
            <w:pPr>
              <w:pStyle w:val="TableContents"/>
              <w:bidi w:val="0"/>
              <w:spacing w:before="0" w:after="20"/>
              <w:jc w:val="left"/>
              <w:rPr>
                <w:rFonts w:ascii="arial" w:hAnsi="arial"/>
                <w:i/>
                <w:sz w:val="20"/>
              </w:rPr>
            </w:pPr>
            <w:r>
              <w:rPr>
                <w:rFonts w:ascii="arial" w:hAnsi="arial"/>
                <w:i/>
                <w:sz w:val="20"/>
              </w:rPr>
              <w:t>Chief Executive Officer, New Relic, Inc.</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0"/>
              <w:jc w:val="left"/>
              <w:rPr/>
            </w:pPr>
            <w:r>
              <w:rPr/>
              <w:t>• </w:t>
            </w:r>
            <w:r>
              <w:rPr>
                <w:rFonts w:ascii="arial" w:hAnsi="arial"/>
                <w:sz w:val="20"/>
              </w:rPr>
              <w:t>Compensation Committee*</w:t>
            </w:r>
          </w:p>
          <w:p>
            <w:pPr>
              <w:pStyle w:val="TableContents"/>
              <w:bidi w:val="0"/>
              <w:spacing w:before="0" w:after="20"/>
              <w:jc w:val="left"/>
              <w:rPr/>
            </w:pPr>
            <w:r>
              <w:rPr/>
              <w:t>• </w:t>
            </w:r>
            <w:r>
              <w:rPr>
                <w:rFonts w:ascii="arial" w:hAnsi="arial"/>
                <w:sz w:val="20"/>
              </w:rPr>
              <w:t>Technology Committee*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5303" w:type="dxa"/>
            <w:tcBorders/>
            <w:vAlign w:val="center"/>
          </w:tcPr>
          <w:p>
            <w:pPr>
              <w:pStyle w:val="TableContents"/>
              <w:bidi w:val="0"/>
              <w:spacing w:before="0" w:after="0"/>
              <w:jc w:val="left"/>
              <w:rPr/>
            </w:pPr>
            <w:r>
              <w:rPr/>
              <w:t>• </w:t>
            </w:r>
            <w:r>
              <w:rPr>
                <w:rFonts w:ascii="arial" w:hAnsi="arial"/>
                <w:sz w:val="20"/>
              </w:rPr>
              <w:t>Leadership experience as CEO of a SaaS software platform company</w:t>
            </w:r>
          </w:p>
          <w:p>
            <w:pPr>
              <w:pStyle w:val="TableContents"/>
              <w:bidi w:val="0"/>
              <w:spacing w:before="0" w:after="0"/>
              <w:jc w:val="left"/>
              <w:rPr/>
            </w:pPr>
            <w:r>
              <w:rPr/>
              <w:t>• </w:t>
            </w:r>
            <w:r>
              <w:rPr>
                <w:rFonts w:ascii="arial" w:hAnsi="arial"/>
                <w:sz w:val="20"/>
              </w:rPr>
              <w:t>Extensive leadership experience in sales, channel development, engineering, product management, customer success, and worldwide go-to-market strategy across global markets</w:t>
            </w:r>
          </w:p>
          <w:p>
            <w:pPr>
              <w:pStyle w:val="TableContents"/>
              <w:bidi w:val="0"/>
              <w:spacing w:before="0" w:after="20"/>
              <w:jc w:val="left"/>
              <w:rPr/>
            </w:pPr>
            <w:r>
              <w:rPr/>
              <w:t>• </w:t>
            </w:r>
            <w:r>
              <w:rPr>
                <w:rFonts w:ascii="arial" w:hAnsi="arial"/>
                <w:sz w:val="20"/>
              </w:rPr>
              <w:t>Significant cybersecurity and technology experience</w:t>
            </w:r>
          </w:p>
        </w:tc>
      </w:tr>
    </w:tbl>
    <w:p>
      <w:pPr>
        <w:pStyle w:val="TextBody"/>
        <w:pBdr>
          <w:bottom w:val="single" w:sz="2" w:space="1" w:color="000000"/>
        </w:pBdr>
        <w:bidi w:val="0"/>
        <w:spacing w:lineRule="atLeast" w:line="160" w:before="0" w:after="40"/>
        <w:jc w:val="left"/>
        <w:rPr/>
      </w:pPr>
      <w:r>
        <w:rPr/>
        <w:t> </w:t>
      </w:r>
    </w:p>
    <w:tbl>
      <w:tblPr>
        <w:tblW w:w="2830" w:type="dxa"/>
        <w:jc w:val="left"/>
        <w:tblInd w:w="0" w:type="dxa"/>
        <w:tblLayout w:type="fixed"/>
        <w:tblCellMar>
          <w:top w:w="0" w:type="dxa"/>
          <w:left w:w="0" w:type="dxa"/>
          <w:bottom w:w="0" w:type="dxa"/>
          <w:right w:w="0" w:type="dxa"/>
        </w:tblCellMar>
      </w:tblPr>
      <w:tblGrid>
        <w:gridCol w:w="155"/>
        <w:gridCol w:w="2675"/>
      </w:tblGrid>
      <w:tr>
        <w:trPr/>
        <w:tc>
          <w:tcPr>
            <w:tcW w:w="155"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0"/>
              <w:jc w:val="left"/>
              <w:rPr>
                <w:rFonts w:ascii="arial" w:hAnsi="arial"/>
                <w:sz w:val="18"/>
              </w:rPr>
            </w:pPr>
            <w:r>
              <w:rPr>
                <w:rFonts w:ascii="arial" w:hAnsi="arial"/>
                <w:sz w:val="18"/>
              </w:rPr>
              <w:t xml:space="preserve">Subject to election as a director. </w:t>
            </w:r>
          </w:p>
        </w:tc>
      </w:tr>
    </w:tbl>
    <w:p>
      <w:pPr>
        <w:pStyle w:val="TextBody"/>
        <w:bidi w:val="0"/>
        <w:spacing w:before="360" w:after="0"/>
        <w:jc w:val="left"/>
        <w:rPr>
          <w:rFonts w:ascii="arial" w:hAnsi="arial"/>
          <w:b/>
          <w:color w:val="CF0A2C"/>
          <w:sz w:val="28"/>
        </w:rPr>
      </w:pPr>
      <w:r>
        <w:rPr>
          <w:rFonts w:ascii="arial" w:hAnsi="arial"/>
          <w:b/>
          <w:color w:val="CF0A2C"/>
          <w:sz w:val="28"/>
        </w:rPr>
        <w:t xml:space="preserve">2025 Omnibus Incentive Compensation Plan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We are seeking approval of our 2025 Omnibus Incentive Compensation Plan (the “2025 Omnibus Plan”), which our Board of Directors adopted in February 2025, subject to stockholder approval. As of the date of this proxy statement, we have the 2024 Omnibus Incentive Compensation Plan (the “2024 Omnibus Plan”) in place. We are proposing adoption of the 2025 Omnibus Plan to replace the 2024 Omnibus Plan, which will also increase the number of shares authorized for issuance pursuant to our equity-based compensation plans. The 2025 Omnibus Plan is a critical part of our overall compensation program and is intended to promote the interests of Sabre and our stockholders by providing our employees and other service providers, who are responsible for the management, growth, and protection of our business, with incentives and rewards to encourage them to continue in the service of Sabre. The 2025 Omnibus Plan is designed to meet these objectives by providing these individuals with a proprietary interest aligned with the long-term growth, profitability, and financial success of Sabre. </w:t>
      </w:r>
    </w:p>
    <w:p>
      <w:pPr>
        <w:pStyle w:val="TextBody"/>
        <w:bidi w:val="0"/>
        <w:spacing w:before="240" w:after="0"/>
        <w:jc w:val="left"/>
        <w:rPr>
          <w:rFonts w:ascii="arial" w:hAnsi="arial"/>
          <w:sz w:val="22"/>
        </w:rPr>
      </w:pPr>
      <w:r>
        <w:rPr>
          <w:rFonts w:ascii="arial" w:hAnsi="arial"/>
          <w:sz w:val="22"/>
        </w:rPr>
        <w:t>The Board of Directors recommends that stockholders vote</w:t>
      </w:r>
      <w:r>
        <w:rPr>
          <w:rFonts w:ascii="arial" w:hAnsi="arial"/>
          <w:color w:val="CF0A2C"/>
          <w:sz w:val="22"/>
        </w:rPr>
        <w:t> </w:t>
      </w:r>
      <w:r>
        <w:rPr>
          <w:rFonts w:ascii="arial" w:hAnsi="arial"/>
          <w:b/>
          <w:color w:val="CF0A2C"/>
          <w:sz w:val="22"/>
        </w:rPr>
        <w:t>FOR</w:t>
      </w:r>
      <w:r>
        <w:rPr>
          <w:rFonts w:ascii="arial" w:hAnsi="arial"/>
          <w:sz w:val="22"/>
        </w:rPr>
        <w:t xml:space="preserve"> the approval of the 2025 Omnibus Plan.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6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02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SUMMARY 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r>
        <w:rPr>
          <w:rFonts w:ascii="arial" w:hAnsi="arial"/>
          <w:b/>
          <w:color w:val="CF0A2C"/>
          <w:sz w:val="28"/>
        </w:rPr>
        <w:t xml:space="preserve">Advisory, Non-Binding Vote on the Compensation of Our Named Executive Officers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Stockholders are asked to cast an advisory, non-binding vote on the compensation of our named executive officers, as described in “Compensation Discussion and Analysis” and the executive compensation tables following that section. This is often referred to as a “say-on-pay” proposal. </w:t>
      </w:r>
    </w:p>
    <w:p>
      <w:pPr>
        <w:pStyle w:val="TextBody"/>
        <w:bidi w:val="0"/>
        <w:spacing w:before="240" w:after="0"/>
        <w:jc w:val="left"/>
        <w:rPr>
          <w:rFonts w:ascii="arial" w:hAnsi="arial"/>
          <w:sz w:val="22"/>
        </w:rPr>
      </w:pPr>
      <w:r>
        <w:rPr>
          <w:rFonts w:ascii="arial" w:hAnsi="arial"/>
          <w:sz w:val="22"/>
        </w:rPr>
        <w:t>The Board of Directors recommends that stockholders vote</w:t>
      </w:r>
      <w:r>
        <w:rPr>
          <w:rFonts w:ascii="arial" w:hAnsi="arial"/>
          <w:color w:val="CF0A2C"/>
          <w:sz w:val="22"/>
        </w:rPr>
        <w:t> </w:t>
      </w:r>
      <w:r>
        <w:rPr>
          <w:rFonts w:ascii="arial" w:hAnsi="arial"/>
          <w:b/>
          <w:color w:val="CF0A2C"/>
          <w:sz w:val="22"/>
        </w:rPr>
        <w:t>FOR</w:t>
      </w:r>
      <w:r>
        <w:rPr>
          <w:rFonts w:ascii="arial" w:hAnsi="arial"/>
          <w:sz w:val="22"/>
        </w:rPr>
        <w:t xml:space="preserve"> the approval of the compensation of our named executive officers, as disclosed in this proxy statement pursuant to the SEC’s compensation disclosure rules.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377" w:type="dxa"/>
        <w:jc w:val="left"/>
        <w:tblInd w:w="0" w:type="dxa"/>
        <w:tblLayout w:type="fixed"/>
        <w:tblCellMar>
          <w:top w:w="0" w:type="dxa"/>
          <w:left w:w="0" w:type="dxa"/>
          <w:bottom w:w="0" w:type="dxa"/>
          <w:right w:w="0" w:type="dxa"/>
        </w:tblCellMar>
      </w:tblPr>
      <w:tblGrid>
        <w:gridCol w:w="2030"/>
        <w:gridCol w:w="60"/>
        <w:gridCol w:w="23"/>
        <w:gridCol w:w="60"/>
        <w:gridCol w:w="23"/>
        <w:gridCol w:w="60"/>
        <w:gridCol w:w="23"/>
        <w:gridCol w:w="60"/>
        <w:gridCol w:w="38"/>
      </w:tblGrid>
      <w:tr>
        <w:trPr/>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2480310" cy="6019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480310" cy="601980"/>
                    </a:xfrm>
                    <a:prstGeom prst="rect">
                      <a:avLst/>
                    </a:prstGeom>
                  </pic:spPr>
                </pic:pic>
              </a:graphicData>
            </a:graphic>
          </wp:inline>
        </w:drawing>
      </w:r>
      <w:r>
        <w:rPr/>
        <w:t xml:space="preserve"> </w:t>
      </w:r>
    </w:p>
    <w:p>
      <w:pPr>
        <w:pStyle w:val="TextBody"/>
        <w:bidi w:val="0"/>
        <w:spacing w:before="120" w:after="0"/>
        <w:jc w:val="left"/>
        <w:rPr>
          <w:rFonts w:ascii="arial" w:hAnsi="arial"/>
          <w:b/>
          <w:color w:val="CF0A2C"/>
          <w:sz w:val="44"/>
        </w:rPr>
      </w:pPr>
      <w:r>
        <w:rPr>
          <w:rFonts w:ascii="arial" w:hAnsi="arial"/>
          <w:b/>
          <w:color w:val="CF0A2C"/>
          <w:sz w:val="44"/>
        </w:rPr>
        <w:t xml:space="preserve">PROXY STATEMENT </w:t>
      </w:r>
    </w:p>
    <w:p>
      <w:pPr>
        <w:pStyle w:val="TextBody"/>
        <w:bidi w:val="0"/>
        <w:spacing w:before="240" w:after="0"/>
        <w:jc w:val="left"/>
        <w:rPr>
          <w:rFonts w:ascii="arial" w:hAnsi="arial"/>
          <w:b/>
          <w:sz w:val="44"/>
        </w:rPr>
      </w:pPr>
      <w:r>
        <w:rPr>
          <w:rFonts w:ascii="arial" w:hAnsi="arial"/>
          <w:b/>
          <w:sz w:val="44"/>
        </w:rPr>
        <w:t xml:space="preserve">for the Annual Meeting of Stockholders </w:t>
      </w:r>
    </w:p>
    <w:p>
      <w:pPr>
        <w:pStyle w:val="TextBody"/>
        <w:bidi w:val="0"/>
        <w:spacing w:before="0" w:after="0"/>
        <w:jc w:val="left"/>
        <w:rPr>
          <w:rFonts w:ascii="arial" w:hAnsi="arial"/>
          <w:b/>
          <w:sz w:val="44"/>
        </w:rPr>
      </w:pPr>
      <w:r>
        <w:rPr>
          <w:rFonts w:ascii="arial" w:hAnsi="arial"/>
          <w:b/>
          <w:sz w:val="44"/>
        </w:rPr>
        <w:t xml:space="preserve">to be held on April 23, 2025 </w:t>
      </w:r>
    </w:p>
    <w:p>
      <w:pPr>
        <w:pStyle w:val="TextBody"/>
        <w:bidi w:val="0"/>
        <w:spacing w:before="120" w:after="0"/>
        <w:jc w:val="left"/>
        <w:rPr>
          <w:rFonts w:ascii="arial" w:hAnsi="arial"/>
          <w:b/>
          <w:color w:val="CF0A2C"/>
          <w:sz w:val="44"/>
        </w:rPr>
      </w:pPr>
      <w:bookmarkStart w:id="4" w:name="tx888712_2"/>
      <w:bookmarkEnd w:id="4"/>
      <w:r>
        <w:rPr>
          <w:rFonts w:ascii="arial" w:hAnsi="arial"/>
          <w:b/>
          <w:color w:val="CF0A2C"/>
          <w:sz w:val="44"/>
        </w:rPr>
        <w:t xml:space="preserve">INFORMATION ABOUT OUR ANNUAL MEETING </w:t>
      </w:r>
    </w:p>
    <w:p>
      <w:pPr>
        <w:pStyle w:val="TextBody"/>
        <w:bidi w:val="0"/>
        <w:spacing w:before="240" w:after="0"/>
        <w:jc w:val="left"/>
        <w:rPr>
          <w:rFonts w:ascii="arial" w:hAnsi="arial"/>
          <w:b/>
          <w:color w:val="CF0A2C"/>
          <w:sz w:val="28"/>
        </w:rPr>
      </w:pPr>
      <w:bookmarkStart w:id="5" w:name="tx888712_3"/>
      <w:bookmarkEnd w:id="5"/>
      <w:r>
        <w:rPr>
          <w:rFonts w:ascii="arial" w:hAnsi="arial"/>
          <w:b/>
          <w:color w:val="CF0A2C"/>
          <w:sz w:val="28"/>
        </w:rPr>
        <w:t xml:space="preserve">Date and Time of Annual Meeting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Our 2025 Annual Meeting will be held on Wednesday, April 23, 2025, at 9:30 a.m. local time, at our Global Headquarters, 3150 Sabre Drive, Southlake, Texas 76092. </w:t>
      </w:r>
    </w:p>
    <w:p>
      <w:pPr>
        <w:pStyle w:val="TextBody"/>
        <w:bidi w:val="0"/>
        <w:spacing w:before="240" w:after="0"/>
        <w:jc w:val="left"/>
        <w:rPr>
          <w:rFonts w:ascii="arial" w:hAnsi="arial"/>
          <w:sz w:val="22"/>
        </w:rPr>
      </w:pPr>
      <w:r>
        <w:rPr>
          <w:rFonts w:ascii="arial" w:hAnsi="arial"/>
          <w:sz w:val="22"/>
        </w:rPr>
        <w:t xml:space="preserve">Only stockholders as of the record date and persons holding proxies from stockholders as of the record date may attend the Annual Meeting. If your shares are registered in your name, you must bring a form of government-issued photo identification to the Annual Meeting. If your shares are held in the name of a broker, trust, bank, or other nominee, otherwise known as holding in “street name,” you must bring a proxy or letter from that broker, trust, bank, or other nominee that confirms you are the beneficial owner of those shares, together with a form of government-issued photo identification, to the Annual Meeting. If you are a representative of an entity that owns shares, you must bring a form of government-issued photo identification, evidence that you are the entity’s authorized representative or proxyholder, and, if the entity holds the shares in street name, proof of the entity’s beneficial ownership to the Annual Meeting. If you are a proxyholder, you must bring a valid legal proxy and a form of government-issued photo identification to the Annual Meeting. Use of cameras and recording devices will not be permitted at the Annual Meeting. </w:t>
      </w:r>
    </w:p>
    <w:p>
      <w:pPr>
        <w:pStyle w:val="TextBody"/>
        <w:bidi w:val="0"/>
        <w:spacing w:before="360" w:after="0"/>
        <w:jc w:val="left"/>
        <w:rPr>
          <w:rFonts w:ascii="arial" w:hAnsi="arial"/>
          <w:b/>
          <w:color w:val="CF0A2C"/>
          <w:sz w:val="28"/>
        </w:rPr>
      </w:pPr>
      <w:bookmarkStart w:id="6" w:name="tx888712_4"/>
      <w:bookmarkEnd w:id="6"/>
      <w:r>
        <w:rPr>
          <w:rFonts w:ascii="arial" w:hAnsi="arial"/>
          <w:b/>
          <w:color w:val="CF0A2C"/>
          <w:sz w:val="28"/>
        </w:rPr>
        <w:t xml:space="preserve">Record Date; Mailing Date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Board of Directors established the close of business on February 24, 2025 as the record date for determining the holders of Sabre stock entitled to notice of and to vote at the Annual Meeting. </w:t>
      </w:r>
    </w:p>
    <w:p>
      <w:pPr>
        <w:pStyle w:val="TextBody"/>
        <w:bidi w:val="0"/>
        <w:spacing w:before="240" w:after="0"/>
        <w:jc w:val="left"/>
        <w:rPr>
          <w:rFonts w:ascii="arial" w:hAnsi="arial"/>
          <w:sz w:val="22"/>
        </w:rPr>
      </w:pPr>
      <w:r>
        <w:rPr>
          <w:rFonts w:ascii="arial" w:hAnsi="arial"/>
          <w:sz w:val="22"/>
        </w:rPr>
        <w:t xml:space="preserve">On the record date, 386,069,567 shares of our common stock were outstanding and entitled to vote at the Annual Meeting. Each share of common stock outstanding is entitled to one vote for each director nominee and one vote for each other item to be voted on at the Annual Meeting. </w:t>
      </w:r>
    </w:p>
    <w:p>
      <w:pPr>
        <w:pStyle w:val="TextBody"/>
        <w:bidi w:val="0"/>
        <w:spacing w:before="240" w:after="0"/>
        <w:jc w:val="left"/>
        <w:rPr>
          <w:rFonts w:ascii="arial" w:hAnsi="arial"/>
          <w:sz w:val="22"/>
        </w:rPr>
      </w:pPr>
      <w:r>
        <w:rPr>
          <w:rFonts w:ascii="arial" w:hAnsi="arial"/>
          <w:sz w:val="22"/>
        </w:rPr>
        <w:t xml:space="preserve">We are first mailing this proxy statement and the accompanying proxy materials to holders of Sabre common stock on or about March 13, 2025. </w:t>
      </w:r>
    </w:p>
    <w:p>
      <w:pPr>
        <w:pStyle w:val="TextBody"/>
        <w:bidi w:val="0"/>
        <w:spacing w:before="360" w:after="0"/>
        <w:jc w:val="left"/>
        <w:rPr>
          <w:rFonts w:ascii="arial" w:hAnsi="arial"/>
          <w:b/>
          <w:color w:val="CF0A2C"/>
          <w:sz w:val="28"/>
        </w:rPr>
      </w:pPr>
      <w:bookmarkStart w:id="7" w:name="tx888712_5"/>
      <w:bookmarkEnd w:id="7"/>
      <w:r>
        <w:rPr>
          <w:rFonts w:ascii="arial" w:hAnsi="arial"/>
          <w:b/>
          <w:color w:val="CF0A2C"/>
          <w:sz w:val="28"/>
        </w:rPr>
        <w:t xml:space="preserve">Notice of Electronic Availability of Proxy Statement and Annual Report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As permitted by rules of the Securities and Exchange Commission (“SEC”), we are making this proxy statement and our annual report available to our stockholders electronically via the Internet. This reduces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3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03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printing and delivery costs and supports our sustainability efforts. You may have received in the mail a “Notice of Electronic Availability” explaining how to access this proxy statement and our annual report on the Internet and how to vote online. If you received this Notice but would like to receive a paper copy of the proxy materials, you should follow the instructions contained in the Notice for requesting these materials. </w:t>
      </w:r>
    </w:p>
    <w:p>
      <w:pPr>
        <w:pStyle w:val="TextBody"/>
        <w:bidi w:val="0"/>
        <w:spacing w:before="360" w:after="0"/>
        <w:jc w:val="left"/>
        <w:rPr>
          <w:rFonts w:ascii="arial" w:hAnsi="arial"/>
          <w:b/>
          <w:color w:val="CF0A2C"/>
          <w:sz w:val="28"/>
        </w:rPr>
      </w:pPr>
      <w:bookmarkStart w:id="8" w:name="tx888712_6"/>
      <w:bookmarkEnd w:id="8"/>
      <w:r>
        <w:rPr>
          <w:rFonts w:ascii="arial" w:hAnsi="arial"/>
          <w:b/>
          <w:color w:val="CF0A2C"/>
          <w:sz w:val="28"/>
        </w:rPr>
        <w:t xml:space="preserve">How to Vote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You may direct how your shares are voted by proxy, without attending the Annual Meeting. The manner in which your shares may be voted by proxy depends on whether you are 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Registered stockholder</w:t>
            </w:r>
            <w:r>
              <w:rPr>
                <w:rFonts w:ascii="arial" w:hAnsi="arial"/>
                <w:sz w:val="22"/>
              </w:rPr>
              <w:t xml:space="preserve">. Your shares are represented by certificates or book entries in your name on the records of Sabre’s stock transfer agent, Equiniti Trust Company, LLC,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Beneficial stockholder</w:t>
            </w:r>
            <w:r>
              <w:rPr>
                <w:rFonts w:ascii="arial" w:hAnsi="arial"/>
                <w:sz w:val="22"/>
              </w:rPr>
              <w:t xml:space="preserve">. You hold your shares in “street name” through a broker, trust, bank, or other nominee. </w:t>
            </w:r>
          </w:p>
        </w:tc>
      </w:tr>
    </w:tbl>
    <w:p>
      <w:pPr>
        <w:pStyle w:val="TextBody"/>
        <w:bidi w:val="0"/>
        <w:spacing w:before="240" w:after="0"/>
        <w:jc w:val="left"/>
        <w:rPr>
          <w:rFonts w:ascii="arial" w:hAnsi="arial"/>
          <w:sz w:val="22"/>
        </w:rPr>
      </w:pPr>
      <w:r>
        <w:rPr>
          <w:rFonts w:ascii="arial" w:hAnsi="arial"/>
          <w:sz w:val="22"/>
        </w:rPr>
        <w:t xml:space="preserve">You may vote your shares by proxy in any of the following three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Using the Internet</w:t>
            </w:r>
            <w:r>
              <w:rPr>
                <w:rFonts w:ascii="arial" w:hAnsi="arial"/>
                <w:sz w:val="22"/>
              </w:rPr>
              <w:t xml:space="preserve">. Registered stockholders may submit their proxies using the Internet by going to </w:t>
            </w:r>
            <w:r>
              <w:rPr>
                <w:rFonts w:ascii="arial" w:hAnsi="arial"/>
                <w:sz w:val="22"/>
                <w:u w:val="single"/>
              </w:rPr>
              <w:t>www.proxypush.com/SABR</w:t>
            </w:r>
            <w:r>
              <w:rPr>
                <w:rFonts w:ascii="arial" w:hAnsi="arial"/>
                <w:sz w:val="22"/>
              </w:rPr>
              <w:t xml:space="preserve"> and following the instructions. Beneficial stockholders may submit their proxies by accessing the website specified on the voting instruction forms provided by their brokers, trusts, banks, or other nominees. You will be required to enter the control number that is included on the voting instruction form provided by your broker, trust, bank, or other nominee.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By Telephone</w:t>
            </w:r>
            <w:r>
              <w:rPr>
                <w:rFonts w:ascii="arial" w:hAnsi="arial"/>
                <w:sz w:val="22"/>
              </w:rPr>
              <w:t xml:space="preserve">. Registered stockholders may submit their proxies, from within the United States, using any touch-tone telephone by calling (866) 206-5104 and following the recorded instructions. Beneficial owners may submit their proxies, from within the United States, using any touch-tone telephone by calling the number specified on the voting instruction form provided by their brokers, trusts, banks or other nominees. You will be required to enter the control number that is included on the voting instruction form provided by your broker, trust, bank, or other nominee.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By Mail</w:t>
            </w:r>
            <w:r>
              <w:rPr>
                <w:rFonts w:ascii="arial" w:hAnsi="arial"/>
                <w:sz w:val="22"/>
              </w:rPr>
              <w:t xml:space="preserve">. Registered stockholders that received printed proxy materials may submit proxies by mail by marking, signing, and dating the printed proxy cards and mailing them in the accompanying postage-paid envelopes. Beneficial owners may submit their proxies by marking, signing, and dating the voting instruction forms provided by their brokers, trusts, banks, or other nominees and mailing them in the accompanying postage-paid envelopes. </w:t>
            </w:r>
          </w:p>
        </w:tc>
      </w:tr>
    </w:tbl>
    <w:p>
      <w:pPr>
        <w:pStyle w:val="TextBody"/>
        <w:bidi w:val="0"/>
        <w:spacing w:before="240" w:after="0"/>
        <w:jc w:val="left"/>
        <w:rPr>
          <w:rFonts w:ascii="arial" w:hAnsi="arial"/>
          <w:sz w:val="22"/>
        </w:rPr>
      </w:pPr>
      <w:r>
        <w:rPr>
          <w:rFonts w:ascii="arial" w:hAnsi="arial"/>
          <w:sz w:val="22"/>
        </w:rPr>
        <w:t xml:space="preserve">Please note that if you received a Notice of Electronic Availability, you cannot vote your shares by filling out and returning the Notice. Instead, you should follow the instructions contained in the Notice on how to submit a proxy by using the Internet or telephone. </w:t>
      </w:r>
    </w:p>
    <w:p>
      <w:pPr>
        <w:pStyle w:val="TextBody"/>
        <w:bidi w:val="0"/>
        <w:spacing w:before="240" w:after="0"/>
        <w:jc w:val="left"/>
        <w:rPr>
          <w:rFonts w:ascii="arial" w:hAnsi="arial"/>
          <w:sz w:val="22"/>
        </w:rPr>
      </w:pPr>
      <w:r>
        <w:rPr>
          <w:rFonts w:ascii="arial" w:hAnsi="arial"/>
          <w:sz w:val="22"/>
        </w:rPr>
        <w:t xml:space="preserve">All proxies properly submitted and not revoked will be voted at the Annual Meeting in accordance with the instructions indicated on the proxies. If you are a stockholder of record and submit your signed proxy voting instructions but do not direct how to vote on each item, the persons named as proxies will vote your shares as follows: </w:t>
      </w:r>
    </w:p>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125"/>
        <w:gridCol w:w="60"/>
        <w:gridCol w:w="71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arial" w:hAnsi="arial"/>
                <w:b/>
                <w:sz w:val="22"/>
              </w:rPr>
            </w:pPr>
            <w:r>
              <w:rPr>
                <w:rFonts w:ascii="arial" w:hAnsi="arial"/>
                <w:b/>
                <w:sz w:val="22"/>
              </w:rPr>
              <w:t xml:space="preserve">FOR the election of the ten directors named in this proxy statement,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125"/>
        <w:gridCol w:w="60"/>
        <w:gridCol w:w="7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b/>
                <w:sz w:val="22"/>
              </w:rPr>
            </w:pPr>
            <w:r>
              <w:rPr>
                <w:rFonts w:ascii="arial" w:hAnsi="arial"/>
                <w:b/>
                <w:sz w:val="22"/>
              </w:rPr>
              <w:t xml:space="preserve">FOR the ratification of the appointment of our independent auditors,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125"/>
        <w:gridCol w:w="60"/>
        <w:gridCol w:w="77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rFonts w:ascii="arial" w:hAnsi="arial"/>
                <w:b/>
                <w:sz w:val="22"/>
              </w:rPr>
            </w:pPr>
            <w:r>
              <w:rPr>
                <w:rFonts w:ascii="arial" w:hAnsi="arial"/>
                <w:b/>
                <w:sz w:val="22"/>
              </w:rPr>
              <w:t xml:space="preserve">FOR the approval of the 2025 Omnibus Incentive Compensation Plan, and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125"/>
        <w:gridCol w:w="60"/>
        <w:gridCol w:w="95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arial" w:hAnsi="arial"/>
                <w:b/>
                <w:sz w:val="22"/>
              </w:rPr>
            </w:pPr>
            <w:r>
              <w:rPr>
                <w:rFonts w:ascii="arial" w:hAnsi="arial"/>
                <w:b/>
                <w:sz w:val="22"/>
              </w:rPr>
              <w:t xml:space="preserve">FOR the advisory, non-binding vote on the compensation of our named executive officers. </w:t>
            </w:r>
          </w:p>
        </w:tc>
      </w:tr>
    </w:tbl>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377" w:type="dxa"/>
        <w:jc w:val="left"/>
        <w:tblInd w:w="0" w:type="dxa"/>
        <w:tblLayout w:type="fixed"/>
        <w:tblCellMar>
          <w:top w:w="0" w:type="dxa"/>
          <w:left w:w="0" w:type="dxa"/>
          <w:bottom w:w="0" w:type="dxa"/>
          <w:right w:w="0" w:type="dxa"/>
        </w:tblCellMar>
      </w:tblPr>
      <w:tblGrid>
        <w:gridCol w:w="2030"/>
        <w:gridCol w:w="60"/>
        <w:gridCol w:w="23"/>
        <w:gridCol w:w="60"/>
        <w:gridCol w:w="23"/>
        <w:gridCol w:w="60"/>
        <w:gridCol w:w="23"/>
        <w:gridCol w:w="60"/>
        <w:gridCol w:w="38"/>
      </w:tblGrid>
      <w:tr>
        <w:trPr/>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You may also vote in person at the Annual Meeting. Votes in person will replace any previous votes you have made by mail, telephone, or the Internet. We will provide a ballot to registered stockholders who request one at the meeting. Shares held in your name as the stockholder of record may be voted on that ballot. Shares held beneficially in street name may be voted on a ballot only if you bring a legal proxy from the broker, trust, bank, or other nominee that holds your shares giving you the right to vote the shares. Attendance at the Annual Meeting without voting or revoking a previous proxy in accordance with the voting procedures will not in and of itself revoke a previously submitted proxy. </w:t>
      </w:r>
    </w:p>
    <w:p>
      <w:pPr>
        <w:pStyle w:val="TextBody"/>
        <w:bidi w:val="0"/>
        <w:spacing w:before="360" w:after="0"/>
        <w:jc w:val="left"/>
        <w:rPr>
          <w:rFonts w:ascii="arial" w:hAnsi="arial"/>
          <w:b/>
          <w:color w:val="CF0A2C"/>
          <w:sz w:val="28"/>
        </w:rPr>
      </w:pPr>
      <w:bookmarkStart w:id="9" w:name="tx888712_7"/>
      <w:bookmarkEnd w:id="9"/>
      <w:r>
        <w:rPr>
          <w:rFonts w:ascii="arial" w:hAnsi="arial"/>
          <w:b/>
          <w:color w:val="CF0A2C"/>
          <w:sz w:val="28"/>
        </w:rPr>
        <w:t xml:space="preserve">How to Revoke Your Vote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Any stockholder of record submitting a proxy has the power to revoke the proxy at any time prior to its exercise by (1) submitting a new proxy with a later date or time, including a proxy given over the Internet or by telephone, (2) notifying our Corporate Secretary at 3150 Sabre Drive, Southlake, Texas 76092 in writing, which notice must be received by the Corporate Secretary before the meeting, or (3) voting during the Annual Meeting. </w:t>
      </w:r>
    </w:p>
    <w:p>
      <w:pPr>
        <w:pStyle w:val="TextBody"/>
        <w:bidi w:val="0"/>
        <w:spacing w:before="240" w:after="0"/>
        <w:jc w:val="left"/>
        <w:rPr>
          <w:rFonts w:ascii="arial" w:hAnsi="arial"/>
          <w:sz w:val="22"/>
        </w:rPr>
      </w:pPr>
      <w:r>
        <w:rPr>
          <w:rFonts w:ascii="arial" w:hAnsi="arial"/>
          <w:sz w:val="22"/>
        </w:rPr>
        <w:t xml:space="preserve">If you are a beneficial stockholder, you may revoke your proxy or change your vote only by following the separate instructions provided by your broker, trust, bank, or other nominee. </w:t>
      </w:r>
    </w:p>
    <w:p>
      <w:pPr>
        <w:pStyle w:val="TextBody"/>
        <w:bidi w:val="0"/>
        <w:spacing w:before="360" w:after="0"/>
        <w:jc w:val="left"/>
        <w:rPr>
          <w:rFonts w:ascii="arial" w:hAnsi="arial"/>
          <w:b/>
          <w:color w:val="CF0A2C"/>
          <w:sz w:val="28"/>
        </w:rPr>
      </w:pPr>
      <w:bookmarkStart w:id="10" w:name="tx888712_8"/>
      <w:bookmarkEnd w:id="10"/>
      <w:r>
        <w:rPr>
          <w:rFonts w:ascii="arial" w:hAnsi="arial"/>
          <w:b/>
          <w:color w:val="CF0A2C"/>
          <w:sz w:val="28"/>
        </w:rPr>
        <w:t xml:space="preserve">Quorum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Transaction of business at the Annual Meeting may occur if a quorum is present. The presence at the Annual Meeting, in person or by proxy, of the holders of a majority in voting power of the outstanding shares of capital stock entitled to be voted at the meeting, present in person or by proxy, constitutes a quorum. If a quorum is not reached, the Annual Meeting will be adjourned until a later time. </w:t>
      </w:r>
    </w:p>
    <w:p>
      <w:pPr>
        <w:pStyle w:val="TextBody"/>
        <w:bidi w:val="0"/>
        <w:spacing w:before="360" w:after="0"/>
        <w:jc w:val="left"/>
        <w:rPr>
          <w:rFonts w:ascii="arial" w:hAnsi="arial"/>
          <w:b/>
          <w:color w:val="CF0A2C"/>
          <w:sz w:val="28"/>
        </w:rPr>
      </w:pPr>
      <w:bookmarkStart w:id="11" w:name="tx888712_9"/>
      <w:bookmarkEnd w:id="11"/>
      <w:r>
        <w:rPr>
          <w:rFonts w:ascii="arial" w:hAnsi="arial"/>
          <w:b/>
          <w:color w:val="CF0A2C"/>
          <w:sz w:val="28"/>
        </w:rPr>
        <w:t xml:space="preserve">Votes Required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b/>
          <w:i/>
          <w:sz w:val="22"/>
        </w:rPr>
        <w:t>Item 1: Election of Directors</w:t>
      </w:r>
      <w:r>
        <w:rPr>
          <w:rFonts w:ascii="arial" w:hAnsi="arial"/>
          <w:sz w:val="22"/>
        </w:rPr>
        <w:t xml:space="preserve">. The election of each director will be determined by the vote of a majority of the votes cast with respect to that director’s election, requiring the number of votes cast “for” a director’s election to exceed the number of votes cast “against” that director. </w:t>
      </w:r>
    </w:p>
    <w:p>
      <w:pPr>
        <w:pStyle w:val="TextBody"/>
        <w:bidi w:val="0"/>
        <w:spacing w:before="240" w:after="0"/>
        <w:jc w:val="left"/>
        <w:rPr>
          <w:rFonts w:ascii="arial" w:hAnsi="arial"/>
          <w:sz w:val="22"/>
        </w:rPr>
      </w:pPr>
      <w:r>
        <w:rPr>
          <w:rFonts w:ascii="arial" w:hAnsi="arial"/>
          <w:b/>
          <w:i/>
          <w:sz w:val="22"/>
        </w:rPr>
        <w:t>Item 2: Ratification of the Appointment of Our Independent Auditors</w:t>
      </w:r>
      <w:r>
        <w:rPr>
          <w:rFonts w:ascii="arial" w:hAnsi="arial"/>
          <w:i/>
          <w:sz w:val="22"/>
        </w:rPr>
        <w:t>.</w:t>
      </w:r>
      <w:r>
        <w:rPr>
          <w:rFonts w:ascii="arial" w:hAnsi="arial"/>
          <w:sz w:val="22"/>
        </w:rPr>
        <w:t xml:space="preserve"> The affirmative vote of the holders of not less than a majority of the voting power of the outstanding common stock entitled to vote on the matter and present, in person or by proxy, at the meeting is required. </w:t>
      </w:r>
    </w:p>
    <w:p>
      <w:pPr>
        <w:pStyle w:val="TextBody"/>
        <w:bidi w:val="0"/>
        <w:spacing w:before="240" w:after="0"/>
        <w:jc w:val="left"/>
        <w:rPr>
          <w:rFonts w:ascii="arial" w:hAnsi="arial"/>
          <w:sz w:val="22"/>
        </w:rPr>
      </w:pPr>
      <w:r>
        <w:rPr>
          <w:rFonts w:ascii="arial" w:hAnsi="arial"/>
          <w:b/>
          <w:i/>
          <w:sz w:val="22"/>
        </w:rPr>
        <w:t>Item 3: Approval of the 2025 Omnibus Plan</w:t>
      </w:r>
      <w:r>
        <w:rPr>
          <w:rFonts w:ascii="arial" w:hAnsi="arial"/>
          <w:sz w:val="22"/>
        </w:rPr>
        <w:t xml:space="preserve">. The vote of a majority of the votes cast on the matter is required. </w:t>
      </w:r>
    </w:p>
    <w:p>
      <w:pPr>
        <w:pStyle w:val="TextBody"/>
        <w:bidi w:val="0"/>
        <w:spacing w:before="240" w:after="0"/>
        <w:jc w:val="left"/>
        <w:rPr>
          <w:rFonts w:ascii="arial" w:hAnsi="arial"/>
          <w:sz w:val="22"/>
        </w:rPr>
      </w:pPr>
      <w:r>
        <w:rPr>
          <w:rFonts w:ascii="arial" w:hAnsi="arial"/>
          <w:b/>
          <w:i/>
          <w:sz w:val="22"/>
        </w:rPr>
        <w:t>Item 4: Advisory,</w:t>
      </w:r>
      <w:r>
        <w:rPr>
          <w:rFonts w:ascii="arial" w:hAnsi="arial"/>
          <w:sz w:val="22"/>
        </w:rPr>
        <w:t> </w:t>
      </w:r>
      <w:r>
        <w:rPr>
          <w:rFonts w:ascii="arial" w:hAnsi="arial"/>
          <w:b/>
          <w:i/>
          <w:sz w:val="22"/>
        </w:rPr>
        <w:t>Non-binding</w:t>
      </w:r>
      <w:r>
        <w:rPr>
          <w:rFonts w:ascii="arial" w:hAnsi="arial"/>
          <w:sz w:val="22"/>
        </w:rPr>
        <w:t> </w:t>
      </w:r>
      <w:r>
        <w:rPr>
          <w:rFonts w:ascii="arial" w:hAnsi="arial"/>
          <w:b/>
          <w:i/>
          <w:sz w:val="22"/>
        </w:rPr>
        <w:t>Vote on the Compensation of Our Named Executive Officers</w:t>
      </w:r>
      <w:r>
        <w:rPr>
          <w:rFonts w:ascii="arial" w:hAnsi="arial"/>
          <w:sz w:val="22"/>
        </w:rPr>
        <w:t xml:space="preserve">. The affirmative vote of the holders of not less than a majority of the voting power of the outstanding common stock entitled to vote on the matter and present, in person or by proxy, at the meeting is required. </w:t>
      </w:r>
    </w:p>
    <w:p>
      <w:pPr>
        <w:pStyle w:val="TextBody"/>
        <w:bidi w:val="0"/>
        <w:spacing w:before="360" w:after="0"/>
        <w:jc w:val="left"/>
        <w:rPr>
          <w:rFonts w:ascii="arial" w:hAnsi="arial"/>
          <w:b/>
          <w:color w:val="CF0A2C"/>
          <w:sz w:val="28"/>
        </w:rPr>
      </w:pPr>
      <w:bookmarkStart w:id="12" w:name="tx888712_10"/>
      <w:bookmarkEnd w:id="12"/>
      <w:r>
        <w:rPr>
          <w:rFonts w:ascii="arial" w:hAnsi="arial"/>
          <w:b/>
          <w:color w:val="CF0A2C"/>
          <w:sz w:val="28"/>
        </w:rPr>
        <w:t xml:space="preserve">Abstentions and Broker Non-Votes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Abstentions and broker non-votes are counted as present and entitled to vote for purposes of determining a quorum. For Item 1, because the election of each director requires a majority of votes cast, abstentions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75"/>
        <w:gridCol w:w="60"/>
        <w:gridCol w:w="14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left"/>
              <w:rPr>
                <w:b/>
                <w:color w:val="666666"/>
              </w:rPr>
            </w:pPr>
            <w:r>
              <w:rPr>
                <w:b/>
                <w:color w:val="666666"/>
              </w:rPr>
              <w:t>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3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03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PROXY STATEMENT 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and broker non-votes will have no effect on the outcome of the vote. For Item 2, because the affirmative vote of the holders of a majority of the shares present and entitled to vote on the matter is required for approval, abstentions will be counted as votes against this proposal, and, because this is a routine matter where brokers that do not receive voting instructions from the record holder may vote in their discretion, we expect that there will be no broker non-votes on this matter (but, if there are any broker non-votes, they will have no effect on the matter). For Item 3, abstentions and broker non-votes will have no effect on the outcome of the vote. For Item 4, abstentions will have the effect of a vote against and broker non-votes will have no effect on the matter. </w:t>
      </w:r>
    </w:p>
    <w:p>
      <w:pPr>
        <w:pStyle w:val="TextBody"/>
        <w:bidi w:val="0"/>
        <w:spacing w:before="240" w:after="0"/>
        <w:jc w:val="left"/>
        <w:rPr>
          <w:rFonts w:ascii="arial" w:hAnsi="arial"/>
          <w:sz w:val="22"/>
        </w:rPr>
      </w:pPr>
      <w:r>
        <w:rPr>
          <w:rFonts w:ascii="arial" w:hAnsi="arial"/>
          <w:sz w:val="22"/>
        </w:rPr>
        <w:t xml:space="preserve">If you hold Sabre shares in street name, you must provide your broker, bank, or other holder of record with instructions in order to vote these shares. If you do not provide these voting instructions, whether your shares can be voted by your bank, broker, or other nominee depends on the type of item being considered for a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Non-Discretionary Items</w:t>
            </w:r>
            <w:r>
              <w:rPr>
                <w:rFonts w:ascii="arial" w:hAnsi="arial"/>
                <w:sz w:val="22"/>
              </w:rPr>
              <w:t xml:space="preserve">. The election of directors, the approval of the 2025 Omnibus Plan, and the advisory, non-binding vote on the compensation of our named executive officers are non-discretionary items and may NOT be voted on by your broker, bank, or other nominee absent specific voting instructions from you.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Discretionary Item</w:t>
            </w:r>
            <w:r>
              <w:rPr>
                <w:rFonts w:ascii="arial" w:hAnsi="arial"/>
                <w:sz w:val="22"/>
              </w:rPr>
              <w:t xml:space="preserve">. The ratification of Ernst &amp; Young LLP as Sabre’s independent registered public accounting firm for the fiscal year ending December 31, 2025 is a discretionary item. Generally, brokers, banks, and other nominees that do not receive voting instructions may vote on this proposal in their discretion. </w:t>
            </w:r>
          </w:p>
        </w:tc>
      </w:tr>
    </w:tbl>
    <w:p>
      <w:pPr>
        <w:pStyle w:val="TextBody"/>
        <w:bidi w:val="0"/>
        <w:spacing w:before="360" w:after="0"/>
        <w:jc w:val="left"/>
        <w:rPr>
          <w:rFonts w:ascii="arial" w:hAnsi="arial"/>
          <w:b/>
          <w:color w:val="CF0A2C"/>
          <w:sz w:val="28"/>
        </w:rPr>
      </w:pPr>
      <w:bookmarkStart w:id="13" w:name="tx888712_11"/>
      <w:bookmarkEnd w:id="13"/>
      <w:r>
        <w:rPr>
          <w:rFonts w:ascii="arial" w:hAnsi="arial"/>
          <w:b/>
          <w:color w:val="CF0A2C"/>
          <w:sz w:val="28"/>
        </w:rPr>
        <w:t xml:space="preserve">Solicitation of Proxies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This solicitation is being made by our Board of Directors. We will bear all costs of this proxy solicitation, including the cost of preparing, printing, and delivering materials, the cost of the proxy solicitation, and the expenses of brokers, fiduciaries, and other nominees who forward proxy materials to stockholders. In addition to mail and electronic means, our employees may solicit proxies by telephone or otherwise. In addition, we may enlist the help of banks, brokers, broker-dealers, and similar organizations in soliciting proxies from their customers (</w:t>
      </w:r>
      <w:r>
        <w:rPr>
          <w:rFonts w:ascii="arial" w:hAnsi="arial"/>
          <w:i/>
          <w:sz w:val="22"/>
        </w:rPr>
        <w:t>i.e.</w:t>
      </w:r>
      <w:r>
        <w:rPr>
          <w:rFonts w:ascii="arial" w:hAnsi="arial"/>
          <w:sz w:val="22"/>
        </w:rPr>
        <w:t xml:space="preserve">, beneficial stockholders). We have retained Alliance Advisors, LLC to aid in the solicitation at a cost of approximately $25,000 plus reimbursement of out-of-pocket expenses. </w:t>
      </w:r>
    </w:p>
    <w:p>
      <w:pPr>
        <w:pStyle w:val="TextBody"/>
        <w:bidi w:val="0"/>
        <w:spacing w:before="360" w:after="0"/>
        <w:jc w:val="left"/>
        <w:rPr>
          <w:rFonts w:ascii="arial" w:hAnsi="arial"/>
          <w:b/>
          <w:color w:val="CF0A2C"/>
          <w:sz w:val="28"/>
        </w:rPr>
      </w:pPr>
      <w:bookmarkStart w:id="14" w:name="tx888712_12"/>
      <w:bookmarkEnd w:id="14"/>
      <w:r>
        <w:rPr>
          <w:rFonts w:ascii="arial" w:hAnsi="arial"/>
          <w:b/>
          <w:color w:val="CF0A2C"/>
          <w:sz w:val="28"/>
        </w:rPr>
        <w:t xml:space="preserve">Other Business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Board of Directors does not presently intend to bring any business before the Annual Meeting other than the proposals discussed in this proxy statement and specified in the Notice of Annual Meeting of Stockholders. If any other matters should properly come before the Annual Meeting, the persons designated in the proxy will vote on them according to their best judgment. </w:t>
      </w:r>
    </w:p>
    <w:p>
      <w:pPr>
        <w:pStyle w:val="TextBody"/>
        <w:bidi w:val="0"/>
        <w:spacing w:before="240" w:after="0"/>
        <w:jc w:val="left"/>
        <w:rPr>
          <w:rFonts w:ascii="arial" w:hAnsi="arial"/>
          <w:b/>
          <w:sz w:val="22"/>
        </w:rPr>
      </w:pPr>
      <w:r>
        <w:rPr>
          <w:rFonts w:ascii="arial" w:hAnsi="arial"/>
          <w:b/>
          <w:sz w:val="22"/>
        </w:rPr>
        <w:t xml:space="preserve">Your vote is very important. Whether or not you plan to attend the Annual Meeting, please take the time to submit your proxy via the Internet, by telephone, or by returning your marked, signed, and dated proxy card so that your shares will be represented at the Annual Meeting. </w:t>
      </w:r>
    </w:p>
    <w:p>
      <w:pPr>
        <w:pStyle w:val="TextBody"/>
        <w:bidi w:val="0"/>
        <w:spacing w:before="0" w:after="0"/>
        <w:jc w:val="left"/>
        <w:rPr/>
      </w:pPr>
      <w:r>
        <w:rPr/>
        <w:t> </w:t>
      </w:r>
    </w:p>
    <w:tbl>
      <w:tblPr>
        <w:tblW w:w="642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140" w:type="dxa"/>
            <w:tcBorders/>
            <w:vAlign w:val="center"/>
          </w:tcPr>
          <w:p>
            <w:pPr>
              <w:pStyle w:val="TableContents"/>
              <w:bidi w:val="0"/>
              <w:spacing w:before="0" w:after="283"/>
              <w:jc w:val="right"/>
              <w:rPr>
                <w:b/>
                <w:color w:val="666666"/>
              </w:rPr>
            </w:pPr>
            <w:r>
              <w:rPr>
                <w:b/>
                <w:color w:val="666666"/>
              </w:rPr>
              <w:t>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15" w:name="tx888712_13"/>
      <w:bookmarkEnd w:id="15"/>
      <w:r>
        <w:rPr>
          <w:rFonts w:ascii="arial" w:hAnsi="arial"/>
          <w:b/>
          <w:color w:val="CF0A2C"/>
          <w:sz w:val="44"/>
        </w:rPr>
        <w:t xml:space="preserve">CORPORATE GOVERNANCE </w:t>
      </w:r>
    </w:p>
    <w:p>
      <w:pPr>
        <w:pStyle w:val="TextBody"/>
        <w:bidi w:val="0"/>
        <w:spacing w:before="240" w:after="0"/>
        <w:jc w:val="left"/>
        <w:rPr>
          <w:rFonts w:ascii="arial" w:hAnsi="arial"/>
          <w:b/>
          <w:color w:val="CF0A2C"/>
          <w:sz w:val="28"/>
        </w:rPr>
      </w:pPr>
      <w:bookmarkStart w:id="16" w:name="tx888712_14"/>
      <w:bookmarkEnd w:id="16"/>
      <w:r>
        <w:rPr>
          <w:rFonts w:ascii="arial" w:hAnsi="arial"/>
          <w:b/>
          <w:color w:val="CF0A2C"/>
          <w:sz w:val="28"/>
        </w:rPr>
        <w:t xml:space="preserve">Corporate Governance Guidelines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Board of Directors has adopted Corporate Governance Guidelines, which govern the Board of Directors’ structure and proceedings and contain its position on many governance issues. These Guidelines are available on the investor relations section of our website at </w:t>
      </w:r>
      <w:r>
        <w:rPr>
          <w:rFonts w:ascii="arial" w:hAnsi="arial"/>
          <w:sz w:val="22"/>
          <w:u w:val="single"/>
        </w:rPr>
        <w:t>investors.sabre.com</w:t>
      </w:r>
      <w:r>
        <w:rPr>
          <w:rFonts w:ascii="arial" w:hAnsi="arial"/>
          <w:sz w:val="22"/>
        </w:rPr>
        <w:t xml:space="preserve">. </w:t>
      </w:r>
    </w:p>
    <w:p>
      <w:pPr>
        <w:pStyle w:val="TextBody"/>
        <w:bidi w:val="0"/>
        <w:spacing w:before="240" w:after="0"/>
        <w:jc w:val="left"/>
        <w:rPr>
          <w:rFonts w:ascii="arial" w:hAnsi="arial"/>
          <w:b/>
          <w:color w:val="CF0A2C"/>
          <w:sz w:val="28"/>
        </w:rPr>
      </w:pPr>
      <w:bookmarkStart w:id="17" w:name="tx888712_15"/>
      <w:bookmarkEnd w:id="17"/>
      <w:r>
        <w:rPr>
          <w:rFonts w:ascii="arial" w:hAnsi="arial"/>
          <w:b/>
          <w:color w:val="CF0A2C"/>
          <w:sz w:val="28"/>
        </w:rPr>
        <w:t xml:space="preserve">Board Leadership Structure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Our Corporate Governance Guidelines provide that our Board of Directors has the right to exercise its discretion to either separate or combine the offices of the Chair of the Board and the CEO. This decision is based upon the Board of Directors’ determination of what is in the best interests of Sabre and its stockholders, in light of the circumstances and taking into consideration succession planning, skills, and experience of the individuals filling those positions and other relevant factors. </w:t>
      </w:r>
    </w:p>
    <w:p>
      <w:pPr>
        <w:pStyle w:val="TextBody"/>
        <w:bidi w:val="0"/>
        <w:spacing w:before="240" w:after="0"/>
        <w:jc w:val="left"/>
        <w:rPr>
          <w:rFonts w:ascii="arial" w:hAnsi="arial"/>
          <w:sz w:val="22"/>
        </w:rPr>
      </w:pPr>
      <w:r>
        <w:rPr>
          <w:rFonts w:ascii="arial" w:hAnsi="arial"/>
          <w:sz w:val="22"/>
        </w:rPr>
        <w:t xml:space="preserve">The leadership structure as of the date of this proxy statement is based on the leadership provided by a non-executive Chair of the Board (Ms. Mandel as of the date of this proxy statement), with this position being subject to oversight and review by Sabre’s Board of Directors. The Board of Directors recognizes that, if circumstances change in the future, other leadership structures might also be appropriate, and it has the discretion to revisit this determination of Sabre’s leadership structure. </w:t>
      </w:r>
    </w:p>
    <w:p>
      <w:pPr>
        <w:pStyle w:val="TextBody"/>
        <w:bidi w:val="0"/>
        <w:spacing w:before="240" w:after="0"/>
        <w:jc w:val="left"/>
        <w:rPr>
          <w:rFonts w:ascii="arial" w:hAnsi="arial"/>
          <w:sz w:val="22"/>
        </w:rPr>
      </w:pPr>
      <w:r>
        <w:rPr>
          <w:rFonts w:ascii="arial" w:hAnsi="arial"/>
          <w:sz w:val="22"/>
        </w:rPr>
        <w:t xml:space="preserve">Ms. Mandel has served as non-executive Chair of the Board since April 24, 2024. As non-executive Chair of the Board, Ms. Mandel’s duties include: </w:t>
      </w:r>
    </w:p>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125"/>
        <w:gridCol w:w="60"/>
        <w:gridCol w:w="46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arial" w:hAnsi="arial"/>
                <w:sz w:val="22"/>
              </w:rPr>
            </w:pPr>
            <w:r>
              <w:rPr>
                <w:rFonts w:ascii="arial" w:hAnsi="arial"/>
                <w:sz w:val="22"/>
              </w:rPr>
              <w:t xml:space="preserve">leading and overseeing the Board of Directors,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125"/>
        <w:gridCol w:w="60"/>
        <w:gridCol w:w="70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arial" w:hAnsi="arial"/>
                <w:sz w:val="22"/>
              </w:rPr>
            </w:pPr>
            <w:r>
              <w:rPr>
                <w:rFonts w:ascii="arial" w:hAnsi="arial"/>
                <w:sz w:val="22"/>
              </w:rPr>
              <w:t xml:space="preserve">presiding at all meetings of the Board of Directors and the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establishing, in consultation with the CEO (and any other executive officers as needed), the schedule and agendas for meetings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defining the scope, quality, quantity, and timeliness of the flow of information between management and the Board of Directors, including meeting materials, that is necessary for the Board of Directors to effectively and responsibly perform its duties,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advising the Board committee chairs in fulfilling their designated roles and responsibilities to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facilitating discussions among directors both during and between Board meetings and serving as a liaison between the Board of Directors and the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advising the CEO on strategic matters, including regular discussions on key acquisitions, divestitures, significant company developments, and other items requiring Board approval or oversight,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developing the agenda for and presiding over Board executive sessions, as well as providing feedback and perspective to the CEO regarding discussions at these sessions and working with the CEO to address any feedback,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overseeing the Board of Directors’ review and approval of the CEO’s annual goals and objectives for Sabre,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125"/>
        <w:gridCol w:w="60"/>
        <w:gridCol w:w="78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arial" w:hAnsi="arial"/>
                <w:sz w:val="22"/>
              </w:rPr>
            </w:pPr>
            <w:r>
              <w:rPr>
                <w:rFonts w:ascii="arial" w:hAnsi="arial"/>
                <w:sz w:val="22"/>
              </w:rPr>
              <w:t xml:space="preserve">leading the Board of Directors in the annual performance evaluation of the CEO,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125"/>
        <w:gridCol w:w="60"/>
        <w:gridCol w:w="82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arial" w:hAnsi="arial"/>
                <w:sz w:val="22"/>
              </w:rPr>
            </w:pPr>
            <w:r>
              <w:rPr>
                <w:rFonts w:ascii="arial" w:hAnsi="arial"/>
                <w:sz w:val="22"/>
              </w:rPr>
              <w:t xml:space="preserve">leading the Board of Directors in CEO and senior management succession planning,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managing the Board of Directors’ oversight and approval of Sabre’s annual plan and multi-year outlook,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managing, in coordination with the Compensation Committee, the Board of Directors’ oversight of company-wide talent management and diversity,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managing the Board of Directors’ oversight of risks and conflicts of interest, including ensuring appropriate ownership by the full Board of Directors or an appropriate Board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leading the annual Board of Directors’ evaluation and, in coordination with the Nominating and Governance Committee, overseeing the process for Board committee evaluations,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125"/>
        <w:gridCol w:w="60"/>
        <w:gridCol w:w="52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arial" w:hAnsi="arial"/>
                <w:sz w:val="22"/>
              </w:rPr>
            </w:pPr>
            <w:r>
              <w:rPr>
                <w:rFonts w:ascii="arial" w:hAnsi="arial"/>
                <w:sz w:val="22"/>
              </w:rPr>
              <w:t xml:space="preserve">chairing the Nominating and Governance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working with the Nominating and Governance Committee regarding recommendations for Board committee service, including chairing Board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interviewing, along with appropriate members of the Nominating and Governance Committee, all Board of Directors candidates and making recommendations to the Nominating and Governance Committee and the Board of Directors regarding these candidates,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125"/>
        <w:gridCol w:w="60"/>
        <w:gridCol w:w="58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arial" w:hAnsi="arial"/>
                <w:sz w:val="22"/>
              </w:rPr>
            </w:pPr>
            <w:r>
              <w:rPr>
                <w:rFonts w:ascii="arial" w:hAnsi="arial"/>
                <w:sz w:val="22"/>
              </w:rPr>
              <w:t xml:space="preserve">consulting with stockholders, in coordination with the CEO,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125"/>
        <w:gridCol w:w="60"/>
        <w:gridCol w:w="85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arial" w:hAnsi="arial"/>
                <w:sz w:val="22"/>
              </w:rPr>
            </w:pPr>
            <w:r>
              <w:rPr>
                <w:rFonts w:ascii="arial" w:hAnsi="arial"/>
                <w:sz w:val="22"/>
              </w:rPr>
              <w:t xml:space="preserve">approving the retention of consultants who report directly to the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assuming such other responsibilities that the Board of Directors or the CEO may designate from time to time.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18" w:name="tx888712_16"/>
      <w:bookmarkEnd w:id="18"/>
      <w:r>
        <w:rPr>
          <w:rFonts w:ascii="arial" w:hAnsi="arial"/>
          <w:b/>
          <w:color w:val="CF0A2C"/>
          <w:sz w:val="28"/>
        </w:rPr>
        <w:t xml:space="preserve">Overview of Board Composition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following charts provide a snapshot of the Board of Directors’ composition as of the date of this proxy statement.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3995"/>
        <w:gridCol w:w="60"/>
        <w:gridCol w:w="3995"/>
      </w:tblGrid>
      <w:tr>
        <w:trPr/>
        <w:tc>
          <w:tcPr>
            <w:tcW w:w="3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center"/>
          </w:tcPr>
          <w:p>
            <w:pPr>
              <w:pStyle w:val="TableContents"/>
              <w:bidi w:val="0"/>
              <w:spacing w:before="0" w:after="283"/>
              <w:jc w:val="center"/>
              <w:rPr/>
            </w:pPr>
            <w:r>
              <w:rPr/>
              <w:drawing>
                <wp:inline distT="0" distB="0" distL="0" distR="0">
                  <wp:extent cx="2489200" cy="213487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489200" cy="2134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center"/>
              <w:rPr/>
            </w:pPr>
            <w:r>
              <w:rPr/>
              <w:drawing>
                <wp:inline distT="0" distB="0" distL="0" distR="0">
                  <wp:extent cx="2489200" cy="213487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489200" cy="2134870"/>
                          </a:xfrm>
                          <a:prstGeom prst="rect">
                            <a:avLst/>
                          </a:prstGeom>
                        </pic:spPr>
                      </pic:pic>
                    </a:graphicData>
                  </a:graphic>
                </wp:inline>
              </w:drawing>
            </w:r>
            <w:r>
              <w:rPr/>
              <w:t xml:space="preserve"> </w:t>
            </w:r>
          </w:p>
        </w:tc>
      </w:tr>
      <w:tr>
        <w:trPr/>
        <w:tc>
          <w:tcPr>
            <w:tcW w:w="3995" w:type="dxa"/>
            <w:tcBorders/>
            <w:vAlign w:val="center"/>
          </w:tcPr>
          <w:p>
            <w:pPr>
              <w:pStyle w:val="TableContents"/>
              <w:bidi w:val="0"/>
              <w:spacing w:before="0" w:after="283"/>
              <w:jc w:val="center"/>
              <w:rPr/>
            </w:pPr>
            <w:r>
              <w:rPr/>
              <w:drawing>
                <wp:inline distT="0" distB="0" distL="0" distR="0">
                  <wp:extent cx="2489200" cy="213487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489200" cy="2134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center"/>
              <w:rPr/>
            </w:pPr>
            <w:r>
              <w:rPr/>
              <w:drawing>
                <wp:inline distT="0" distB="0" distL="0" distR="0">
                  <wp:extent cx="2488565" cy="213423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488565" cy="2134235"/>
                          </a:xfrm>
                          <a:prstGeom prst="rect">
                            <a:avLst/>
                          </a:prstGeom>
                        </pic:spPr>
                      </pic:pic>
                    </a:graphicData>
                  </a:graphic>
                </wp:inline>
              </w:drawing>
            </w:r>
            <w:r>
              <w:rPr/>
              <w:t xml:space="preserve"> </w:t>
            </w:r>
          </w:p>
        </w:tc>
      </w:tr>
    </w:tbl>
    <w:p>
      <w:pPr>
        <w:pStyle w:val="TextBody"/>
        <w:bidi w:val="0"/>
        <w:spacing w:before="240" w:after="0"/>
        <w:jc w:val="left"/>
        <w:rPr>
          <w:rFonts w:ascii="arial" w:hAnsi="arial"/>
          <w:b/>
          <w:color w:val="CF0A2C"/>
          <w:sz w:val="28"/>
        </w:rPr>
      </w:pPr>
      <w:bookmarkStart w:id="19" w:name="tx888712_17"/>
      <w:bookmarkEnd w:id="19"/>
      <w:r>
        <w:rPr>
          <w:rFonts w:ascii="arial" w:hAnsi="arial"/>
          <w:b/>
          <w:color w:val="CF0A2C"/>
          <w:sz w:val="28"/>
        </w:rPr>
        <w:t xml:space="preserve">Board Composition and Director Independence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As of the date of this proxy statement, our Board of Directors is comprised of ten directors. Our Certificate of Incorporation provides that the number of directors on our Board of Directors shall be not less than five directors nor more than thirteen directors, as determined by the affirmative vote of the majority of the Board of Directors then in office. </w:t>
      </w:r>
    </w:p>
    <w:p>
      <w:pPr>
        <w:pStyle w:val="TextBody"/>
        <w:bidi w:val="0"/>
        <w:spacing w:before="240" w:after="0"/>
        <w:jc w:val="left"/>
        <w:rPr>
          <w:rFonts w:ascii="arial" w:hAnsi="arial"/>
          <w:sz w:val="22"/>
        </w:rPr>
      </w:pPr>
      <w:r>
        <w:rPr>
          <w:rFonts w:ascii="arial" w:hAnsi="arial"/>
          <w:sz w:val="22"/>
        </w:rPr>
        <w:t xml:space="preserve">Our Board of Directors has determined that George Bravante, Jr., Hervé Couturier, Eric Kelly, Gail Mandel, Phyllis Newhouse, Elaine Paul, Karl Peterson, John Scott, Wendi Sturgis, and Ashan Willy are independent as defined under the corporate governance rules of Nasdaq. The Board of Directors also determined that Gregg Saretsky, who resigned from the Board of Directors in 2024, was independent as defined under the corporate governance rules of Nasdaq. In making these determinations, the Board of Directors considered the applicable legal standards and relevant transactions, relationships, or arrangements. See “Certain Relationships and Related Party Transactions.”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20" w:name="tx888712_18"/>
      <w:bookmarkEnd w:id="20"/>
      <w:r>
        <w:rPr>
          <w:rFonts w:ascii="arial" w:hAnsi="arial"/>
          <w:b/>
          <w:color w:val="CF0A2C"/>
          <w:sz w:val="28"/>
        </w:rPr>
        <w:t xml:space="preserve">Director Nominee Criteria and Process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Board of Directors is responsible for approving candidates for membership to the Board of Directors. The Board of Directors has delegated the screening and recruitment process to the Nominating and Governance Committee, in consultation with our Chair of the Board. The Nominating and Governance Committee believes that the criteria for director nominees should support Sabre’s strategies and business, ensure effective governance, account for individual director attributes and the overall mix of those attributes, and support the successful recruitment of qualified candidates for the Board of Directors. </w:t>
      </w:r>
    </w:p>
    <w:p>
      <w:pPr>
        <w:pStyle w:val="TextBody"/>
        <w:bidi w:val="0"/>
        <w:spacing w:before="240" w:after="0"/>
        <w:jc w:val="left"/>
        <w:rPr>
          <w:rFonts w:ascii="arial" w:hAnsi="arial"/>
          <w:sz w:val="22"/>
        </w:rPr>
      </w:pPr>
      <w:r>
        <w:rPr>
          <w:rFonts w:ascii="arial" w:hAnsi="arial"/>
          <w:sz w:val="22"/>
        </w:rPr>
        <w:t xml:space="preserve">Qualified candidates for director are those who, in the judgment of the Nominating and Governance Committee, possess all of the general attributes and a sufficient mix of the specific attributes listed below to ensure effective service on the Board of Directors. </w:t>
      </w:r>
    </w:p>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2540"/>
        <w:gridCol w:w="120"/>
        <w:gridCol w:w="7235"/>
      </w:tblGrid>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35" w:type="dxa"/>
            <w:tcBorders/>
            <w:vAlign w:val="center"/>
          </w:tcPr>
          <w:p>
            <w:pPr>
              <w:pStyle w:val="TableContents"/>
              <w:bidi w:val="0"/>
              <w:spacing w:before="0" w:after="283"/>
              <w:jc w:val="left"/>
              <w:rPr>
                <w:sz w:val="4"/>
                <w:szCs w:val="4"/>
              </w:rPr>
            </w:pPr>
            <w:r>
              <w:rPr>
                <w:sz w:val="4"/>
                <w:szCs w:val="4"/>
              </w:rPr>
            </w:r>
          </w:p>
        </w:tc>
      </w:tr>
      <w:tr>
        <w:trPr/>
        <w:tc>
          <w:tcPr>
            <w:tcW w:w="2540" w:type="dxa"/>
            <w:tcBorders/>
            <w:shd w:fill="666666" w:val="clear"/>
            <w:vAlign w:val="center"/>
          </w:tcPr>
          <w:p>
            <w:pPr>
              <w:pStyle w:val="TableContents"/>
              <w:bidi w:val="0"/>
              <w:spacing w:before="0" w:after="283"/>
              <w:jc w:val="left"/>
              <w:rPr>
                <w:sz w:val="4"/>
                <w:szCs w:val="4"/>
              </w:rPr>
            </w:pPr>
            <w:r>
              <w:rPr>
                <w:sz w:val="4"/>
                <w:szCs w:val="4"/>
              </w:rPr>
            </w:r>
          </w:p>
        </w:tc>
        <w:tc>
          <w:tcPr>
            <w:tcW w:w="7355" w:type="dxa"/>
            <w:gridSpan w:val="2"/>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2540" w:type="dxa"/>
            <w:tcBorders/>
            <w:shd w:fill="666666" w:val="clear"/>
            <w:vAlign w:val="center"/>
          </w:tcPr>
          <w:p>
            <w:pPr>
              <w:pStyle w:val="TableContents"/>
              <w:bidi w:val="0"/>
              <w:spacing w:before="0" w:after="283"/>
              <w:jc w:val="left"/>
              <w:rPr>
                <w:color w:val="FFFFFF"/>
              </w:rPr>
            </w:pPr>
            <w:r>
              <w:rPr>
                <w:color w:val="FFFFFF"/>
              </w:rPr>
              <w:t>  </w:t>
            </w:r>
            <w:r>
              <w:rPr>
                <w:b/>
                <w:color w:val="FFFFFF"/>
              </w:rPr>
              <w:t>General Attributes</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7235" w:type="dxa"/>
            <w:tcBorders/>
            <w:shd w:fill="666666" w:val="clear"/>
            <w:vAlign w:val="center"/>
          </w:tcPr>
          <w:p>
            <w:pPr>
              <w:pStyle w:val="TableContents"/>
              <w:bidi w:val="0"/>
              <w:spacing w:before="0" w:after="283"/>
              <w:jc w:val="left"/>
              <w:rPr>
                <w:b/>
                <w:color w:val="FFFFFF"/>
              </w:rPr>
            </w:pPr>
            <w:r>
              <w:rPr>
                <w:b/>
                <w:color w:val="FFFFFF"/>
              </w:rPr>
              <w:t>Specific Attributes</w:t>
            </w:r>
          </w:p>
        </w:tc>
      </w:tr>
      <w:tr>
        <w:trPr/>
        <w:tc>
          <w:tcPr>
            <w:tcW w:w="2540" w:type="dxa"/>
            <w:tcBorders/>
            <w:vAlign w:val="center"/>
          </w:tcPr>
          <w:p>
            <w:pPr>
              <w:pStyle w:val="TableContents"/>
              <w:bidi w:val="0"/>
              <w:spacing w:before="0" w:after="0"/>
              <w:jc w:val="left"/>
              <w:rPr/>
            </w:pPr>
            <w:r>
              <w:rPr/>
              <w:t>• </w:t>
            </w:r>
            <w:r>
              <w:rPr>
                <w:rFonts w:ascii="arial" w:hAnsi="arial"/>
                <w:sz w:val="20"/>
              </w:rPr>
              <w:t xml:space="preserve">Leadership skills </w:t>
            </w:r>
          </w:p>
          <w:p>
            <w:pPr>
              <w:pStyle w:val="TableContents"/>
              <w:bidi w:val="0"/>
              <w:spacing w:before="0" w:after="0"/>
              <w:jc w:val="left"/>
              <w:rPr/>
            </w:pPr>
            <w:r>
              <w:rPr/>
              <w:t>• </w:t>
            </w:r>
            <w:r>
              <w:rPr>
                <w:rFonts w:ascii="arial" w:hAnsi="arial"/>
                <w:sz w:val="20"/>
              </w:rPr>
              <w:t xml:space="preserve">Ethical character </w:t>
            </w:r>
          </w:p>
          <w:p>
            <w:pPr>
              <w:pStyle w:val="TableContents"/>
              <w:bidi w:val="0"/>
              <w:spacing w:before="0" w:after="0"/>
              <w:jc w:val="left"/>
              <w:rPr/>
            </w:pPr>
            <w:r>
              <w:rPr/>
              <w:t>• </w:t>
            </w:r>
            <w:r>
              <w:rPr>
                <w:rFonts w:ascii="arial" w:hAnsi="arial"/>
                <w:sz w:val="20"/>
              </w:rPr>
              <w:t xml:space="preserve">Active participator </w:t>
            </w:r>
          </w:p>
          <w:p>
            <w:pPr>
              <w:pStyle w:val="TableContents"/>
              <w:bidi w:val="0"/>
              <w:spacing w:before="0" w:after="0"/>
              <w:jc w:val="left"/>
              <w:rPr/>
            </w:pPr>
            <w:r>
              <w:rPr/>
              <w:t>• </w:t>
            </w:r>
            <w:r>
              <w:rPr>
                <w:rFonts w:ascii="arial" w:hAnsi="arial"/>
                <w:sz w:val="20"/>
              </w:rPr>
              <w:t xml:space="preserve">Relationship skills </w:t>
            </w:r>
          </w:p>
          <w:p>
            <w:pPr>
              <w:pStyle w:val="TableContents"/>
              <w:bidi w:val="0"/>
              <w:spacing w:before="0" w:after="0"/>
              <w:jc w:val="left"/>
              <w:rPr/>
            </w:pPr>
            <w:r>
              <w:rPr/>
              <w:t>• </w:t>
            </w:r>
            <w:r>
              <w:rPr>
                <w:rFonts w:ascii="arial" w:hAnsi="arial"/>
                <w:sz w:val="20"/>
              </w:rPr>
              <w:t xml:space="preserve">Effectiveness </w:t>
            </w:r>
          </w:p>
          <w:p>
            <w:pPr>
              <w:pStyle w:val="TableContents"/>
              <w:bidi w:val="0"/>
              <w:spacing w:before="0" w:after="0"/>
              <w:jc w:val="left"/>
              <w:rPr/>
            </w:pPr>
            <w:r>
              <w:rPr/>
              <w:t>• </w:t>
            </w:r>
            <w:r>
              <w:rPr>
                <w:rFonts w:ascii="arial" w:hAnsi="arial"/>
                <w:sz w:val="20"/>
              </w:rPr>
              <w:t xml:space="preserve">Independence </w:t>
            </w:r>
          </w:p>
          <w:p>
            <w:pPr>
              <w:pStyle w:val="TableContents"/>
              <w:bidi w:val="0"/>
              <w:spacing w:before="0" w:after="0"/>
              <w:jc w:val="left"/>
              <w:rPr/>
            </w:pPr>
            <w:r>
              <w:rPr/>
              <w:t>• </w:t>
            </w:r>
            <w:r>
              <w:rPr>
                <w:rFonts w:ascii="arial" w:hAnsi="arial"/>
                <w:sz w:val="20"/>
              </w:rPr>
              <w:t xml:space="preserve">Financial literacy </w:t>
            </w:r>
          </w:p>
          <w:p>
            <w:pPr>
              <w:pStyle w:val="TableContents"/>
              <w:bidi w:val="0"/>
              <w:spacing w:before="0" w:after="20"/>
              <w:jc w:val="left"/>
              <w:rPr/>
            </w:pPr>
            <w:r>
              <w:rPr/>
              <w:t>• </w:t>
            </w:r>
            <w:r>
              <w:rPr>
                <w:rFonts w:ascii="arial" w:hAnsi="arial"/>
                <w:sz w:val="20"/>
              </w:rPr>
              <w:t>Reflection of Sabre values</w:t>
            </w:r>
          </w:p>
        </w:tc>
        <w:tc>
          <w:tcPr>
            <w:tcW w:w="12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pPr>
            <w:r>
              <w:rPr/>
              <w:t>• </w:t>
            </w:r>
            <w:r>
              <w:rPr>
                <w:rFonts w:ascii="arial" w:hAnsi="arial"/>
                <w:sz w:val="20"/>
              </w:rPr>
              <w:t xml:space="preserve">Leadership experience, including executive and board experience </w:t>
            </w:r>
          </w:p>
          <w:p>
            <w:pPr>
              <w:pStyle w:val="TableContents"/>
              <w:bidi w:val="0"/>
              <w:spacing w:before="0" w:after="0"/>
              <w:jc w:val="left"/>
              <w:rPr/>
            </w:pPr>
            <w:r>
              <w:rPr/>
              <w:t>• </w:t>
            </w:r>
            <w:r>
              <w:rPr>
                <w:rFonts w:ascii="arial" w:hAnsi="arial"/>
                <w:sz w:val="20"/>
              </w:rPr>
              <w:t>Technology or travel industry knowledge</w:t>
            </w:r>
          </w:p>
          <w:p>
            <w:pPr>
              <w:pStyle w:val="TableContents"/>
              <w:bidi w:val="0"/>
              <w:spacing w:before="0" w:after="0"/>
              <w:jc w:val="left"/>
              <w:rPr/>
            </w:pPr>
            <w:r>
              <w:rPr/>
              <w:t>• </w:t>
            </w:r>
            <w:r>
              <w:rPr>
                <w:rFonts w:ascii="arial" w:hAnsi="arial"/>
                <w:sz w:val="20"/>
              </w:rPr>
              <w:t xml:space="preserve">Financial background </w:t>
            </w:r>
          </w:p>
          <w:p>
            <w:pPr>
              <w:pStyle w:val="TableContents"/>
              <w:bidi w:val="0"/>
              <w:spacing w:before="0" w:after="0"/>
              <w:jc w:val="left"/>
              <w:rPr/>
            </w:pPr>
            <w:r>
              <w:rPr/>
              <w:t>• </w:t>
            </w:r>
            <w:r>
              <w:rPr>
                <w:rFonts w:ascii="arial" w:hAnsi="arial"/>
                <w:sz w:val="20"/>
              </w:rPr>
              <w:t>Diversity, including race, ethnicity, age, education, skill, and cultural background</w:t>
            </w:r>
          </w:p>
          <w:p>
            <w:pPr>
              <w:pStyle w:val="TableContents"/>
              <w:bidi w:val="0"/>
              <w:spacing w:before="0" w:after="0"/>
              <w:jc w:val="left"/>
              <w:rPr/>
            </w:pPr>
            <w:r>
              <w:rPr/>
              <w:t>• </w:t>
            </w:r>
            <w:r>
              <w:rPr>
                <w:rFonts w:ascii="arial" w:hAnsi="arial"/>
                <w:sz w:val="20"/>
              </w:rPr>
              <w:t xml:space="preserve">International experience </w:t>
            </w:r>
          </w:p>
          <w:p>
            <w:pPr>
              <w:pStyle w:val="TableContents"/>
              <w:bidi w:val="0"/>
              <w:spacing w:before="0" w:after="0"/>
              <w:jc w:val="left"/>
              <w:rPr/>
            </w:pPr>
            <w:r>
              <w:rPr/>
              <w:t>• </w:t>
            </w:r>
            <w:r>
              <w:rPr>
                <w:rFonts w:ascii="arial" w:hAnsi="arial"/>
                <w:sz w:val="20"/>
              </w:rPr>
              <w:t xml:space="preserve">Marketing or sales background </w:t>
            </w:r>
          </w:p>
          <w:p>
            <w:pPr>
              <w:pStyle w:val="TableContents"/>
              <w:bidi w:val="0"/>
              <w:spacing w:before="0" w:after="20"/>
              <w:jc w:val="left"/>
              <w:rPr/>
            </w:pPr>
            <w:r>
              <w:rPr/>
              <w:t>• </w:t>
            </w:r>
            <w:r>
              <w:rPr>
                <w:rFonts w:ascii="arial" w:hAnsi="arial"/>
                <w:sz w:val="20"/>
              </w:rPr>
              <w:t>Other functional expertise</w:t>
            </w:r>
          </w:p>
        </w:tc>
      </w:tr>
    </w:tbl>
    <w:p>
      <w:pPr>
        <w:pStyle w:val="TextBody"/>
        <w:bidi w:val="0"/>
        <w:spacing w:before="240" w:after="0"/>
        <w:jc w:val="left"/>
        <w:rPr>
          <w:rFonts w:ascii="arial" w:hAnsi="arial"/>
          <w:sz w:val="22"/>
        </w:rPr>
      </w:pPr>
      <w:r>
        <w:rPr>
          <w:rFonts w:ascii="arial" w:hAnsi="arial"/>
          <w:sz w:val="22"/>
        </w:rPr>
        <w:t xml:space="preserve">The Nominating and Governance Committee may receive recommendations for candidates for the Board of Directors from various sources, including our directors, management, and stockholders. In addition, the Nominating and Governance Committee currently retains, and may in the future periodically retain, a search firm to assist it in identifying and recruiting director candidates meeting the criteria specified by the Nominating and Governance Committee. </w:t>
      </w:r>
    </w:p>
    <w:p>
      <w:pPr>
        <w:pStyle w:val="TextBody"/>
        <w:bidi w:val="0"/>
        <w:spacing w:before="240" w:after="0"/>
        <w:jc w:val="left"/>
        <w:rPr>
          <w:rFonts w:ascii="arial" w:hAnsi="arial"/>
          <w:sz w:val="22"/>
        </w:rPr>
      </w:pPr>
      <w:r>
        <w:rPr>
          <w:rFonts w:ascii="arial" w:hAnsi="arial"/>
          <w:sz w:val="22"/>
        </w:rPr>
        <w:t xml:space="preserve">The Nominating and Governance Committee recommends nominees to the Board of Directors to fill any vacancies. As provided in our Certificate of Incorporation, the Board of Directors elects a new director when a vacancy occurs between annual meetings of stockholders. The Nominating and Governance Committee also recommends to the Board of Directors any new appointments and nominees for election as directors at our annual meetings of stockholders.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21" w:name="tx888712_19"/>
      <w:bookmarkEnd w:id="21"/>
      <w:r>
        <w:rPr>
          <w:rFonts w:ascii="arial" w:hAnsi="arial"/>
          <w:b/>
          <w:color w:val="CF0A2C"/>
          <w:sz w:val="28"/>
        </w:rPr>
        <w:t xml:space="preserve">Attributes of Current Directors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Nominating and Governance Committee believes that each of our directors serving as of the date of this proxy statement possesses all of the general attributes described above. The following chart provides an overview of certain attributes that we believe are applicable to our directors serving as of the date of this proxy statement. </w:t>
      </w:r>
    </w:p>
    <w:p>
      <w:pPr>
        <w:pStyle w:val="TextBody"/>
        <w:bidi w:val="0"/>
        <w:spacing w:before="0" w:after="0"/>
        <w:jc w:val="left"/>
        <w:rPr/>
      </w:pPr>
      <w:r>
        <w:rPr/>
        <w:t> </w:t>
      </w:r>
    </w:p>
    <w:tbl>
      <w:tblPr>
        <w:tblW w:w="11025" w:type="dxa"/>
        <w:jc w:val="left"/>
        <w:tblInd w:w="0" w:type="dxa"/>
        <w:tblLayout w:type="fixed"/>
        <w:tblCellMar>
          <w:top w:w="0" w:type="dxa"/>
          <w:left w:w="0" w:type="dxa"/>
          <w:bottom w:w="0" w:type="dxa"/>
          <w:right w:w="0" w:type="dxa"/>
        </w:tblCellMar>
      </w:tblPr>
      <w:tblGrid>
        <w:gridCol w:w="935"/>
        <w:gridCol w:w="120"/>
        <w:gridCol w:w="1190"/>
        <w:gridCol w:w="60"/>
        <w:gridCol w:w="815"/>
        <w:gridCol w:w="60"/>
        <w:gridCol w:w="590"/>
        <w:gridCol w:w="60"/>
        <w:gridCol w:w="635"/>
        <w:gridCol w:w="60"/>
        <w:gridCol w:w="1010"/>
        <w:gridCol w:w="60"/>
        <w:gridCol w:w="440"/>
        <w:gridCol w:w="60"/>
        <w:gridCol w:w="995"/>
        <w:gridCol w:w="60"/>
        <w:gridCol w:w="1115"/>
        <w:gridCol w:w="60"/>
        <w:gridCol w:w="1040"/>
        <w:gridCol w:w="60"/>
        <w:gridCol w:w="740"/>
        <w:gridCol w:w="60"/>
        <w:gridCol w:w="800"/>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935" w:type="dxa"/>
            <w:tcBorders>
              <w:top w:val="single" w:sz="6" w:space="0" w:color="000000"/>
              <w:left w:val="single" w:sz="6" w:space="0" w:color="000000"/>
            </w:tcBorders>
            <w:tcMar>
              <w:top w:w="28" w:type="dxa"/>
              <w:left w:w="1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Name</w:t>
            </w:r>
          </w:p>
          <w:p>
            <w:pPr>
              <w:pStyle w:val="TableContents"/>
              <w:bidi w:val="0"/>
              <w:spacing w:before="0" w:after="20"/>
              <w:jc w:val="left"/>
              <w:rPr/>
            </w:pPr>
            <w:r>
              <w:rPr/>
              <w:t> </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90" w:type="dxa"/>
            <w:tcBorders>
              <w:top w:val="single" w:sz="6" w:space="0" w:color="000000"/>
            </w:tcBorders>
            <w:tcMar>
              <w:top w:w="28" w:type="dxa"/>
            </w:tcMar>
            <w:vAlign w:val="center"/>
          </w:tcPr>
          <w:p>
            <w:pPr>
              <w:pStyle w:val="TableContents"/>
              <w:bidi w:val="0"/>
              <w:spacing w:before="0" w:after="0"/>
              <w:jc w:val="left"/>
              <w:rPr>
                <w:rFonts w:ascii="arial" w:hAnsi="arial"/>
                <w:b/>
                <w:sz w:val="20"/>
              </w:rPr>
            </w:pPr>
            <w:r>
              <w:rPr>
                <w:rFonts w:ascii="arial" w:hAnsi="arial"/>
                <w:b/>
                <w:sz w:val="20"/>
              </w:rPr>
              <w:t>International</w:t>
            </w:r>
          </w:p>
          <w:p>
            <w:pPr>
              <w:pStyle w:val="TableContents"/>
              <w:bidi w:val="0"/>
              <w:spacing w:before="0" w:after="20"/>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15"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B2B</w:t>
              <w:br/>
              <w:t>Services</w:t>
            </w:r>
          </w:p>
          <w:p>
            <w:pPr>
              <w:pStyle w:val="TableContents"/>
              <w:bidi w:val="0"/>
              <w:spacing w:before="0" w:after="20"/>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9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Travel</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35"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Airline</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1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Hospitality</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44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ESG</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995"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Marketing/</w:t>
              <w:br/>
              <w:t>Sales</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15"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Technology</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4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Operations</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74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rFonts w:ascii="arial" w:hAnsi="arial"/>
                <w:b/>
                <w:sz w:val="20"/>
              </w:rPr>
            </w:pPr>
            <w:r>
              <w:rPr>
                <w:rFonts w:ascii="arial" w:hAnsi="arial"/>
                <w:b/>
                <w:sz w:val="20"/>
              </w:rPr>
              <w:t>Capital</w:t>
              <w:br/>
              <w:t>Markets</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800"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rFonts w:ascii="arial" w:hAnsi="arial"/>
                <w:b/>
                <w:sz w:val="20"/>
              </w:rPr>
            </w:pPr>
            <w:r>
              <w:rPr>
                <w:rFonts w:ascii="arial" w:hAnsi="arial"/>
                <w:b/>
                <w:sz w:val="20"/>
              </w:rPr>
              <w:t>Risk</w:t>
              <w:br/>
              <w:t>and</w:t>
              <w:br/>
              <w:t>Strategy</w:t>
            </w:r>
          </w:p>
          <w:p>
            <w:pPr>
              <w:pStyle w:val="TableContents"/>
              <w:bidi w:val="0"/>
              <w:spacing w:before="0" w:after="20"/>
              <w:jc w:val="left"/>
              <w:rPr/>
            </w:pPr>
            <w:r>
              <w:rPr/>
              <w:t> </w:t>
            </w:r>
          </w:p>
        </w:tc>
      </w:tr>
      <w:tr>
        <w:trPr/>
        <w:tc>
          <w:tcPr>
            <w:tcW w:w="935" w:type="dxa"/>
            <w:tcBorders>
              <w:left w:val="single" w:sz="6" w:space="0" w:color="000000"/>
            </w:tcBorders>
            <w:tcMar>
              <w:left w:w="160" w:type="dxa"/>
            </w:tcMar>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1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George Bravante, Jr.</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0"/>
              <w:jc w:val="center"/>
              <w:rPr>
                <w:rFonts w:ascii="WINGDINGS" w:hAnsi="WINGDINGS"/>
                <w:sz w:val="20"/>
              </w:rPr>
            </w:pPr>
            <w:r>
              <w:rPr>
                <w:rFonts w:ascii="WINGDINGS" w:hAnsi="WINGDINGS"/>
                <w:sz w:val="20"/>
              </w:rPr>
              <w:t>¡</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Hervé Couturier</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0"/>
              <w:jc w:val="center"/>
              <w:rPr>
                <w:rFonts w:ascii="WINGDINGS" w:hAnsi="WINGDINGS"/>
                <w:sz w:val="20"/>
              </w:rPr>
            </w:pPr>
            <w:r>
              <w:rPr>
                <w:rFonts w:ascii="WINGDINGS" w:hAnsi="WINGDINGS"/>
                <w:sz w:val="20"/>
              </w:rPr>
              <w:t>¡</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Kurt Ekert</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0"/>
              <w:jc w:val="center"/>
              <w:rPr>
                <w:rFonts w:ascii="WINGDINGS" w:hAnsi="WINGDINGS"/>
                <w:sz w:val="20"/>
              </w:rPr>
            </w:pPr>
            <w:r>
              <w:rPr>
                <w:rFonts w:ascii="WINGDINGS" w:hAnsi="WINGDINGS"/>
                <w:sz w:val="20"/>
              </w:rPr>
              <w:t>¡</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Eric Kelly</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0"/>
              <w:jc w:val="center"/>
              <w:rPr>
                <w:rFonts w:ascii="WINGDINGS" w:hAnsi="WINGDINGS"/>
                <w:sz w:val="20"/>
              </w:rPr>
            </w:pPr>
            <w:r>
              <w:rPr>
                <w:rFonts w:ascii="WINGDINGS" w:hAnsi="WINGDINGS"/>
                <w:sz w:val="20"/>
              </w:rPr>
              <w:t>¡</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Gail Mandel</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0"/>
              <w:jc w:val="center"/>
              <w:rPr>
                <w:rFonts w:ascii="WINGDINGS" w:hAnsi="WINGDINGS"/>
                <w:sz w:val="20"/>
              </w:rPr>
            </w:pPr>
            <w:r>
              <w:rPr>
                <w:rFonts w:ascii="WINGDINGS" w:hAnsi="WINGDINGS"/>
                <w:sz w:val="20"/>
              </w:rPr>
              <w:t>¡</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Phyllis Newhouse</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0"/>
              <w:jc w:val="center"/>
              <w:rPr>
                <w:rFonts w:ascii="WINGDINGS" w:hAnsi="WINGDINGS"/>
                <w:sz w:val="20"/>
              </w:rPr>
            </w:pPr>
            <w:r>
              <w:rPr>
                <w:rFonts w:ascii="WINGDINGS" w:hAnsi="WINGDINGS"/>
                <w:sz w:val="20"/>
              </w:rPr>
              <w:t>¡</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Elaine Paul</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0"/>
              <w:jc w:val="center"/>
              <w:rPr>
                <w:rFonts w:ascii="WINGDINGS" w:hAnsi="WINGDINGS"/>
                <w:sz w:val="20"/>
              </w:rPr>
            </w:pPr>
            <w:r>
              <w:rPr>
                <w:rFonts w:ascii="WINGDINGS" w:hAnsi="WINGDINGS"/>
                <w:sz w:val="20"/>
              </w:rPr>
              <w:t>¡</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Karl Peterson</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0"/>
              <w:jc w:val="center"/>
              <w:rPr>
                <w:rFonts w:ascii="WINGDINGS" w:hAnsi="WINGDINGS"/>
                <w:sz w:val="20"/>
              </w:rPr>
            </w:pPr>
            <w:r>
              <w:rPr>
                <w:rFonts w:ascii="WINGDINGS" w:hAnsi="WINGDINGS"/>
                <w:sz w:val="20"/>
              </w:rPr>
              <w:t>¡</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John Scott</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0"/>
              <w:jc w:val="center"/>
              <w:rPr>
                <w:rFonts w:ascii="WINGDINGS" w:hAnsi="WINGDINGS"/>
                <w:sz w:val="20"/>
              </w:rPr>
            </w:pPr>
            <w:r>
              <w:rPr>
                <w:rFonts w:ascii="WINGDINGS" w:hAnsi="WINGDINGS"/>
                <w:sz w:val="20"/>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0"/>
              <w:jc w:val="center"/>
              <w:rPr>
                <w:rFonts w:ascii="WINGDINGS" w:hAnsi="WINGDINGS"/>
                <w:sz w:val="20"/>
              </w:rPr>
            </w:pPr>
            <w:r>
              <w:rPr>
                <w:rFonts w:ascii="WINGDINGS" w:hAnsi="WINGDINGS"/>
                <w:sz w:val="20"/>
              </w:rPr>
              <w:t>¡</w:t>
            </w:r>
          </w:p>
        </w:tc>
      </w:tr>
      <w:tr>
        <w:trPr/>
        <w:tc>
          <w:tcPr>
            <w:tcW w:w="9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20"/>
              </w:rPr>
            </w:pPr>
            <w:r>
              <w:rPr>
                <w:rFonts w:ascii="arial" w:hAnsi="arial"/>
                <w:sz w:val="20"/>
              </w:rPr>
              <w:t>Wendi Sturgis</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9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rFonts w:ascii="WINGDINGS" w:hAnsi="WINGDINGS"/>
              </w:rPr>
            </w:pPr>
            <w:r>
              <w:rPr>
                <w:rFonts w:ascii="WINGDINGS" w:hAnsi="WINGDINGS"/>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rFonts w:ascii="WINGDINGS" w:hAnsi="WINGDINGS"/>
              </w:rPr>
            </w:pPr>
            <w:r>
              <w:rPr>
                <w:rFonts w:ascii="WINGDINGS" w:hAnsi="WINGDINGS"/>
              </w:rPr>
              <w:t>¡</w:t>
            </w:r>
          </w:p>
        </w:tc>
      </w:tr>
    </w:tbl>
    <w:p>
      <w:pPr>
        <w:pStyle w:val="TextBody"/>
        <w:bidi w:val="0"/>
        <w:spacing w:before="240" w:after="0"/>
        <w:jc w:val="left"/>
        <w:rPr>
          <w:rFonts w:ascii="arial" w:hAnsi="arial"/>
          <w:sz w:val="22"/>
        </w:rPr>
      </w:pPr>
      <w:r>
        <w:rPr>
          <w:rFonts w:ascii="arial" w:hAnsi="arial"/>
          <w:sz w:val="22"/>
        </w:rPr>
        <w:t xml:space="preserve">See “Certain Information Regarding Nominees for Director” for additional information regarding director qualifications. </w:t>
      </w:r>
    </w:p>
    <w:p>
      <w:pPr>
        <w:pStyle w:val="TextBody"/>
        <w:bidi w:val="0"/>
        <w:spacing w:before="360" w:after="0"/>
        <w:jc w:val="left"/>
        <w:rPr>
          <w:rFonts w:ascii="arial" w:hAnsi="arial"/>
          <w:b/>
          <w:color w:val="CF0A2C"/>
          <w:sz w:val="28"/>
        </w:rPr>
      </w:pPr>
      <w:bookmarkStart w:id="22" w:name="tx888712_20"/>
      <w:bookmarkEnd w:id="22"/>
      <w:r>
        <w:rPr>
          <w:rFonts w:ascii="arial" w:hAnsi="arial"/>
          <w:b/>
          <w:color w:val="CF0A2C"/>
          <w:sz w:val="28"/>
        </w:rPr>
        <w:t xml:space="preserve">Board Tenure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Nominating and Governance Committee believes that Board tenure is important, as we seek to achieve the appropriate balance in years of service. New directors provide fresh perspectives, while longer serving directors provide a deep knowledge of the company. Our Board of Directors as of the date of this proxy statement has an average tenure of 6 years. </w:t>
      </w:r>
    </w:p>
    <w:p>
      <w:pPr>
        <w:pStyle w:val="TextBody"/>
        <w:bidi w:val="0"/>
        <w:spacing w:before="240" w:after="0"/>
        <w:jc w:val="left"/>
        <w:rPr>
          <w:rFonts w:ascii="arial" w:hAnsi="arial"/>
          <w:sz w:val="22"/>
        </w:rPr>
      </w:pPr>
      <w:r>
        <w:rPr>
          <w:rFonts w:ascii="arial" w:hAnsi="arial"/>
          <w:sz w:val="22"/>
        </w:rPr>
        <w:t xml:space="preserve">Our Corporate Governance Guidelines provide that directors will not stand for re-election after reaching age 74. This provision may be waived in individual cases by the Nominating and Governance Committee. </w:t>
      </w:r>
    </w:p>
    <w:p>
      <w:pPr>
        <w:pStyle w:val="TextBody"/>
        <w:bidi w:val="0"/>
        <w:spacing w:before="360" w:after="0"/>
        <w:jc w:val="left"/>
        <w:rPr>
          <w:rFonts w:ascii="arial" w:hAnsi="arial"/>
          <w:b/>
          <w:color w:val="CF0A2C"/>
          <w:sz w:val="28"/>
        </w:rPr>
      </w:pPr>
      <w:bookmarkStart w:id="23" w:name="tx888712_21"/>
      <w:bookmarkEnd w:id="23"/>
      <w:r>
        <w:rPr>
          <w:rFonts w:ascii="arial" w:hAnsi="arial"/>
          <w:b/>
          <w:color w:val="CF0A2C"/>
          <w:sz w:val="28"/>
        </w:rPr>
        <w:t xml:space="preserve">Board Evaluations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arial" w:hAnsi="arial"/>
          <w:sz w:val="22"/>
        </w:rPr>
      </w:pPr>
      <w:r>
        <w:rPr>
          <w:rFonts w:ascii="arial" w:hAnsi="arial"/>
          <w:sz w:val="22"/>
        </w:rPr>
        <w:t xml:space="preserve">The Nominating and Governance Committee oversees annual performance evaluations of the Board of Directors and its committees, and the Board of Directors and each committee conducts an annual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evaluation. The Nominating and Governance Committee further assesses the individual contributions of directors recommended for re-election, as well as considers the overall composition of the Board of Directors and its committees, including whether the directors have an appropriate mix of the attributes described above in order to function effectively and taking into account any anticipated future needs of the Board of Directors. </w:t>
      </w:r>
    </w:p>
    <w:p>
      <w:pPr>
        <w:pStyle w:val="TextBody"/>
        <w:bidi w:val="0"/>
        <w:spacing w:before="360" w:after="0"/>
        <w:jc w:val="left"/>
        <w:rPr>
          <w:rFonts w:ascii="arial" w:hAnsi="arial"/>
          <w:b/>
          <w:color w:val="CF0A2C"/>
          <w:sz w:val="28"/>
        </w:rPr>
      </w:pPr>
      <w:bookmarkStart w:id="24" w:name="tx888712_22"/>
      <w:bookmarkEnd w:id="24"/>
      <w:r>
        <w:rPr>
          <w:rFonts w:ascii="arial" w:hAnsi="arial"/>
          <w:b/>
          <w:color w:val="CF0A2C"/>
          <w:sz w:val="28"/>
        </w:rPr>
        <w:t xml:space="preserve">Diversity of Directors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Our Corporate Governance Guidelines provide that the Board of Directors is committed to having a Board that reflects diverse perspectives and believes it is important for the Nominating and Governance Committee to also consider diversity of race, ethnicity, gender, age, education, skill, and cultural background when evaluating candidates for nomination as new directors. While the Nominating and Governance Committee considers this diversity when reviewing nominees for director, the Nominating and Governance Committee has not established a formal policy regarding diversity in identifying director nominees. </w:t>
      </w:r>
    </w:p>
    <w:p>
      <w:pPr>
        <w:pStyle w:val="TextBody"/>
        <w:bidi w:val="0"/>
        <w:spacing w:before="360" w:after="0"/>
        <w:jc w:val="left"/>
        <w:rPr>
          <w:rFonts w:ascii="arial" w:hAnsi="arial"/>
          <w:b/>
          <w:color w:val="CF0A2C"/>
          <w:sz w:val="28"/>
        </w:rPr>
      </w:pPr>
      <w:bookmarkStart w:id="25" w:name="tx888712_23"/>
      <w:bookmarkEnd w:id="25"/>
      <w:r>
        <w:rPr>
          <w:rFonts w:ascii="arial" w:hAnsi="arial"/>
          <w:b/>
          <w:color w:val="CF0A2C"/>
          <w:sz w:val="28"/>
        </w:rPr>
        <w:t xml:space="preserve">Stockholder Nominations for Directors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Nominating and Governance Committee considers nominees recommended by stockholders as candidates for election to the Board of Directors. As discussed under “Other Corporate Governance Practices and Matters,” our Bylaws provide for proxy access stockholder nominations of director candidates. Stockholders who wish to nominate directors under our proxy access Bylaw provisions or who wish to nominate directors who are not intended to be included in our proxy materials should refer to the information under “Other Information—Proxy Access Nominations and Annual Meeting Advance Notice Requirements.” </w:t>
      </w:r>
    </w:p>
    <w:p>
      <w:pPr>
        <w:pStyle w:val="TextBody"/>
        <w:bidi w:val="0"/>
        <w:spacing w:before="240" w:after="0"/>
        <w:jc w:val="left"/>
        <w:rPr>
          <w:rFonts w:ascii="arial" w:hAnsi="arial"/>
          <w:sz w:val="22"/>
        </w:rPr>
      </w:pPr>
      <w:r>
        <w:rPr>
          <w:rFonts w:ascii="arial" w:hAnsi="arial"/>
          <w:sz w:val="22"/>
        </w:rPr>
        <w:t xml:space="preserve">A nomination that does not comply with the requirements set forth in our Bylaws or Rule 14a-19, as applicable, will not be considered for presentation at the annual meeting, but may be considered by the Nominating and Governance Committee for any vacancies on the Board of Directors that arise between annual meetings in accordance with the process described in “Director Nominee Criteria and Process.” </w:t>
      </w:r>
    </w:p>
    <w:p>
      <w:pPr>
        <w:pStyle w:val="TextBody"/>
        <w:bidi w:val="0"/>
        <w:spacing w:before="360" w:after="0"/>
        <w:jc w:val="left"/>
        <w:rPr>
          <w:rFonts w:ascii="arial" w:hAnsi="arial"/>
          <w:b/>
          <w:color w:val="CF0A2C"/>
          <w:sz w:val="28"/>
        </w:rPr>
      </w:pPr>
      <w:bookmarkStart w:id="26" w:name="tx888712_24"/>
      <w:bookmarkEnd w:id="26"/>
      <w:r>
        <w:rPr>
          <w:rFonts w:ascii="arial" w:hAnsi="arial"/>
          <w:b/>
          <w:color w:val="CF0A2C"/>
          <w:sz w:val="28"/>
        </w:rPr>
        <w:t xml:space="preserve">Board Meetings and Annual Meeting Attendance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Board of Directors met six times in 2024. All of the incumbent directors attended in excess of 75% of the total number of meetings of the Board of Directors and the committees on which they served. </w:t>
      </w:r>
    </w:p>
    <w:p>
      <w:pPr>
        <w:pStyle w:val="TextBody"/>
        <w:bidi w:val="0"/>
        <w:spacing w:before="240" w:after="0"/>
        <w:jc w:val="left"/>
        <w:rPr>
          <w:rFonts w:ascii="arial" w:hAnsi="arial"/>
          <w:sz w:val="22"/>
        </w:rPr>
      </w:pPr>
      <w:r>
        <w:rPr>
          <w:rFonts w:ascii="arial" w:hAnsi="arial"/>
          <w:sz w:val="22"/>
        </w:rPr>
        <w:t xml:space="preserve">Our Corporate Governance Guidelines provide that directors are expected to attend all or substantially all Board meetings and meetings of the committees of the Board of Directors on which they serve, as well as our annual meeting. Our 2024 Annual Meeting was attended by all of our directors then in office.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27" w:name="tx888712_25"/>
      <w:bookmarkEnd w:id="27"/>
      <w:r>
        <w:rPr>
          <w:rFonts w:ascii="arial" w:hAnsi="arial"/>
          <w:b/>
          <w:color w:val="CF0A2C"/>
          <w:sz w:val="28"/>
        </w:rPr>
        <w:t xml:space="preserve">Board Committees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Board of Directors has established five standing committees to assist it in carrying out its responsibilities: the Audit Committee, the Compensation Committee, the Nominating and Governance Committee, the Technology Committee, and the Executive Committee. The table below provides membership for each committee as of the date of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10"/>
        <w:gridCol w:w="60"/>
        <w:gridCol w:w="60"/>
        <w:gridCol w:w="60"/>
        <w:gridCol w:w="1082"/>
        <w:gridCol w:w="60"/>
        <w:gridCol w:w="60"/>
        <w:gridCol w:w="110"/>
        <w:gridCol w:w="110"/>
        <w:gridCol w:w="1656"/>
        <w:gridCol w:w="113"/>
        <w:gridCol w:w="60"/>
        <w:gridCol w:w="89"/>
        <w:gridCol w:w="89"/>
        <w:gridCol w:w="1238"/>
        <w:gridCol w:w="92"/>
        <w:gridCol w:w="60"/>
        <w:gridCol w:w="101"/>
        <w:gridCol w:w="101"/>
        <w:gridCol w:w="1397"/>
        <w:gridCol w:w="104"/>
        <w:gridCol w:w="60"/>
        <w:gridCol w:w="88"/>
        <w:gridCol w:w="88"/>
        <w:gridCol w:w="1232"/>
        <w:gridCol w:w="125"/>
      </w:tblGrid>
      <w:tr>
        <w:trPr/>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r>
      <w:tr>
        <w:trPr/>
        <w:tc>
          <w:tcPr>
            <w:tcW w:w="1910" w:type="dxa"/>
            <w:tcBorders/>
            <w:shd w:fill="666666" w:val="clear"/>
            <w:vAlign w:val="center"/>
          </w:tcPr>
          <w:p>
            <w:pPr>
              <w:pStyle w:val="TableContents"/>
              <w:bidi w:val="0"/>
              <w:spacing w:before="0" w:after="283"/>
              <w:jc w:val="left"/>
              <w:rPr>
                <w:color w:val="FFFFFF"/>
              </w:rPr>
            </w:pPr>
            <w:r>
              <w:rPr>
                <w:color w:val="FFFFFF"/>
              </w:rPr>
              <w:t>  </w:t>
            </w:r>
            <w:r>
              <w:rPr>
                <w:b/>
                <w:color w:val="FFFFFF"/>
              </w:rPr>
              <w:t>Director</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62"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Audit  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89"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Compensation  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508" w:type="dxa"/>
            <w:gridSpan w:val="4"/>
            <w:tcBorders/>
            <w:shd w:fill="666666" w:val="clear"/>
            <w:vAlign w:val="center"/>
          </w:tcPr>
          <w:p>
            <w:pPr>
              <w:pStyle w:val="TableContents"/>
              <w:bidi w:val="0"/>
              <w:spacing w:before="0" w:after="0"/>
              <w:jc w:val="center"/>
              <w:rPr>
                <w:color w:val="FFFFFF"/>
              </w:rPr>
            </w:pPr>
            <w:r>
              <w:rPr>
                <w:color w:val="FFFFFF"/>
              </w:rPr>
              <w:t>  </w:t>
            </w:r>
            <w:r>
              <w:rPr>
                <w:rFonts w:ascii="arial" w:hAnsi="arial"/>
                <w:b/>
                <w:color w:val="FFFFFF"/>
                <w:sz w:val="18"/>
              </w:rPr>
              <w:t>Nominating  </w:t>
            </w:r>
          </w:p>
          <w:p>
            <w:pPr>
              <w:pStyle w:val="TableContents"/>
              <w:bidi w:val="0"/>
              <w:spacing w:before="0" w:after="0"/>
              <w:jc w:val="center"/>
              <w:rPr>
                <w:rFonts w:ascii="arial" w:hAnsi="arial"/>
                <w:b/>
                <w:color w:val="FFFFFF"/>
                <w:sz w:val="18"/>
              </w:rPr>
            </w:pPr>
            <w:r>
              <w:rPr>
                <w:rFonts w:ascii="arial" w:hAnsi="arial"/>
                <w:b/>
                <w:color w:val="FFFFFF"/>
                <w:sz w:val="18"/>
              </w:rPr>
              <w:t>and</w:t>
            </w:r>
          </w:p>
          <w:p>
            <w:pPr>
              <w:pStyle w:val="TableContents"/>
              <w:bidi w:val="0"/>
              <w:spacing w:before="0" w:after="20"/>
              <w:jc w:val="center"/>
              <w:rPr>
                <w:color w:val="FFFFFF"/>
              </w:rPr>
            </w:pPr>
            <w:r>
              <w:rPr>
                <w:color w:val="FFFFFF"/>
              </w:rPr>
              <w:t>  </w:t>
            </w:r>
            <w:r>
              <w:rPr>
                <w:rFonts w:ascii="arial" w:hAnsi="arial"/>
                <w:b/>
                <w:color w:val="FFFFFF"/>
                <w:sz w:val="18"/>
              </w:rPr>
              <w:t>Governance  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703"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Technology  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533"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Executive  </w:t>
            </w:r>
          </w:p>
        </w:tc>
      </w:tr>
      <w:tr>
        <w:trPr/>
        <w:tc>
          <w:tcPr>
            <w:tcW w:w="1910" w:type="dxa"/>
            <w:tcBorders/>
            <w:shd w:fill="E5E5E5" w:val="clear"/>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49"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6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6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10" w:type="dxa"/>
            <w:tcBorders/>
            <w:shd w:fill="E5E5E5" w:val="clear"/>
            <w:vAlign w:val="center"/>
          </w:tcPr>
          <w:p>
            <w:pPr>
              <w:pStyle w:val="TableContents"/>
              <w:bidi w:val="0"/>
              <w:spacing w:before="0" w:after="0"/>
              <w:jc w:val="left"/>
              <w:rPr/>
            </w:pPr>
            <w:r>
              <w:rPr/>
              <w:t> </w:t>
            </w:r>
            <w:r>
              <w:rPr>
                <w:rFonts w:ascii="arial" w:hAnsi="arial"/>
                <w:sz w:val="20"/>
              </w:rPr>
              <w:t>George Bravante, Jr.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82" w:type="dxa"/>
            <w:tcBorders/>
            <w:shd w:fill="E5E5E5" w:val="clear"/>
            <w:vAlign w:val="center"/>
          </w:tcPr>
          <w:p>
            <w:pPr>
              <w:pStyle w:val="TableContents"/>
              <w:bidi w:val="0"/>
              <w:spacing w:before="0" w:after="283"/>
              <w:jc w:val="center"/>
              <w:rPr/>
            </w:pPr>
            <w:r>
              <w:rPr>
                <w:color w:val="CF0A2C"/>
              </w:rPr>
              <w:t>Chair</w:t>
            </w:r>
            <w:r>
              <w:rPr/>
              <w:t>(1)</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0"/>
              <w:jc w:val="left"/>
              <w:rPr/>
            </w:pPr>
            <w:r>
              <w:rPr/>
              <w:t> </w:t>
            </w:r>
          </w:p>
        </w:tc>
        <w:tc>
          <w:tcPr>
            <w:tcW w:w="1656" w:type="dxa"/>
            <w:tcBorders/>
            <w:shd w:fill="E5E5E5" w:val="clear"/>
            <w:vAlign w:val="center"/>
          </w:tcPr>
          <w:p>
            <w:pPr>
              <w:pStyle w:val="TableContents"/>
              <w:bidi w:val="0"/>
              <w:spacing w:before="0" w:after="0"/>
              <w:jc w:val="left"/>
              <w:rPr/>
            </w:pPr>
            <w:r>
              <w:rPr/>
              <w:t> </w:t>
            </w:r>
          </w:p>
        </w:tc>
        <w:tc>
          <w:tcPr>
            <w:tcW w:w="113"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0"/>
              <w:jc w:val="left"/>
              <w:rPr/>
            </w:pPr>
            <w:r>
              <w:rPr/>
              <w:t> </w:t>
            </w:r>
          </w:p>
        </w:tc>
        <w:tc>
          <w:tcPr>
            <w:tcW w:w="1238" w:type="dxa"/>
            <w:tcBorders/>
            <w:shd w:fill="E5E5E5" w:val="clear"/>
            <w:vAlign w:val="center"/>
          </w:tcPr>
          <w:p>
            <w:pPr>
              <w:pStyle w:val="TableContents"/>
              <w:bidi w:val="0"/>
              <w:spacing w:before="0" w:after="0"/>
              <w:jc w:val="left"/>
              <w:rPr/>
            </w:pPr>
            <w:r>
              <w:rPr/>
              <w:t> </w:t>
            </w:r>
          </w:p>
        </w:tc>
        <w:tc>
          <w:tcPr>
            <w:tcW w:w="92"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0"/>
              <w:jc w:val="left"/>
              <w:rPr/>
            </w:pPr>
            <w:r>
              <w:rPr/>
              <w:t> </w:t>
            </w:r>
          </w:p>
        </w:tc>
        <w:tc>
          <w:tcPr>
            <w:tcW w:w="1397" w:type="dxa"/>
            <w:tcBorders/>
            <w:shd w:fill="E5E5E5" w:val="clear"/>
            <w:vAlign w:val="center"/>
          </w:tcPr>
          <w:p>
            <w:pPr>
              <w:pStyle w:val="TableContents"/>
              <w:bidi w:val="0"/>
              <w:spacing w:before="0" w:after="0"/>
              <w:jc w:val="left"/>
              <w:rPr/>
            </w:pPr>
            <w:r>
              <w:rPr/>
              <w:t> </w:t>
            </w:r>
          </w:p>
        </w:tc>
        <w:tc>
          <w:tcPr>
            <w:tcW w:w="104"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232" w:type="dxa"/>
            <w:tcBorders/>
            <w:shd w:fill="E5E5E5" w:val="clear"/>
            <w:vAlign w:val="center"/>
          </w:tcPr>
          <w:p>
            <w:pPr>
              <w:pStyle w:val="TableContents"/>
              <w:bidi w:val="0"/>
              <w:spacing w:before="0" w:after="283"/>
              <w:jc w:val="center"/>
              <w:rPr/>
            </w:pPr>
            <w:r>
              <w:rPr/>
              <w:t>Member</w:t>
            </w:r>
          </w:p>
        </w:tc>
        <w:tc>
          <w:tcPr>
            <w:tcW w:w="125" w:type="dxa"/>
            <w:tcBorders/>
            <w:shd w:fill="E5E5E5" w:val="cle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49"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6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6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pPr>
            <w:r>
              <w:rPr/>
              <w:t> </w:t>
            </w:r>
            <w:r>
              <w:rPr>
                <w:rFonts w:ascii="arial" w:hAnsi="arial"/>
                <w:sz w:val="20"/>
              </w:rPr>
              <w:t>Hervé Couturier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 </w:t>
            </w:r>
          </w:p>
        </w:tc>
        <w:tc>
          <w:tcPr>
            <w:tcW w:w="1656" w:type="dxa"/>
            <w:tcBorders/>
            <w:vAlign w:val="center"/>
          </w:tcPr>
          <w:p>
            <w:pPr>
              <w:pStyle w:val="TableContents"/>
              <w:bidi w:val="0"/>
              <w:spacing w:before="0" w:after="0"/>
              <w:jc w:val="left"/>
              <w:rPr/>
            </w:pPr>
            <w:r>
              <w:rPr/>
              <w:t> </w:t>
            </w:r>
          </w:p>
        </w:tc>
        <w:tc>
          <w:tcPr>
            <w:tcW w:w="113"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0"/>
              <w:jc w:val="left"/>
              <w:rPr/>
            </w:pPr>
            <w:r>
              <w:rPr/>
              <w:t> </w:t>
            </w:r>
          </w:p>
        </w:tc>
        <w:tc>
          <w:tcPr>
            <w:tcW w:w="92"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color w:val="CF0A2C"/>
              </w:rPr>
            </w:pPr>
            <w:r>
              <w:rPr>
                <w:color w:val="CF0A2C"/>
              </w:rPr>
              <w:t> </w:t>
            </w:r>
          </w:p>
        </w:tc>
        <w:tc>
          <w:tcPr>
            <w:tcW w:w="1397" w:type="dxa"/>
            <w:tcBorders/>
            <w:vAlign w:val="center"/>
          </w:tcPr>
          <w:p>
            <w:pPr>
              <w:pStyle w:val="TableContents"/>
              <w:bidi w:val="0"/>
              <w:spacing w:before="0" w:after="283"/>
              <w:jc w:val="center"/>
              <w:rPr>
                <w:color w:val="CF0A2C"/>
              </w:rPr>
            </w:pPr>
            <w:r>
              <w:rPr>
                <w:color w:val="CF0A2C"/>
              </w:rPr>
              <w:t>Chair</w:t>
            </w:r>
          </w:p>
        </w:tc>
        <w:tc>
          <w:tcPr>
            <w:tcW w:w="10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center"/>
              <w:rPr/>
            </w:pPr>
            <w:r>
              <w:rPr/>
              <w:t>Member</w:t>
            </w:r>
          </w:p>
        </w:tc>
        <w:tc>
          <w:tcPr>
            <w:tcW w:w="125" w:type="dxa"/>
            <w:tcBorders/>
            <w:vAlign w:val="center"/>
          </w:tcPr>
          <w:p>
            <w:pPr>
              <w:pStyle w:val="TableContents"/>
              <w:bidi w:val="0"/>
              <w:spacing w:before="0" w:after="283"/>
              <w:jc w:val="left"/>
              <w:rPr>
                <w:sz w:val="4"/>
                <w:szCs w:val="4"/>
              </w:rPr>
            </w:pPr>
            <w:r>
              <w:rPr>
                <w:sz w:val="4"/>
                <w:szCs w:val="4"/>
              </w:rPr>
            </w:r>
          </w:p>
        </w:tc>
      </w:tr>
      <w:tr>
        <w:trPr/>
        <w:tc>
          <w:tcPr>
            <w:tcW w:w="1910" w:type="dxa"/>
            <w:tcBorders/>
            <w:shd w:fill="E5E5E5" w:val="clear"/>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49"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6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6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10" w:type="dxa"/>
            <w:tcBorders/>
            <w:shd w:fill="E5E5E5" w:val="clear"/>
            <w:vAlign w:val="center"/>
          </w:tcPr>
          <w:p>
            <w:pPr>
              <w:pStyle w:val="TableContents"/>
              <w:bidi w:val="0"/>
              <w:spacing w:before="0" w:after="0"/>
              <w:jc w:val="left"/>
              <w:rPr/>
            </w:pPr>
            <w:r>
              <w:rPr/>
              <w:t> </w:t>
            </w: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0"/>
              <w:jc w:val="left"/>
              <w:rPr/>
            </w:pPr>
            <w:r>
              <w:rPr/>
              <w:t> </w:t>
            </w:r>
          </w:p>
        </w:tc>
        <w:tc>
          <w:tcPr>
            <w:tcW w:w="1082" w:type="dxa"/>
            <w:tcBorders/>
            <w:shd w:fill="E5E5E5" w:val="clear"/>
            <w:vAlign w:val="center"/>
          </w:tcPr>
          <w:p>
            <w:pPr>
              <w:pStyle w:val="TableContents"/>
              <w:bidi w:val="0"/>
              <w:spacing w:before="0" w:after="0"/>
              <w:jc w:val="left"/>
              <w:rPr/>
            </w:pPr>
            <w:r>
              <w:rPr/>
              <w:t> </w:t>
            </w:r>
          </w:p>
        </w:tc>
        <w:tc>
          <w:tcPr>
            <w:tcW w:w="60"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0"/>
              <w:jc w:val="left"/>
              <w:rPr/>
            </w:pPr>
            <w:r>
              <w:rPr/>
              <w:t> </w:t>
            </w:r>
          </w:p>
        </w:tc>
        <w:tc>
          <w:tcPr>
            <w:tcW w:w="1656" w:type="dxa"/>
            <w:tcBorders/>
            <w:shd w:fill="E5E5E5" w:val="clear"/>
            <w:vAlign w:val="center"/>
          </w:tcPr>
          <w:p>
            <w:pPr>
              <w:pStyle w:val="TableContents"/>
              <w:bidi w:val="0"/>
              <w:spacing w:before="0" w:after="0"/>
              <w:jc w:val="left"/>
              <w:rPr/>
            </w:pPr>
            <w:r>
              <w:rPr/>
              <w:t> </w:t>
            </w:r>
          </w:p>
        </w:tc>
        <w:tc>
          <w:tcPr>
            <w:tcW w:w="113"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0"/>
              <w:jc w:val="left"/>
              <w:rPr/>
            </w:pPr>
            <w:r>
              <w:rPr/>
              <w:t> </w:t>
            </w:r>
          </w:p>
        </w:tc>
        <w:tc>
          <w:tcPr>
            <w:tcW w:w="1238" w:type="dxa"/>
            <w:tcBorders/>
            <w:shd w:fill="E5E5E5" w:val="clear"/>
            <w:vAlign w:val="center"/>
          </w:tcPr>
          <w:p>
            <w:pPr>
              <w:pStyle w:val="TableContents"/>
              <w:bidi w:val="0"/>
              <w:spacing w:before="0" w:after="0"/>
              <w:jc w:val="left"/>
              <w:rPr/>
            </w:pPr>
            <w:r>
              <w:rPr/>
              <w:t> </w:t>
            </w:r>
          </w:p>
        </w:tc>
        <w:tc>
          <w:tcPr>
            <w:tcW w:w="92"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283"/>
              <w:jc w:val="left"/>
              <w:rPr/>
            </w:pPr>
            <w:r>
              <w:rPr/>
              <w:t> </w:t>
            </w:r>
          </w:p>
        </w:tc>
        <w:tc>
          <w:tcPr>
            <w:tcW w:w="1397" w:type="dxa"/>
            <w:tcBorders/>
            <w:shd w:fill="E5E5E5" w:val="clear"/>
            <w:vAlign w:val="center"/>
          </w:tcPr>
          <w:p>
            <w:pPr>
              <w:pStyle w:val="TableContents"/>
              <w:bidi w:val="0"/>
              <w:spacing w:before="0" w:after="283"/>
              <w:jc w:val="center"/>
              <w:rPr/>
            </w:pPr>
            <w:r>
              <w:rPr/>
              <w:t>Member</w:t>
            </w:r>
          </w:p>
        </w:tc>
        <w:tc>
          <w:tcPr>
            <w:tcW w:w="10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232" w:type="dxa"/>
            <w:tcBorders/>
            <w:shd w:fill="E5E5E5" w:val="clear"/>
            <w:vAlign w:val="center"/>
          </w:tcPr>
          <w:p>
            <w:pPr>
              <w:pStyle w:val="TableContents"/>
              <w:bidi w:val="0"/>
              <w:spacing w:before="0" w:after="283"/>
              <w:jc w:val="center"/>
              <w:rPr/>
            </w:pPr>
            <w:r>
              <w:rPr/>
              <w:t>Member</w:t>
            </w:r>
          </w:p>
        </w:tc>
        <w:tc>
          <w:tcPr>
            <w:tcW w:w="125" w:type="dxa"/>
            <w:tcBorders/>
            <w:shd w:fill="E5E5E5" w:val="cle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49"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6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6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0"/>
              <w:jc w:val="left"/>
              <w:rPr/>
            </w:pPr>
            <w:r>
              <w:rPr/>
              <w:t> </w:t>
            </w:r>
            <w:r>
              <w:rPr>
                <w:rFonts w:ascii="arial" w:hAnsi="arial"/>
                <w:sz w:val="20"/>
              </w:rPr>
              <w:t>Eric Kelly</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center"/>
              <w:rPr/>
            </w:pPr>
            <w:r>
              <w:rPr/>
              <w:t>Member(1)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 </w:t>
            </w:r>
          </w:p>
        </w:tc>
        <w:tc>
          <w:tcPr>
            <w:tcW w:w="1656" w:type="dxa"/>
            <w:tcBorders/>
            <w:vAlign w:val="center"/>
          </w:tcPr>
          <w:p>
            <w:pPr>
              <w:pStyle w:val="TableContents"/>
              <w:bidi w:val="0"/>
              <w:spacing w:before="0" w:after="0"/>
              <w:jc w:val="left"/>
              <w:rPr/>
            </w:pPr>
            <w:r>
              <w:rPr/>
              <w:t> </w:t>
            </w:r>
          </w:p>
        </w:tc>
        <w:tc>
          <w:tcPr>
            <w:tcW w:w="113"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0"/>
              <w:jc w:val="left"/>
              <w:rPr/>
            </w:pPr>
            <w:r>
              <w:rPr/>
              <w:t> </w:t>
            </w:r>
          </w:p>
        </w:tc>
        <w:tc>
          <w:tcPr>
            <w:tcW w:w="92"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center"/>
              <w:rPr/>
            </w:pPr>
            <w:r>
              <w:rPr/>
              <w:t>Member</w:t>
            </w:r>
          </w:p>
        </w:tc>
        <w:tc>
          <w:tcPr>
            <w:tcW w:w="10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r>
      <w:tr>
        <w:trPr/>
        <w:tc>
          <w:tcPr>
            <w:tcW w:w="1910" w:type="dxa"/>
            <w:tcBorders/>
            <w:shd w:fill="E5E5E5" w:val="clear"/>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49" w:type="dxa"/>
            <w:gridSpan w:val="5"/>
            <w:tcBorders/>
            <w:shd w:fill="E5E5E5" w:val="clear"/>
            <w:vAlign w:val="center"/>
          </w:tcPr>
          <w:p>
            <w:pPr>
              <w:pStyle w:val="TableContents"/>
              <w:bidi w:val="0"/>
              <w:spacing w:before="0" w:after="283"/>
              <w:jc w:val="left"/>
              <w:rPr>
                <w:sz w:val="4"/>
                <w:szCs w:val="4"/>
              </w:rPr>
            </w:pPr>
            <w:r>
              <w:rPr>
                <w:sz w:val="4"/>
                <w:szCs w:val="4"/>
              </w:rPr>
            </w:r>
          </w:p>
        </w:tc>
        <w:tc>
          <w:tcPr>
            <w:tcW w:w="1568" w:type="dxa"/>
            <w:gridSpan w:val="5"/>
            <w:tcBorders/>
            <w:shd w:fill="E5E5E5" w:val="clear"/>
            <w:vAlign w:val="center"/>
          </w:tcPr>
          <w:p>
            <w:pPr>
              <w:pStyle w:val="TableContents"/>
              <w:bidi w:val="0"/>
              <w:spacing w:before="0" w:after="283"/>
              <w:jc w:val="left"/>
              <w:rPr>
                <w:sz w:val="4"/>
                <w:szCs w:val="4"/>
              </w:rPr>
            </w:pPr>
            <w:r>
              <w:rPr>
                <w:sz w:val="4"/>
                <w:szCs w:val="4"/>
              </w:rPr>
            </w:r>
          </w:p>
        </w:tc>
        <w:tc>
          <w:tcPr>
            <w:tcW w:w="176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10" w:type="dxa"/>
            <w:tcBorders/>
            <w:shd w:fill="E5E5E5" w:val="clear"/>
            <w:vAlign w:val="center"/>
          </w:tcPr>
          <w:p>
            <w:pPr>
              <w:pStyle w:val="TableContents"/>
              <w:bidi w:val="0"/>
              <w:spacing w:before="0" w:after="20"/>
              <w:jc w:val="left"/>
              <w:rPr/>
            </w:pPr>
            <w:r>
              <w:rPr/>
              <w:t> </w:t>
            </w:r>
            <w:r>
              <w:rPr>
                <w:rFonts w:ascii="arial" w:hAnsi="arial"/>
                <w:sz w:val="20"/>
              </w:rPr>
              <w:t>Gail Mandel</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0"/>
              <w:jc w:val="left"/>
              <w:rPr/>
            </w:pPr>
            <w:r>
              <w:rPr/>
              <w:t> </w:t>
            </w:r>
          </w:p>
        </w:tc>
        <w:tc>
          <w:tcPr>
            <w:tcW w:w="1082" w:type="dxa"/>
            <w:tcBorders/>
            <w:shd w:fill="E5E5E5" w:val="clear"/>
            <w:vAlign w:val="center"/>
          </w:tcPr>
          <w:p>
            <w:pPr>
              <w:pStyle w:val="TableContents"/>
              <w:bidi w:val="0"/>
              <w:spacing w:before="0" w:after="0"/>
              <w:jc w:val="left"/>
              <w:rPr/>
            </w:pPr>
            <w:r>
              <w:rPr/>
              <w:t> </w:t>
            </w:r>
          </w:p>
        </w:tc>
        <w:tc>
          <w:tcPr>
            <w:tcW w:w="60" w:type="dxa"/>
            <w:tcBorders/>
            <w:shd w:fill="E5E5E5" w:val="clear"/>
            <w:vAlign w:val="center"/>
          </w:tcPr>
          <w:p>
            <w:pPr>
              <w:pStyle w:val="TableContents"/>
              <w:bidi w:val="0"/>
              <w:spacing w:before="0" w:after="0"/>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283"/>
              <w:jc w:val="left"/>
              <w:rPr/>
            </w:pPr>
            <w:r>
              <w:rPr/>
              <w:t> </w:t>
            </w:r>
          </w:p>
        </w:tc>
        <w:tc>
          <w:tcPr>
            <w:tcW w:w="1656" w:type="dxa"/>
            <w:tcBorders/>
            <w:shd w:fill="E5E5E5" w:val="clear"/>
            <w:vAlign w:val="center"/>
          </w:tcPr>
          <w:p>
            <w:pPr>
              <w:pStyle w:val="TableContents"/>
              <w:bidi w:val="0"/>
              <w:spacing w:before="0" w:after="283"/>
              <w:jc w:val="center"/>
              <w:rPr/>
            </w:pPr>
            <w:r>
              <w:rPr/>
              <w:t>Member</w:t>
            </w:r>
          </w:p>
        </w:tc>
        <w:tc>
          <w:tcPr>
            <w:tcW w:w="11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color w:val="CF0A2C"/>
              </w:rPr>
            </w:pPr>
            <w:r>
              <w:rPr>
                <w:color w:val="CF0A2C"/>
              </w:rPr>
              <w:t> </w:t>
            </w:r>
          </w:p>
        </w:tc>
        <w:tc>
          <w:tcPr>
            <w:tcW w:w="1238" w:type="dxa"/>
            <w:tcBorders/>
            <w:shd w:fill="E5E5E5" w:val="clear"/>
            <w:vAlign w:val="center"/>
          </w:tcPr>
          <w:p>
            <w:pPr>
              <w:pStyle w:val="TableContents"/>
              <w:bidi w:val="0"/>
              <w:spacing w:before="0" w:after="283"/>
              <w:jc w:val="center"/>
              <w:rPr>
                <w:color w:val="CF0A2C"/>
              </w:rPr>
            </w:pPr>
            <w:r>
              <w:rPr>
                <w:color w:val="CF0A2C"/>
              </w:rPr>
              <w:t>Chair</w:t>
            </w:r>
          </w:p>
        </w:tc>
        <w:tc>
          <w:tcPr>
            <w:tcW w:w="92" w:type="dxa"/>
            <w:tcBorders/>
            <w:shd w:fill="E5E5E5" w:val="clear"/>
            <w:vAlign w:val="center"/>
          </w:tcPr>
          <w:p>
            <w:pPr>
              <w:pStyle w:val="TableContents"/>
              <w:bidi w:val="0"/>
              <w:spacing w:before="0" w:after="283"/>
              <w:jc w:val="left"/>
              <w:rPr/>
            </w:pPr>
            <w:r>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0"/>
              <w:jc w:val="left"/>
              <w:rPr/>
            </w:pPr>
            <w:r>
              <w:rPr/>
              <w:t> </w:t>
            </w:r>
          </w:p>
        </w:tc>
        <w:tc>
          <w:tcPr>
            <w:tcW w:w="1397" w:type="dxa"/>
            <w:tcBorders/>
            <w:shd w:fill="E5E5E5" w:val="clear"/>
            <w:vAlign w:val="center"/>
          </w:tcPr>
          <w:p>
            <w:pPr>
              <w:pStyle w:val="TableContents"/>
              <w:bidi w:val="0"/>
              <w:spacing w:before="0" w:after="0"/>
              <w:jc w:val="left"/>
              <w:rPr/>
            </w:pPr>
            <w:r>
              <w:rPr/>
              <w:t> </w:t>
            </w:r>
          </w:p>
        </w:tc>
        <w:tc>
          <w:tcPr>
            <w:tcW w:w="104"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color w:val="CF0A2C"/>
              </w:rPr>
            </w:pPr>
            <w:r>
              <w:rPr>
                <w:color w:val="CF0A2C"/>
              </w:rPr>
              <w:t> </w:t>
            </w:r>
          </w:p>
        </w:tc>
        <w:tc>
          <w:tcPr>
            <w:tcW w:w="1232" w:type="dxa"/>
            <w:tcBorders/>
            <w:shd w:fill="E5E5E5" w:val="clear"/>
            <w:vAlign w:val="center"/>
          </w:tcPr>
          <w:p>
            <w:pPr>
              <w:pStyle w:val="TableContents"/>
              <w:bidi w:val="0"/>
              <w:spacing w:before="0" w:after="283"/>
              <w:jc w:val="center"/>
              <w:rPr>
                <w:color w:val="CF0A2C"/>
              </w:rPr>
            </w:pPr>
            <w:r>
              <w:rPr>
                <w:color w:val="CF0A2C"/>
              </w:rPr>
              <w:t>Chair</w:t>
            </w:r>
          </w:p>
        </w:tc>
        <w:tc>
          <w:tcPr>
            <w:tcW w:w="125" w:type="dxa"/>
            <w:tcBorders/>
            <w:shd w:fill="E5E5E5" w:val="cle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49"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6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6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0"/>
              <w:jc w:val="left"/>
              <w:rPr/>
            </w:pPr>
            <w:r>
              <w:rPr/>
              <w:t> </w:t>
            </w:r>
            <w:r>
              <w:rPr>
                <w:rFonts w:ascii="arial" w:hAnsi="arial"/>
                <w:sz w:val="20"/>
              </w:rPr>
              <w:t>Phyllis Newhouse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 </w:t>
            </w:r>
          </w:p>
        </w:tc>
        <w:tc>
          <w:tcPr>
            <w:tcW w:w="1656" w:type="dxa"/>
            <w:tcBorders/>
            <w:vAlign w:val="center"/>
          </w:tcPr>
          <w:p>
            <w:pPr>
              <w:pStyle w:val="TableContents"/>
              <w:bidi w:val="0"/>
              <w:spacing w:before="0" w:after="0"/>
              <w:jc w:val="left"/>
              <w:rPr/>
            </w:pPr>
            <w:r>
              <w:rPr/>
              <w:t> </w:t>
            </w:r>
          </w:p>
        </w:tc>
        <w:tc>
          <w:tcPr>
            <w:tcW w:w="113"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0"/>
              <w:jc w:val="left"/>
              <w:rPr/>
            </w:pPr>
            <w:r>
              <w:rPr/>
              <w:t> </w:t>
            </w:r>
          </w:p>
        </w:tc>
        <w:tc>
          <w:tcPr>
            <w:tcW w:w="92"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center"/>
              <w:rPr/>
            </w:pPr>
            <w:r>
              <w:rPr/>
              <w:t>Member</w:t>
            </w:r>
          </w:p>
        </w:tc>
        <w:tc>
          <w:tcPr>
            <w:tcW w:w="10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r>
      <w:tr>
        <w:trPr/>
        <w:tc>
          <w:tcPr>
            <w:tcW w:w="1910" w:type="dxa"/>
            <w:tcBorders/>
            <w:shd w:fill="E5E5E5" w:val="clear"/>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49"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6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6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10" w:type="dxa"/>
            <w:tcBorders/>
            <w:shd w:fill="E5E5E5" w:val="clear"/>
            <w:vAlign w:val="center"/>
          </w:tcPr>
          <w:p>
            <w:pPr>
              <w:pStyle w:val="TableContents"/>
              <w:bidi w:val="0"/>
              <w:spacing w:before="0" w:after="0"/>
              <w:jc w:val="left"/>
              <w:rPr/>
            </w:pPr>
            <w:r>
              <w:rPr/>
              <w:t> </w:t>
            </w:r>
            <w:r>
              <w:rPr>
                <w:rFonts w:ascii="arial" w:hAnsi="arial"/>
                <w:sz w:val="20"/>
              </w:rPr>
              <w:t>Elaine Paul</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82" w:type="dxa"/>
            <w:tcBorders/>
            <w:shd w:fill="E5E5E5" w:val="clear"/>
            <w:vAlign w:val="center"/>
          </w:tcPr>
          <w:p>
            <w:pPr>
              <w:pStyle w:val="TableContents"/>
              <w:bidi w:val="0"/>
              <w:spacing w:before="0" w:after="283"/>
              <w:jc w:val="center"/>
              <w:rPr/>
            </w:pPr>
            <w:r>
              <w:rPr/>
              <w:t>Member(1)</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0"/>
              <w:jc w:val="left"/>
              <w:rPr/>
            </w:pPr>
            <w:r>
              <w:rPr/>
              <w:t> </w:t>
            </w:r>
          </w:p>
        </w:tc>
        <w:tc>
          <w:tcPr>
            <w:tcW w:w="1656" w:type="dxa"/>
            <w:tcBorders/>
            <w:shd w:fill="E5E5E5" w:val="clear"/>
            <w:vAlign w:val="center"/>
          </w:tcPr>
          <w:p>
            <w:pPr>
              <w:pStyle w:val="TableContents"/>
              <w:bidi w:val="0"/>
              <w:spacing w:before="0" w:after="0"/>
              <w:jc w:val="left"/>
              <w:rPr/>
            </w:pPr>
            <w:r>
              <w:rPr/>
              <w:t> </w:t>
            </w:r>
          </w:p>
        </w:tc>
        <w:tc>
          <w:tcPr>
            <w:tcW w:w="113"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0"/>
              <w:jc w:val="left"/>
              <w:rPr/>
            </w:pPr>
            <w:r>
              <w:rPr/>
              <w:t> </w:t>
            </w:r>
          </w:p>
        </w:tc>
        <w:tc>
          <w:tcPr>
            <w:tcW w:w="1238" w:type="dxa"/>
            <w:tcBorders/>
            <w:shd w:fill="E5E5E5" w:val="clear"/>
            <w:vAlign w:val="center"/>
          </w:tcPr>
          <w:p>
            <w:pPr>
              <w:pStyle w:val="TableContents"/>
              <w:bidi w:val="0"/>
              <w:spacing w:before="0" w:after="0"/>
              <w:jc w:val="left"/>
              <w:rPr/>
            </w:pPr>
            <w:r>
              <w:rPr/>
              <w:t> </w:t>
            </w:r>
          </w:p>
        </w:tc>
        <w:tc>
          <w:tcPr>
            <w:tcW w:w="92"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283"/>
              <w:jc w:val="left"/>
              <w:rPr/>
            </w:pPr>
            <w:r>
              <w:rPr/>
              <w:t> </w:t>
            </w:r>
          </w:p>
        </w:tc>
        <w:tc>
          <w:tcPr>
            <w:tcW w:w="1397" w:type="dxa"/>
            <w:tcBorders/>
            <w:shd w:fill="E5E5E5" w:val="clear"/>
            <w:vAlign w:val="center"/>
          </w:tcPr>
          <w:p>
            <w:pPr>
              <w:pStyle w:val="TableContents"/>
              <w:bidi w:val="0"/>
              <w:spacing w:before="0" w:after="283"/>
              <w:jc w:val="center"/>
              <w:rPr/>
            </w:pPr>
            <w:r>
              <w:rPr/>
              <w:t>Member</w:t>
            </w:r>
          </w:p>
        </w:tc>
        <w:tc>
          <w:tcPr>
            <w:tcW w:w="10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0"/>
              <w:jc w:val="left"/>
              <w:rPr/>
            </w:pPr>
            <w:r>
              <w:rPr/>
              <w:t> </w:t>
            </w:r>
          </w:p>
        </w:tc>
        <w:tc>
          <w:tcPr>
            <w:tcW w:w="1232" w:type="dxa"/>
            <w:tcBorders/>
            <w:shd w:fill="E5E5E5" w:val="clear"/>
            <w:vAlign w:val="center"/>
          </w:tcPr>
          <w:p>
            <w:pPr>
              <w:pStyle w:val="TableContents"/>
              <w:bidi w:val="0"/>
              <w:spacing w:before="0" w:after="0"/>
              <w:jc w:val="left"/>
              <w:rPr/>
            </w:pPr>
            <w:r>
              <w:rPr/>
              <w:t> </w:t>
            </w:r>
          </w:p>
        </w:tc>
        <w:tc>
          <w:tcPr>
            <w:tcW w:w="125" w:type="dxa"/>
            <w:tcBorders/>
            <w:shd w:fill="E5E5E5" w:val="clear"/>
            <w:vAlign w:val="center"/>
          </w:tcPr>
          <w:p>
            <w:pPr>
              <w:pStyle w:val="TableContents"/>
              <w:bidi w:val="0"/>
              <w:spacing w:before="0" w:after="0"/>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49"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6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6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pPr>
            <w:r>
              <w:rPr/>
              <w:t> </w:t>
            </w:r>
            <w:r>
              <w:rPr>
                <w:rFonts w:ascii="arial" w:hAnsi="arial"/>
                <w:sz w:val="20"/>
              </w:rPr>
              <w:t>Karl Peterson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8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 </w:t>
            </w:r>
          </w:p>
        </w:tc>
        <w:tc>
          <w:tcPr>
            <w:tcW w:w="1656" w:type="dxa"/>
            <w:tcBorders/>
            <w:vAlign w:val="center"/>
          </w:tcPr>
          <w:p>
            <w:pPr>
              <w:pStyle w:val="TableContents"/>
              <w:bidi w:val="0"/>
              <w:spacing w:before="0" w:after="0"/>
              <w:jc w:val="left"/>
              <w:rPr/>
            </w:pPr>
            <w:r>
              <w:rPr/>
              <w:t> </w:t>
            </w:r>
          </w:p>
        </w:tc>
        <w:tc>
          <w:tcPr>
            <w:tcW w:w="113"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pPr>
            <w:r>
              <w:rPr/>
              <w:t> </w:t>
            </w:r>
          </w:p>
        </w:tc>
        <w:tc>
          <w:tcPr>
            <w:tcW w:w="1238" w:type="dxa"/>
            <w:tcBorders/>
            <w:vAlign w:val="center"/>
          </w:tcPr>
          <w:p>
            <w:pPr>
              <w:pStyle w:val="TableContents"/>
              <w:bidi w:val="0"/>
              <w:spacing w:before="0" w:after="0"/>
              <w:jc w:val="left"/>
              <w:rPr/>
            </w:pPr>
            <w:r>
              <w:rPr/>
              <w:t> </w:t>
            </w:r>
          </w:p>
        </w:tc>
        <w:tc>
          <w:tcPr>
            <w:tcW w:w="92"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pPr>
            <w:r>
              <w:rPr/>
              <w:t> </w:t>
            </w:r>
          </w:p>
        </w:tc>
        <w:tc>
          <w:tcPr>
            <w:tcW w:w="1397" w:type="dxa"/>
            <w:tcBorders/>
            <w:vAlign w:val="center"/>
          </w:tcPr>
          <w:p>
            <w:pPr>
              <w:pStyle w:val="TableContents"/>
              <w:bidi w:val="0"/>
              <w:spacing w:before="0" w:after="0"/>
              <w:jc w:val="left"/>
              <w:rPr/>
            </w:pPr>
            <w:r>
              <w:rPr/>
              <w:t> </w:t>
            </w:r>
          </w:p>
        </w:tc>
        <w:tc>
          <w:tcPr>
            <w:tcW w:w="104"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r>
      <w:tr>
        <w:trPr/>
        <w:tc>
          <w:tcPr>
            <w:tcW w:w="1910" w:type="dxa"/>
            <w:tcBorders/>
            <w:shd w:fill="E5E5E5" w:val="clear"/>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49"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6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6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10" w:type="dxa"/>
            <w:tcBorders/>
            <w:shd w:fill="E5E5E5" w:val="clear"/>
            <w:vAlign w:val="center"/>
          </w:tcPr>
          <w:p>
            <w:pPr>
              <w:pStyle w:val="TableContents"/>
              <w:bidi w:val="0"/>
              <w:spacing w:before="0" w:after="0"/>
              <w:jc w:val="left"/>
              <w:rPr/>
            </w:pPr>
            <w:r>
              <w:rPr/>
              <w:t> </w:t>
            </w:r>
            <w:r>
              <w:rPr>
                <w:rFonts w:ascii="arial" w:hAnsi="arial"/>
                <w:sz w:val="20"/>
              </w:rPr>
              <w:t>John Scott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0"/>
              <w:jc w:val="left"/>
              <w:rPr/>
            </w:pPr>
            <w:r>
              <w:rPr/>
              <w:t> </w:t>
            </w:r>
          </w:p>
        </w:tc>
        <w:tc>
          <w:tcPr>
            <w:tcW w:w="1082" w:type="dxa"/>
            <w:tcBorders/>
            <w:shd w:fill="E5E5E5" w:val="clear"/>
            <w:vAlign w:val="center"/>
          </w:tcPr>
          <w:p>
            <w:pPr>
              <w:pStyle w:val="TableContents"/>
              <w:bidi w:val="0"/>
              <w:spacing w:before="0" w:after="0"/>
              <w:jc w:val="left"/>
              <w:rPr/>
            </w:pPr>
            <w:r>
              <w:rPr/>
              <w:t> </w:t>
            </w:r>
          </w:p>
        </w:tc>
        <w:tc>
          <w:tcPr>
            <w:tcW w:w="60"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283"/>
              <w:jc w:val="left"/>
              <w:rPr/>
            </w:pPr>
            <w:r>
              <w:rPr/>
              <w:t> </w:t>
            </w:r>
          </w:p>
        </w:tc>
        <w:tc>
          <w:tcPr>
            <w:tcW w:w="110" w:type="dxa"/>
            <w:tcBorders/>
            <w:shd w:fill="E5E5E5" w:val="clear"/>
            <w:vAlign w:val="center"/>
          </w:tcPr>
          <w:p>
            <w:pPr>
              <w:pStyle w:val="TableContents"/>
              <w:bidi w:val="0"/>
              <w:spacing w:before="0" w:after="283"/>
              <w:jc w:val="left"/>
              <w:rPr>
                <w:color w:val="CF0A2C"/>
              </w:rPr>
            </w:pPr>
            <w:r>
              <w:rPr>
                <w:color w:val="CF0A2C"/>
              </w:rPr>
              <w:t> </w:t>
            </w:r>
          </w:p>
        </w:tc>
        <w:tc>
          <w:tcPr>
            <w:tcW w:w="1656" w:type="dxa"/>
            <w:tcBorders/>
            <w:shd w:fill="E5E5E5" w:val="clear"/>
            <w:vAlign w:val="center"/>
          </w:tcPr>
          <w:p>
            <w:pPr>
              <w:pStyle w:val="TableContents"/>
              <w:bidi w:val="0"/>
              <w:spacing w:before="0" w:after="283"/>
              <w:jc w:val="center"/>
              <w:rPr>
                <w:color w:val="CF0A2C"/>
              </w:rPr>
            </w:pPr>
            <w:r>
              <w:rPr>
                <w:color w:val="CF0A2C"/>
              </w:rPr>
              <w:t>Chair</w:t>
            </w:r>
          </w:p>
        </w:tc>
        <w:tc>
          <w:tcPr>
            <w:tcW w:w="11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pPr>
            <w:r>
              <w:rPr/>
              <w:t> </w:t>
            </w:r>
          </w:p>
        </w:tc>
        <w:tc>
          <w:tcPr>
            <w:tcW w:w="89"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center"/>
              <w:rPr/>
            </w:pPr>
            <w:r>
              <w:rPr/>
              <w:t>Member</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283"/>
              <w:jc w:val="left"/>
              <w:rPr/>
            </w:pPr>
            <w:r>
              <w:rPr/>
              <w:t> </w:t>
            </w:r>
          </w:p>
        </w:tc>
        <w:tc>
          <w:tcPr>
            <w:tcW w:w="101" w:type="dxa"/>
            <w:tcBorders/>
            <w:shd w:fill="E5E5E5" w:val="clear"/>
            <w:vAlign w:val="center"/>
          </w:tcPr>
          <w:p>
            <w:pPr>
              <w:pStyle w:val="TableContents"/>
              <w:bidi w:val="0"/>
              <w:spacing w:before="0" w:after="0"/>
              <w:jc w:val="left"/>
              <w:rPr/>
            </w:pPr>
            <w:r>
              <w:rPr/>
              <w:t> </w:t>
            </w:r>
          </w:p>
        </w:tc>
        <w:tc>
          <w:tcPr>
            <w:tcW w:w="1397" w:type="dxa"/>
            <w:tcBorders/>
            <w:shd w:fill="E5E5E5" w:val="clear"/>
            <w:vAlign w:val="center"/>
          </w:tcPr>
          <w:p>
            <w:pPr>
              <w:pStyle w:val="TableContents"/>
              <w:bidi w:val="0"/>
              <w:spacing w:before="0" w:after="0"/>
              <w:jc w:val="left"/>
              <w:rPr/>
            </w:pPr>
            <w:r>
              <w:rPr/>
              <w:t> </w:t>
            </w:r>
          </w:p>
        </w:tc>
        <w:tc>
          <w:tcPr>
            <w:tcW w:w="104" w:type="dxa"/>
            <w:tcBorders/>
            <w:shd w:fill="E5E5E5" w:val="clear"/>
            <w:vAlign w:val="center"/>
          </w:tcPr>
          <w:p>
            <w:pPr>
              <w:pStyle w:val="TableContents"/>
              <w:bidi w:val="0"/>
              <w:spacing w:before="0" w:after="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232" w:type="dxa"/>
            <w:tcBorders/>
            <w:shd w:fill="E5E5E5" w:val="clear"/>
            <w:vAlign w:val="center"/>
          </w:tcPr>
          <w:p>
            <w:pPr>
              <w:pStyle w:val="TableContents"/>
              <w:bidi w:val="0"/>
              <w:spacing w:before="0" w:after="283"/>
              <w:jc w:val="center"/>
              <w:rPr/>
            </w:pPr>
            <w:r>
              <w:rPr/>
              <w:t>Member</w:t>
            </w:r>
          </w:p>
        </w:tc>
        <w:tc>
          <w:tcPr>
            <w:tcW w:w="125" w:type="dxa"/>
            <w:tcBorders/>
            <w:shd w:fill="E5E5E5" w:val="cle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49"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6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6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93"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pPr>
            <w:r>
              <w:rPr/>
              <w:t> </w:t>
            </w:r>
            <w:r>
              <w:rPr>
                <w:rFonts w:ascii="arial" w:hAnsi="arial"/>
                <w:sz w:val="20"/>
              </w:rPr>
              <w:t>Wendi Sturgis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8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center"/>
              <w:rPr>
                <w:rFonts w:ascii="ARIAL" w:hAnsi="ARIAL"/>
              </w:rPr>
            </w:pPr>
            <w:r>
              <w:rPr>
                <w:rFonts w:ascii="ARIAL" w:hAnsi="ARIAL"/>
              </w:rPr>
              <w:t>Member</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center"/>
              <w:rPr/>
            </w:pPr>
            <w:r>
              <w:rPr/>
              <w:t>Member</w:t>
            </w:r>
          </w:p>
        </w:tc>
        <w:tc>
          <w:tcPr>
            <w:tcW w:w="92"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pPr>
            <w:r>
              <w:rPr/>
              <w:t> </w:t>
            </w:r>
          </w:p>
        </w:tc>
        <w:tc>
          <w:tcPr>
            <w:tcW w:w="1397" w:type="dxa"/>
            <w:tcBorders/>
            <w:vAlign w:val="center"/>
          </w:tcPr>
          <w:p>
            <w:pPr>
              <w:pStyle w:val="TableContents"/>
              <w:bidi w:val="0"/>
              <w:spacing w:before="0" w:after="0"/>
              <w:jc w:val="left"/>
              <w:rPr/>
            </w:pPr>
            <w:r>
              <w:rPr/>
              <w:t> </w:t>
            </w:r>
          </w:p>
        </w:tc>
        <w:tc>
          <w:tcPr>
            <w:tcW w:w="104" w:type="dxa"/>
            <w:tcBorders/>
            <w:vAlign w:val="center"/>
          </w:tcPr>
          <w:p>
            <w:pPr>
              <w:pStyle w:val="TableContents"/>
              <w:bidi w:val="0"/>
              <w:spacing w:before="0" w:after="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r>
    </w:tbl>
    <w:p>
      <w:pPr>
        <w:pStyle w:val="TextBody"/>
        <w:pBdr>
          <w:bottom w:val="single" w:sz="2" w:space="1" w:color="000000"/>
        </w:pBdr>
        <w:bidi w:val="0"/>
        <w:spacing w:lineRule="atLeast" w:line="160" w:before="0" w:after="40"/>
        <w:jc w:val="left"/>
        <w:rPr/>
      </w:pPr>
      <w:r>
        <w:rPr/>
        <w:t> </w:t>
      </w:r>
    </w:p>
    <w:tbl>
      <w:tblPr>
        <w:tblW w:w="3070" w:type="dxa"/>
        <w:jc w:val="left"/>
        <w:tblInd w:w="0" w:type="dxa"/>
        <w:tblLayout w:type="fixed"/>
        <w:tblCellMar>
          <w:top w:w="0" w:type="dxa"/>
          <w:left w:w="0" w:type="dxa"/>
          <w:bottom w:w="0" w:type="dxa"/>
          <w:right w:w="0" w:type="dxa"/>
        </w:tblCellMar>
      </w:tblPr>
      <w:tblGrid>
        <w:gridCol w:w="305"/>
        <w:gridCol w:w="2765"/>
      </w:tblGrid>
      <w:tr>
        <w:trPr/>
        <w:tc>
          <w:tcPr>
            <w:tcW w:w="305" w:type="dxa"/>
            <w:tcBorders/>
            <w:vAlign w:val="center"/>
          </w:tcPr>
          <w:p>
            <w:pPr>
              <w:pStyle w:val="TableContents"/>
              <w:bidi w:val="0"/>
              <w:spacing w:before="0" w:after="283"/>
              <w:jc w:val="left"/>
              <w:rPr/>
            </w:pPr>
            <w:r>
              <w:rPr/>
              <w:t>(1)</w:t>
            </w:r>
          </w:p>
        </w:tc>
        <w:tc>
          <w:tcPr>
            <w:tcW w:w="2765" w:type="dxa"/>
            <w:tcBorders/>
            <w:vAlign w:val="center"/>
          </w:tcPr>
          <w:p>
            <w:pPr>
              <w:pStyle w:val="TableContents"/>
              <w:bidi w:val="0"/>
              <w:spacing w:before="0" w:after="0"/>
              <w:jc w:val="left"/>
              <w:rPr>
                <w:rFonts w:ascii="arial" w:hAnsi="arial"/>
                <w:sz w:val="18"/>
              </w:rPr>
            </w:pPr>
            <w:r>
              <w:rPr>
                <w:rFonts w:ascii="arial" w:hAnsi="arial"/>
                <w:sz w:val="18"/>
              </w:rPr>
              <w:t xml:space="preserve">Audit Committee financial expert. </w:t>
            </w:r>
          </w:p>
        </w:tc>
      </w:tr>
    </w:tbl>
    <w:p>
      <w:pPr>
        <w:pStyle w:val="TextBody"/>
        <w:bidi w:val="0"/>
        <w:spacing w:before="240" w:after="0"/>
        <w:jc w:val="left"/>
        <w:rPr>
          <w:rFonts w:ascii="arial" w:hAnsi="arial"/>
          <w:sz w:val="22"/>
        </w:rPr>
      </w:pPr>
      <w:r>
        <w:rPr>
          <w:rFonts w:ascii="arial" w:hAnsi="arial"/>
          <w:sz w:val="22"/>
        </w:rPr>
        <w:t xml:space="preserve">Mr. Willy is expected to serve on the Compensation Committee and the Technology Committee, if elected. </w:t>
      </w:r>
    </w:p>
    <w:p>
      <w:pPr>
        <w:pStyle w:val="TextBody"/>
        <w:bidi w:val="0"/>
        <w:spacing w:before="240" w:after="0"/>
        <w:jc w:val="left"/>
        <w:rPr>
          <w:rFonts w:ascii="arial" w:hAnsi="arial"/>
          <w:sz w:val="22"/>
        </w:rPr>
      </w:pPr>
      <w:r>
        <w:rPr>
          <w:rFonts w:ascii="arial" w:hAnsi="arial"/>
          <w:sz w:val="22"/>
        </w:rPr>
        <w:t xml:space="preserve">Each of the committees operates under its own written charter adopted by the Board of Directors, each of which is available on the investor relations section of our website at </w:t>
      </w:r>
      <w:r>
        <w:rPr>
          <w:rFonts w:ascii="arial" w:hAnsi="arial"/>
          <w:sz w:val="22"/>
          <w:u w:val="single"/>
        </w:rPr>
        <w:t>investors.sabre.com</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Ad hoc committees may also be designated under the direction of our Board of Directors when necessary to address specific issues. </w:t>
      </w:r>
    </w:p>
    <w:p>
      <w:pPr>
        <w:pStyle w:val="TextBody"/>
        <w:bidi w:val="0"/>
        <w:spacing w:before="360" w:after="0"/>
        <w:jc w:val="left"/>
        <w:rPr>
          <w:rFonts w:ascii="arial" w:hAnsi="arial"/>
          <w:i/>
          <w:sz w:val="22"/>
        </w:rPr>
      </w:pPr>
      <w:r>
        <w:rPr>
          <w:rFonts w:ascii="arial" w:hAnsi="arial"/>
          <w:i/>
          <w:sz w:val="22"/>
        </w:rPr>
        <w:t xml:space="preserve">Audit Committee </w:t>
      </w:r>
    </w:p>
    <w:p>
      <w:pPr>
        <w:pStyle w:val="TextBody"/>
        <w:bidi w:val="0"/>
        <w:spacing w:before="120" w:after="0"/>
        <w:jc w:val="left"/>
        <w:rPr>
          <w:rFonts w:ascii="arial" w:hAnsi="arial"/>
          <w:sz w:val="22"/>
        </w:rPr>
      </w:pPr>
      <w:r>
        <w:rPr>
          <w:rFonts w:ascii="arial" w:hAnsi="arial"/>
          <w:sz w:val="22"/>
        </w:rPr>
        <w:t xml:space="preserve">The Audit Committee assists the Board of Directors in the oversight of, among other things, the following items: </w:t>
      </w:r>
    </w:p>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125"/>
        <w:gridCol w:w="60"/>
        <w:gridCol w:w="70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sz w:val="22"/>
              </w:rPr>
            </w:pPr>
            <w:r>
              <w:rPr>
                <w:rFonts w:ascii="arial" w:hAnsi="arial"/>
                <w:sz w:val="22"/>
              </w:rPr>
              <w:t xml:space="preserve">the integrity of Sabre’s financial statements and internal control system,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125"/>
        <w:gridCol w:w="60"/>
        <w:gridCol w:w="49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arial" w:hAnsi="arial"/>
                <w:sz w:val="22"/>
              </w:rPr>
            </w:pPr>
            <w:r>
              <w:rPr>
                <w:rFonts w:ascii="arial" w:hAnsi="arial"/>
                <w:sz w:val="22"/>
              </w:rPr>
              <w:t xml:space="preserve">the performance of Sabre’s internal audit function,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125"/>
        <w:gridCol w:w="60"/>
        <w:gridCol w:w="59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arial" w:hAnsi="arial"/>
                <w:sz w:val="22"/>
              </w:rPr>
            </w:pPr>
            <w:r>
              <w:rPr>
                <w:rFonts w:ascii="arial" w:hAnsi="arial"/>
                <w:sz w:val="22"/>
              </w:rPr>
              <w:t xml:space="preserve">the annual independent audit of Sabre’s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engagement of the independent auditors and the evaluation of their qualifications, independence, and performance,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125"/>
        <w:gridCol w:w="60"/>
        <w:gridCol w:w="65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arial" w:hAnsi="arial"/>
                <w:sz w:val="22"/>
              </w:rPr>
            </w:pPr>
            <w:r>
              <w:rPr>
                <w:rFonts w:ascii="arial" w:hAnsi="arial"/>
                <w:sz w:val="22"/>
              </w:rPr>
              <w:t xml:space="preserve">compliance with legal, regulatory, or stock exchange requirements,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125"/>
        <w:gridCol w:w="60"/>
        <w:gridCol w:w="83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arial" w:hAnsi="arial"/>
                <w:sz w:val="22"/>
              </w:rPr>
            </w:pPr>
            <w:r>
              <w:rPr>
                <w:rFonts w:ascii="arial" w:hAnsi="arial"/>
                <w:sz w:val="22"/>
              </w:rPr>
              <w:t xml:space="preserve">the implementation and effectiveness of Sabre’s disclosure controls and procedures,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review of our cybersecurity and other information technology risks, controls, and procedures, including those related to the deployment of artificial intelligence,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evaluation of enterprise risk issues, including overseeing risks to Sabre related to the items listed above, and reviewing Sabre’s procedures with respect to risk management. </w:t>
            </w:r>
          </w:p>
        </w:tc>
      </w:tr>
    </w:tbl>
    <w:p>
      <w:pPr>
        <w:pStyle w:val="TextBody"/>
        <w:bidi w:val="0"/>
        <w:spacing w:before="240" w:after="0"/>
        <w:jc w:val="left"/>
        <w:rPr>
          <w:rFonts w:ascii="arial" w:hAnsi="arial"/>
          <w:sz w:val="22"/>
        </w:rPr>
      </w:pPr>
      <w:r>
        <w:rPr>
          <w:rFonts w:ascii="arial" w:hAnsi="arial"/>
          <w:sz w:val="22"/>
        </w:rPr>
        <w:t xml:space="preserve">The members of the Audit Committee are George Bravante, Jr. (Chair), Hervé Couturier, Eric Kelly, Phyllis Newhouse, and Elaine Paul. Each of these individuals is “independent,” as defined under Nasdaq rules and Rule 10A-3 of the Securities Exchange Act of 1934, as amended (the “Exchange Act”). Our Board of Directors has determined that each director appointed to the Audit Committee is financially literate and that Messrs. Bravante and Kelly and Ms. Paul meet the criteria of the rules and regulations set forth by the SEC for an “audit committee financial expert.” The Audit Committee met eight times in 2024. </w:t>
      </w:r>
    </w:p>
    <w:p>
      <w:pPr>
        <w:pStyle w:val="TextBody"/>
        <w:bidi w:val="0"/>
        <w:spacing w:before="360" w:after="0"/>
        <w:jc w:val="left"/>
        <w:rPr>
          <w:rFonts w:ascii="arial" w:hAnsi="arial"/>
          <w:i/>
          <w:sz w:val="22"/>
        </w:rPr>
      </w:pPr>
      <w:r>
        <w:rPr>
          <w:rFonts w:ascii="arial" w:hAnsi="arial"/>
          <w:i/>
          <w:sz w:val="22"/>
        </w:rPr>
        <w:t xml:space="preserve">Compensation Committee </w:t>
      </w:r>
    </w:p>
    <w:p>
      <w:pPr>
        <w:pStyle w:val="TextBody"/>
        <w:bidi w:val="0"/>
        <w:spacing w:before="120" w:after="0"/>
        <w:jc w:val="left"/>
        <w:rPr>
          <w:rFonts w:ascii="arial" w:hAnsi="arial"/>
          <w:sz w:val="22"/>
        </w:rPr>
      </w:pPr>
      <w:r>
        <w:rPr>
          <w:rFonts w:ascii="arial" w:hAnsi="arial"/>
          <w:sz w:val="22"/>
        </w:rPr>
        <w:t xml:space="preserve">The Compensation Committee assists the Board of Directors in the oversight of, among other things, the following items: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125"/>
        <w:gridCol w:w="60"/>
        <w:gridCol w:w="53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arial" w:hAnsi="arial"/>
                <w:sz w:val="22"/>
              </w:rPr>
            </w:pPr>
            <w:r>
              <w:rPr>
                <w:rFonts w:ascii="arial" w:hAnsi="arial"/>
                <w:sz w:val="22"/>
              </w:rPr>
              <w:t xml:space="preserve">the operation of our executive compensation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review and approval of the corporate goals and objectives relevant to the compensation of our CEO, the evaluation of his or her performance in light of those goals and objectives, and the determination and approval of his or her compensation based on that evaluation, competitive market data pertaining to compensation at companies determined by the Committee to be comparable, and such other factors as the Committee deems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establishment and annual review of any stock ownership guidelines applicable to our executive officers and management, and the non-employee members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determination and approval of the compensation level (including base and incentive compensation) and direct and indirect benefits of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any recommendation to the Board of Directors regarding the establishment and terms of incentive-compensation and equity-based plans, and the administration of these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evaluation and oversight risks to Sabre and its business implied by Sabre’s compensation program, taking into account Sabre’s business strategy. </w:t>
            </w:r>
          </w:p>
        </w:tc>
      </w:tr>
    </w:tbl>
    <w:p>
      <w:pPr>
        <w:pStyle w:val="TextBody"/>
        <w:bidi w:val="0"/>
        <w:spacing w:before="120" w:after="0"/>
        <w:jc w:val="left"/>
        <w:rPr>
          <w:rFonts w:ascii="arial" w:hAnsi="arial"/>
          <w:sz w:val="22"/>
        </w:rPr>
      </w:pPr>
      <w:r>
        <w:rPr>
          <w:rFonts w:ascii="arial" w:hAnsi="arial"/>
          <w:sz w:val="22"/>
        </w:rPr>
        <w:t xml:space="preserve">The members of the Compensation Committee are John Scott (Chair), Gail Mandel, and Wendi Sturgis, each of whom is “independent,” as defined under Nasdaq rules. The Compensation Committee met five times in 2024. </w:t>
      </w:r>
    </w:p>
    <w:p>
      <w:pPr>
        <w:pStyle w:val="TextBody"/>
        <w:bidi w:val="0"/>
        <w:spacing w:before="360" w:after="0"/>
        <w:jc w:val="left"/>
        <w:rPr>
          <w:rFonts w:ascii="arial" w:hAnsi="arial"/>
          <w:sz w:val="22"/>
          <w:u w:val="single"/>
        </w:rPr>
      </w:pPr>
      <w:r>
        <w:rPr>
          <w:rFonts w:ascii="arial" w:hAnsi="arial"/>
          <w:sz w:val="22"/>
          <w:u w:val="single"/>
        </w:rPr>
        <w:t xml:space="preserve">Committee Consultant </w:t>
      </w:r>
    </w:p>
    <w:p>
      <w:pPr>
        <w:pStyle w:val="TextBody"/>
        <w:bidi w:val="0"/>
        <w:spacing w:before="120" w:after="0"/>
        <w:jc w:val="left"/>
        <w:rPr>
          <w:rFonts w:ascii="arial" w:hAnsi="arial"/>
          <w:sz w:val="22"/>
        </w:rPr>
      </w:pPr>
      <w:r>
        <w:rPr>
          <w:rFonts w:ascii="arial" w:hAnsi="arial"/>
          <w:sz w:val="22"/>
        </w:rPr>
        <w:t xml:space="preserve">The Compensation Committee’s charter provides that the Compensation Committee has the authority to retain advisors, including compensation consultants, to assist in its work. The Compensation Committee believes that a compensation consultant can provide important market information and perspectives that can help it determine compensation programs that align with the objectives of our compensation philosophy and policies. Pursuant to its charter, prior to selecting a compensation consultant the Compensation Committee considers factors relevant to the independence of the individual advisors, as well as the independence of the advisors’ organization.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Compensation Committee has engaged Korn Ferry, a national compensation consulting firm, to assist it with compensation matters. Korn Ferry also provides services to Sabre, including leadership development consulting services. The Compensation Committee reviews the amount of these services, and in 2024 they amounted to approximately $360,000. Korn Ferry reports directly to the Compensation Committee, and the Compensation Committee may replace Korn Ferry or hire additional consultants at any time. Korn Ferry attends Compensation Committee meetings and communicates with the Chair of the Compensation Committee, as well as other Compensation Committee members, between meetings from time to time. </w:t>
      </w:r>
    </w:p>
    <w:p>
      <w:pPr>
        <w:pStyle w:val="TextBody"/>
        <w:bidi w:val="0"/>
        <w:spacing w:before="240" w:after="0"/>
        <w:jc w:val="left"/>
        <w:rPr>
          <w:rFonts w:ascii="arial" w:hAnsi="arial"/>
          <w:sz w:val="22"/>
        </w:rPr>
      </w:pPr>
      <w:r>
        <w:rPr>
          <w:rFonts w:ascii="arial" w:hAnsi="arial"/>
          <w:sz w:val="22"/>
        </w:rPr>
        <w:t xml:space="preserve">The Compensation Committee has assessed the independence of Korn Ferry taking into account, among other things, the factors set forth in Exchange Act Rule 10C-1 and the listing standards of Nasdaq, and has concluded that no conflict of interest exists with respect to the work that Korn Ferry performs for the Compensation Committee. </w:t>
      </w:r>
    </w:p>
    <w:p>
      <w:pPr>
        <w:pStyle w:val="TextBody"/>
        <w:bidi w:val="0"/>
        <w:spacing w:before="360" w:after="0"/>
        <w:jc w:val="left"/>
        <w:rPr>
          <w:rFonts w:ascii="arial" w:hAnsi="arial"/>
          <w:sz w:val="22"/>
          <w:u w:val="single"/>
        </w:rPr>
      </w:pPr>
      <w:r>
        <w:rPr>
          <w:rFonts w:ascii="arial" w:hAnsi="arial"/>
          <w:sz w:val="22"/>
          <w:u w:val="single"/>
        </w:rPr>
        <w:t xml:space="preserve">Compensation Policies and Practices Risk Assessment </w:t>
      </w:r>
    </w:p>
    <w:p>
      <w:pPr>
        <w:pStyle w:val="TextBody"/>
        <w:bidi w:val="0"/>
        <w:spacing w:before="120" w:after="0"/>
        <w:jc w:val="left"/>
        <w:rPr>
          <w:rFonts w:ascii="arial" w:hAnsi="arial"/>
          <w:sz w:val="22"/>
        </w:rPr>
      </w:pPr>
      <w:r>
        <w:rPr>
          <w:rFonts w:ascii="arial" w:hAnsi="arial"/>
          <w:sz w:val="22"/>
        </w:rPr>
        <w:t xml:space="preserve">At the request of the Compensation Committee, Korn Ferry assessed the risk profile of Sabre’s executive compensation programs and management assessed the risk profile of Sabre’s other compensation programs. Based on these reviews, management and the Compensation Committee have concluded that Sabre’s compensation policies and practices, taken as a whole, are not reasonably likely to have a material adverse impact on Sabre. </w:t>
      </w:r>
    </w:p>
    <w:p>
      <w:pPr>
        <w:pStyle w:val="TextBody"/>
        <w:bidi w:val="0"/>
        <w:spacing w:before="360" w:after="0"/>
        <w:jc w:val="left"/>
        <w:rPr>
          <w:rFonts w:ascii="arial" w:hAnsi="arial"/>
          <w:i/>
          <w:sz w:val="22"/>
        </w:rPr>
      </w:pPr>
      <w:r>
        <w:rPr>
          <w:rFonts w:ascii="arial" w:hAnsi="arial"/>
          <w:i/>
          <w:sz w:val="22"/>
        </w:rPr>
        <w:t xml:space="preserve">Nominating and Governance Committee </w:t>
      </w:r>
    </w:p>
    <w:p>
      <w:pPr>
        <w:pStyle w:val="TextBody"/>
        <w:bidi w:val="0"/>
        <w:spacing w:before="120" w:after="0"/>
        <w:jc w:val="left"/>
        <w:rPr>
          <w:rFonts w:ascii="arial" w:hAnsi="arial"/>
          <w:sz w:val="22"/>
        </w:rPr>
      </w:pPr>
      <w:r>
        <w:rPr>
          <w:rFonts w:ascii="arial" w:hAnsi="arial"/>
          <w:sz w:val="22"/>
        </w:rPr>
        <w:t xml:space="preserve">The Nominating and Governance Committee assists the Board of Directors in the oversight of, among other things, the following items: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review of the performance of our Board of Directors and any recommendations to the Board of Directors regarding the selection of candidates, qualification and competency requirements for service on the Board of Directors, and the suitability of proposed nominees as directors,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125"/>
        <w:gridCol w:w="60"/>
        <w:gridCol w:w="52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arial" w:hAnsi="arial"/>
                <w:sz w:val="22"/>
              </w:rPr>
            </w:pPr>
            <w:r>
              <w:rPr>
                <w:rFonts w:ascii="arial" w:hAnsi="arial"/>
                <w:sz w:val="22"/>
              </w:rPr>
              <w:t xml:space="preserve">corporate governance principles applicable to Sabre,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125"/>
        <w:gridCol w:w="60"/>
        <w:gridCol w:w="69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arial" w:hAnsi="arial"/>
                <w:sz w:val="22"/>
              </w:rPr>
            </w:pPr>
            <w:r>
              <w:rPr>
                <w:rFonts w:ascii="arial" w:hAnsi="arial"/>
                <w:sz w:val="22"/>
              </w:rPr>
              <w:t xml:space="preserve">leadership of the annual review of the Board of Directors’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risks to Sabre associated with corporate governance, including Board leadership structure, succession planning, and other related governance matters, and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25"/>
        <w:gridCol w:w="60"/>
        <w:gridCol w:w="73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arial" w:hAnsi="arial"/>
                <w:sz w:val="22"/>
              </w:rPr>
            </w:pPr>
            <w:r>
              <w:rPr>
                <w:rFonts w:ascii="arial" w:hAnsi="arial"/>
                <w:sz w:val="22"/>
              </w:rPr>
              <w:t xml:space="preserve">environmental, social, and governance (ESG) matters applicable to Sabre. </w:t>
            </w:r>
          </w:p>
        </w:tc>
      </w:tr>
    </w:tbl>
    <w:p>
      <w:pPr>
        <w:pStyle w:val="TextBody"/>
        <w:bidi w:val="0"/>
        <w:spacing w:before="240" w:after="0"/>
        <w:jc w:val="left"/>
        <w:rPr>
          <w:rFonts w:ascii="arial" w:hAnsi="arial"/>
          <w:sz w:val="22"/>
        </w:rPr>
      </w:pPr>
      <w:r>
        <w:rPr>
          <w:rFonts w:ascii="arial" w:hAnsi="arial"/>
          <w:sz w:val="22"/>
        </w:rPr>
        <w:t xml:space="preserve">The members of the Nominating and Governance Committee are Gail Mandel (Chair), John Scott, and Wendi Sturgis. Each of these individuals is “independent,” as defined under Nasdaq rules. The Nominating and Governance Committee met five times in 2024. </w:t>
      </w:r>
    </w:p>
    <w:p>
      <w:pPr>
        <w:pStyle w:val="TextBody"/>
        <w:bidi w:val="0"/>
        <w:spacing w:before="360" w:after="0"/>
        <w:jc w:val="left"/>
        <w:rPr>
          <w:rFonts w:ascii="arial" w:hAnsi="arial"/>
          <w:i/>
          <w:sz w:val="22"/>
        </w:rPr>
      </w:pPr>
      <w:r>
        <w:rPr>
          <w:rFonts w:ascii="arial" w:hAnsi="arial"/>
          <w:i/>
          <w:sz w:val="22"/>
        </w:rPr>
        <w:t xml:space="preserve">Technology Committee </w:t>
      </w:r>
    </w:p>
    <w:p>
      <w:pPr>
        <w:pStyle w:val="TextBody"/>
        <w:bidi w:val="0"/>
        <w:spacing w:before="120" w:after="0"/>
        <w:jc w:val="left"/>
        <w:rPr>
          <w:rFonts w:ascii="arial" w:hAnsi="arial"/>
          <w:sz w:val="22"/>
        </w:rPr>
      </w:pPr>
      <w:r>
        <w:rPr>
          <w:rFonts w:ascii="arial" w:hAnsi="arial"/>
          <w:sz w:val="22"/>
        </w:rPr>
        <w:t xml:space="preserve">The Technology Committee assists the Board of Directors in the oversight of, among other things, the following items: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appraisal of major technology-related projects and recommendations to our Board of Directors regarding our technology strategies,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18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review of the quality and effectiveness of Sabre’s information technology security, data privacy, and disaster recovery capabilities,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provision of advice to our senior technology management team with respect to existing trends in information technology and new technologies, applications, and systems, including artificial intelligence,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in coordination with the Audit Committee, risks related to the quality and effectiveness of Sabre’s information technology security, data privacy, and disaster recovery capabilities. </w:t>
            </w:r>
          </w:p>
        </w:tc>
      </w:tr>
    </w:tbl>
    <w:p>
      <w:pPr>
        <w:pStyle w:val="TextBody"/>
        <w:bidi w:val="0"/>
        <w:spacing w:before="240" w:after="0"/>
        <w:jc w:val="left"/>
        <w:rPr>
          <w:rFonts w:ascii="arial" w:hAnsi="arial"/>
          <w:sz w:val="22"/>
        </w:rPr>
      </w:pPr>
      <w:r>
        <w:rPr>
          <w:rFonts w:ascii="arial" w:hAnsi="arial"/>
          <w:sz w:val="22"/>
        </w:rPr>
        <w:t xml:space="preserve">The members of the Technology Committee are Hervé Couturier (Chair), Kurt Ekert, Eric Kelly, Phyllis Newhouse, and Elaine Paul. The Technology Committee met four times in 2024. </w:t>
      </w:r>
    </w:p>
    <w:p>
      <w:pPr>
        <w:pStyle w:val="TextBody"/>
        <w:bidi w:val="0"/>
        <w:spacing w:before="360" w:after="0"/>
        <w:jc w:val="left"/>
        <w:rPr>
          <w:rFonts w:ascii="arial" w:hAnsi="arial"/>
          <w:i/>
          <w:sz w:val="22"/>
        </w:rPr>
      </w:pPr>
      <w:r>
        <w:rPr>
          <w:rFonts w:ascii="arial" w:hAnsi="arial"/>
          <w:i/>
          <w:sz w:val="22"/>
        </w:rPr>
        <w:t xml:space="preserve">Executive Committee </w:t>
      </w:r>
    </w:p>
    <w:p>
      <w:pPr>
        <w:pStyle w:val="TextBody"/>
        <w:bidi w:val="0"/>
        <w:spacing w:before="120" w:after="0"/>
        <w:jc w:val="left"/>
        <w:rPr>
          <w:rFonts w:ascii="arial" w:hAnsi="arial"/>
          <w:sz w:val="22"/>
        </w:rPr>
      </w:pPr>
      <w:r>
        <w:rPr>
          <w:rFonts w:ascii="arial" w:hAnsi="arial"/>
          <w:sz w:val="22"/>
        </w:rPr>
        <w:t xml:space="preserve">The Executive Committee’s principal function is to exercise, when necessary between meetings of the Board of Directors, certain of the Board of Directors’ powers and authority in the management of our business and affairs, and to act on behalf of the Board of Directors. </w:t>
      </w:r>
    </w:p>
    <w:p>
      <w:pPr>
        <w:pStyle w:val="TextBody"/>
        <w:bidi w:val="0"/>
        <w:spacing w:before="240" w:after="0"/>
        <w:jc w:val="left"/>
        <w:rPr>
          <w:rFonts w:ascii="arial" w:hAnsi="arial"/>
          <w:sz w:val="22"/>
        </w:rPr>
      </w:pPr>
      <w:r>
        <w:rPr>
          <w:rFonts w:ascii="arial" w:hAnsi="arial"/>
          <w:sz w:val="22"/>
        </w:rPr>
        <w:t xml:space="preserve">The members of the Executive Committee are Gail Mandel (Chair), George Bravante, Jr., Hervé Couturier, Kurt Ekert, and John Scott. The Executive Committee did not meet in 2024. </w:t>
      </w:r>
    </w:p>
    <w:p>
      <w:pPr>
        <w:pStyle w:val="TextBody"/>
        <w:bidi w:val="0"/>
        <w:spacing w:before="360" w:after="0"/>
        <w:jc w:val="left"/>
        <w:rPr>
          <w:rFonts w:ascii="arial" w:hAnsi="arial"/>
          <w:b/>
          <w:color w:val="CF0A2C"/>
          <w:sz w:val="28"/>
        </w:rPr>
      </w:pPr>
      <w:bookmarkStart w:id="28" w:name="tx888712_26"/>
      <w:bookmarkEnd w:id="28"/>
      <w:r>
        <w:rPr>
          <w:rFonts w:ascii="arial" w:hAnsi="arial"/>
          <w:b/>
          <w:color w:val="CF0A2C"/>
          <w:sz w:val="28"/>
        </w:rPr>
        <w:t xml:space="preserve">Compensation Committee Interlocks and Insider Participation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As of the date of this proxy statement, none of our executive officers serves, or in the past year has served, as a member of the Board of Directors or compensation committee of any entity that has one or more executive officers serving on our Board of Directors or Compensation Committee. </w:t>
      </w:r>
    </w:p>
    <w:p>
      <w:pPr>
        <w:pStyle w:val="TextBody"/>
        <w:bidi w:val="0"/>
        <w:spacing w:before="360" w:after="0"/>
        <w:jc w:val="left"/>
        <w:rPr>
          <w:rFonts w:ascii="arial" w:hAnsi="arial"/>
          <w:b/>
          <w:color w:val="CF0A2C"/>
          <w:sz w:val="28"/>
        </w:rPr>
      </w:pPr>
      <w:bookmarkStart w:id="29" w:name="tx888712_27"/>
      <w:bookmarkEnd w:id="29"/>
      <w:r>
        <w:rPr>
          <w:rFonts w:ascii="arial" w:hAnsi="arial"/>
          <w:b/>
          <w:color w:val="CF0A2C"/>
          <w:sz w:val="28"/>
        </w:rPr>
        <w:t xml:space="preserve">Other Corporate Governance Practices and Matters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i/>
          <w:sz w:val="22"/>
        </w:rPr>
      </w:pPr>
      <w:r>
        <w:rPr>
          <w:rFonts w:ascii="arial" w:hAnsi="arial"/>
          <w:i/>
          <w:sz w:val="22"/>
        </w:rPr>
        <w:t xml:space="preserve">Proxy Access </w:t>
      </w:r>
    </w:p>
    <w:p>
      <w:pPr>
        <w:pStyle w:val="TextBody"/>
        <w:bidi w:val="0"/>
        <w:spacing w:before="120" w:after="0"/>
        <w:jc w:val="left"/>
        <w:rPr>
          <w:rFonts w:ascii="arial" w:hAnsi="arial"/>
          <w:sz w:val="22"/>
        </w:rPr>
      </w:pPr>
      <w:r>
        <w:rPr>
          <w:rFonts w:ascii="arial" w:hAnsi="arial"/>
          <w:sz w:val="22"/>
        </w:rPr>
        <w:t xml:space="preserve">The Board of Directors has amended our Bylaws to implement proxy access. The proxy access provisions in our Bylaws generally permit a stockholder or group of up to 20 stockholders owning 3% or more of our outstanding common stock continuously for at least three years to nominate and include in our proxy materials director nominees constituting up to the greater of 20% of the Board of Directors or two individuals, provided that such stockholders and nominees satisfy the requirements specified in the Bylaws. </w:t>
      </w:r>
    </w:p>
    <w:p>
      <w:pPr>
        <w:pStyle w:val="TextBody"/>
        <w:bidi w:val="0"/>
        <w:spacing w:before="360" w:after="0"/>
        <w:jc w:val="left"/>
        <w:rPr>
          <w:rFonts w:ascii="arial" w:hAnsi="arial"/>
          <w:i/>
          <w:sz w:val="22"/>
        </w:rPr>
      </w:pPr>
      <w:r>
        <w:rPr>
          <w:rFonts w:ascii="arial" w:hAnsi="arial"/>
          <w:i/>
          <w:sz w:val="22"/>
        </w:rPr>
        <w:t xml:space="preserve">Simple Majority Voting Provisions </w:t>
      </w:r>
    </w:p>
    <w:p>
      <w:pPr>
        <w:pStyle w:val="TextBody"/>
        <w:bidi w:val="0"/>
        <w:spacing w:before="120" w:after="0"/>
        <w:jc w:val="left"/>
        <w:rPr>
          <w:rFonts w:ascii="arial" w:hAnsi="arial"/>
          <w:sz w:val="22"/>
        </w:rPr>
      </w:pPr>
      <w:r>
        <w:rPr>
          <w:rFonts w:ascii="arial" w:hAnsi="arial"/>
          <w:sz w:val="22"/>
        </w:rPr>
        <w:t xml:space="preserve">Stockholders have approved an amendment to our Certificate of Incorporation that eliminated the supermajority voting provisions contained in our Certificate of Incorporation in favor of simple majority voting requirements contained in our Certificate of Incorporation. </w:t>
      </w:r>
    </w:p>
    <w:p>
      <w:pPr>
        <w:pStyle w:val="TextBody"/>
        <w:bidi w:val="0"/>
        <w:spacing w:before="360" w:after="0"/>
        <w:jc w:val="left"/>
        <w:rPr>
          <w:rFonts w:ascii="arial" w:hAnsi="arial"/>
          <w:i/>
          <w:sz w:val="22"/>
        </w:rPr>
      </w:pPr>
      <w:r>
        <w:rPr>
          <w:rFonts w:ascii="arial" w:hAnsi="arial"/>
          <w:i/>
          <w:sz w:val="22"/>
        </w:rPr>
        <w:t xml:space="preserve">Annual Election of Directors </w:t>
      </w:r>
    </w:p>
    <w:p>
      <w:pPr>
        <w:pStyle w:val="TextBody"/>
        <w:bidi w:val="0"/>
        <w:spacing w:before="120" w:after="0"/>
        <w:jc w:val="left"/>
        <w:rPr>
          <w:rFonts w:ascii="arial" w:hAnsi="arial"/>
          <w:sz w:val="22"/>
        </w:rPr>
      </w:pPr>
      <w:r>
        <w:rPr>
          <w:rFonts w:ascii="arial" w:hAnsi="arial"/>
          <w:sz w:val="22"/>
        </w:rPr>
        <w:t xml:space="preserve">Stockholders have approved amendments to our Certificate of Incorporation to provide that directors will be elected on an annual basis instead of for staggered terms of three years each. Under the amendment, all directors are elected annually.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19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2765"/>
        <w:gridCol w:w="60"/>
        <w:gridCol w:w="23"/>
        <w:gridCol w:w="60"/>
        <w:gridCol w:w="23"/>
        <w:gridCol w:w="60"/>
        <w:gridCol w:w="23"/>
        <w:gridCol w:w="60"/>
        <w:gridCol w:w="38"/>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CORPORATE GOVERNANCE 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Majority Voting for Directors in Uncontested Elections </w:t>
      </w:r>
    </w:p>
    <w:p>
      <w:pPr>
        <w:pStyle w:val="TextBody"/>
        <w:bidi w:val="0"/>
        <w:spacing w:before="120" w:after="0"/>
        <w:jc w:val="left"/>
        <w:rPr>
          <w:rFonts w:ascii="arial" w:hAnsi="arial"/>
          <w:sz w:val="22"/>
        </w:rPr>
      </w:pPr>
      <w:r>
        <w:rPr>
          <w:rFonts w:ascii="arial" w:hAnsi="arial"/>
          <w:sz w:val="22"/>
        </w:rPr>
        <w:t xml:space="preserve">The Board of Directors and our stockholders have approved an amendment to our Certificate of Incorporation to facilitate the implementation of a majority vote standard in uncontested director elections. As a result, our Bylaws now provide for a majority vote standard in these elections. </w:t>
      </w:r>
    </w:p>
    <w:p>
      <w:pPr>
        <w:pStyle w:val="TextBody"/>
        <w:bidi w:val="0"/>
        <w:spacing w:before="360" w:after="0"/>
        <w:jc w:val="left"/>
        <w:rPr>
          <w:rFonts w:ascii="arial" w:hAnsi="arial"/>
          <w:i/>
          <w:sz w:val="22"/>
        </w:rPr>
      </w:pPr>
      <w:r>
        <w:rPr>
          <w:rFonts w:ascii="arial" w:hAnsi="arial"/>
          <w:i/>
          <w:sz w:val="22"/>
        </w:rPr>
        <w:t xml:space="preserve">Communicating with Directors </w:t>
      </w:r>
    </w:p>
    <w:p>
      <w:pPr>
        <w:pStyle w:val="TextBody"/>
        <w:bidi w:val="0"/>
        <w:spacing w:before="120" w:after="0"/>
        <w:jc w:val="left"/>
        <w:rPr>
          <w:rFonts w:ascii="arial" w:hAnsi="arial"/>
          <w:sz w:val="22"/>
        </w:rPr>
      </w:pPr>
      <w:r>
        <w:rPr>
          <w:rFonts w:ascii="arial" w:hAnsi="arial"/>
          <w:sz w:val="22"/>
        </w:rPr>
        <w:t xml:space="preserve">Stockholders and other interested parties may communicate with our Board of Directors by writing to the Board of Directors, c/o Corporate Secretary, Sabre Corporation, 3150 Sabre Drive, Southlake, Texas 76092. You may also find information on communicating with the Board of Directors on the investor relations section of our website at </w:t>
      </w:r>
      <w:r>
        <w:rPr>
          <w:rFonts w:ascii="arial" w:hAnsi="arial"/>
          <w:sz w:val="22"/>
          <w:u w:val="single"/>
        </w:rPr>
        <w:t>investors.sabre.com</w:t>
      </w:r>
      <w:r>
        <w:rPr>
          <w:rFonts w:ascii="arial" w:hAnsi="arial"/>
          <w:sz w:val="22"/>
        </w:rPr>
        <w:t xml:space="preserve">. </w:t>
      </w:r>
    </w:p>
    <w:p>
      <w:pPr>
        <w:pStyle w:val="TextBody"/>
        <w:bidi w:val="0"/>
        <w:spacing w:before="360" w:after="0"/>
        <w:jc w:val="left"/>
        <w:rPr>
          <w:rFonts w:ascii="arial" w:hAnsi="arial"/>
          <w:i/>
          <w:sz w:val="22"/>
        </w:rPr>
      </w:pPr>
      <w:r>
        <w:rPr>
          <w:rFonts w:ascii="arial" w:hAnsi="arial"/>
          <w:i/>
          <w:sz w:val="22"/>
        </w:rPr>
        <w:t xml:space="preserve">Code of Conduct </w:t>
      </w:r>
    </w:p>
    <w:p>
      <w:pPr>
        <w:pStyle w:val="TextBody"/>
        <w:bidi w:val="0"/>
        <w:spacing w:before="120" w:after="0"/>
        <w:jc w:val="left"/>
        <w:rPr>
          <w:rFonts w:ascii="arial" w:hAnsi="arial"/>
          <w:sz w:val="22"/>
        </w:rPr>
      </w:pPr>
      <w:r>
        <w:rPr>
          <w:rFonts w:ascii="arial" w:hAnsi="arial"/>
          <w:sz w:val="22"/>
        </w:rPr>
        <w:t xml:space="preserve">We have adopted a Code of Conduct, which is the code of conduct applicable to all of our directors, officers, and employees. The Code of Conduct is available on the investor relations section of our website at </w:t>
      </w:r>
      <w:r>
        <w:rPr>
          <w:rFonts w:ascii="arial" w:hAnsi="arial"/>
          <w:sz w:val="22"/>
          <w:u w:val="single"/>
        </w:rPr>
        <w:t>investors.sabre.com</w:t>
      </w:r>
      <w:r>
        <w:rPr>
          <w:rFonts w:ascii="arial" w:hAnsi="arial"/>
          <w:sz w:val="22"/>
        </w:rPr>
        <w:t xml:space="preserve">. Any change or amendment to the Code of Conduct, and any waivers of the Code of Conduct for our directors, CEO, or senior financial officers, will be available on our website at the above location. </w:t>
      </w:r>
    </w:p>
    <w:p>
      <w:pPr>
        <w:pStyle w:val="TextBody"/>
        <w:bidi w:val="0"/>
        <w:spacing w:before="360" w:after="0"/>
        <w:jc w:val="left"/>
        <w:rPr>
          <w:rFonts w:ascii="arial" w:hAnsi="arial"/>
          <w:i/>
          <w:sz w:val="22"/>
        </w:rPr>
      </w:pPr>
      <w:r>
        <w:rPr>
          <w:rFonts w:ascii="arial" w:hAnsi="arial"/>
          <w:i/>
          <w:sz w:val="22"/>
        </w:rPr>
        <w:t xml:space="preserve">Board and Management Roles in Risk Oversight </w:t>
      </w:r>
    </w:p>
    <w:p>
      <w:pPr>
        <w:pStyle w:val="TextBody"/>
        <w:bidi w:val="0"/>
        <w:spacing w:before="120" w:after="0"/>
        <w:jc w:val="left"/>
        <w:rPr>
          <w:rFonts w:ascii="arial" w:hAnsi="arial"/>
          <w:sz w:val="22"/>
        </w:rPr>
      </w:pPr>
      <w:r>
        <w:rPr>
          <w:rFonts w:ascii="arial" w:hAnsi="arial"/>
          <w:sz w:val="22"/>
        </w:rPr>
        <w:t xml:space="preserve">Our Board of Directors has the primary responsibility for risk oversight of Sabre as a whole. The Audit Committee is responsible for overseeing risks associated with financial and accounting matters, including compliance with legal and regulatory requirements and internal control over financial reporting. In addition, the Audit Committee has oversight responsibility relating to the evaluation of enterprise risk issues, as well as for reviewing Sabre’s procedures with respect to risk management. The Audit Committee further has oversight authority to review our plans to mitigate cybersecurity risks. We maintain an enterprise risk management program, which includes periodic assessments of various significant strategic risks, including possible emerging risks. These assessments occur on at least on an annual basis. These assessments are shared with our Disclosure Committee and the Audit Committee, with periodic updates provided to the Audit Committee. We also maintain a dedicated compliance function which reports to our Chief Legal Officer and which provides quarterly reports to the Audit Committee. </w:t>
      </w:r>
    </w:p>
    <w:p>
      <w:pPr>
        <w:pStyle w:val="TextBody"/>
        <w:bidi w:val="0"/>
        <w:spacing w:before="240" w:after="0"/>
        <w:jc w:val="left"/>
        <w:rPr>
          <w:rFonts w:ascii="arial" w:hAnsi="arial"/>
          <w:sz w:val="22"/>
        </w:rPr>
      </w:pPr>
      <w:r>
        <w:rPr>
          <w:rFonts w:ascii="arial" w:hAnsi="arial"/>
          <w:sz w:val="22"/>
        </w:rPr>
        <w:t xml:space="preserve">The Board of Directors has also charged the Compensation Committee with evaluating Sabre’s compensation program, taking into account Sabre’s business strategy and risks to Sabre and its business implied by the compensation program. See “Compensation Policies and Practices Risk Assessment.” The Nominating and Governance Committee oversees risks associated with corporate governance, including Board leadership structure, succession planning, and other matters, as well as overseeing risks related to ESG matters. The Technology Committee, in coordination with the Audit Committee, is responsible for periodically reviewing, appraising, and discussing with management the quality and effectiveness of Sabre’s information technology security, data privacy, and disaster recovery capabilities. </w:t>
      </w:r>
    </w:p>
    <w:p>
      <w:pPr>
        <w:pStyle w:val="TextBody"/>
        <w:bidi w:val="0"/>
        <w:spacing w:before="240" w:after="0"/>
        <w:jc w:val="left"/>
        <w:rPr>
          <w:rFonts w:ascii="arial" w:hAnsi="arial"/>
          <w:sz w:val="22"/>
        </w:rPr>
      </w:pPr>
      <w:r>
        <w:rPr>
          <w:rFonts w:ascii="arial" w:hAnsi="arial"/>
          <w:sz w:val="22"/>
        </w:rPr>
        <w:t xml:space="preserve">We believe that the leadership structure of the Board of Directors is designed to support effective oversight of our risk management processes described above by providing independent leadership at the Board committee level, with ultimate oversight by the full Board of Directors as led by the Chair of the Board. </w:t>
      </w:r>
    </w:p>
    <w:p>
      <w:pPr>
        <w:pStyle w:val="TextBody"/>
        <w:bidi w:val="0"/>
        <w:spacing w:before="0" w:after="0"/>
        <w:jc w:val="left"/>
        <w:rPr/>
      </w:pPr>
      <w:r>
        <w:rPr/>
        <w:t>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CORPORATE GOVERNANCE 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caps w:val="false"/>
          <w:smallCaps w:val="false"/>
          <w:spacing w:val="0"/>
          <w:sz w:val="22"/>
        </w:rPr>
      </w:pPr>
      <w:r>
        <w:rPr>
          <w:rFonts w:ascii="arial" w:hAnsi="arial"/>
          <w:i/>
          <w:caps w:val="false"/>
          <w:smallCaps w:val="false"/>
          <w:spacing w:val="0"/>
          <w:sz w:val="22"/>
        </w:rPr>
        <w:t xml:space="preserve">ESG Matters Oversight </w:t>
      </w:r>
    </w:p>
    <w:p>
      <w:pPr>
        <w:pStyle w:val="TextBody"/>
        <w:bidi w:val="0"/>
        <w:spacing w:before="120" w:after="0"/>
        <w:jc w:val="left"/>
        <w:rPr>
          <w:rFonts w:ascii="arial" w:hAnsi="arial"/>
          <w:sz w:val="22"/>
        </w:rPr>
      </w:pPr>
      <w:r>
        <w:rPr>
          <w:rFonts w:ascii="arial" w:hAnsi="arial"/>
          <w:sz w:val="22"/>
        </w:rPr>
        <w:t xml:space="preserve">The Board of Directors has charged the Nominating and Governance Committee with responsibility for overseeing our strategy, initiatives, and engagement with investors and other key stakeholders related to ESG matters, other than those specifically related to the operation and structure of our compensation program (which is the primary responsibility of the Compensation Committee). </w:t>
      </w:r>
    </w:p>
    <w:p>
      <w:pPr>
        <w:pStyle w:val="TextBody"/>
        <w:bidi w:val="0"/>
        <w:spacing w:before="360" w:after="0"/>
        <w:jc w:val="left"/>
        <w:rPr>
          <w:rFonts w:ascii="arial" w:hAnsi="arial"/>
          <w:i/>
          <w:caps w:val="false"/>
          <w:smallCaps w:val="false"/>
          <w:spacing w:val="0"/>
          <w:sz w:val="22"/>
        </w:rPr>
      </w:pPr>
      <w:r>
        <w:rPr>
          <w:rFonts w:ascii="arial" w:hAnsi="arial"/>
          <w:i/>
          <w:caps w:val="false"/>
          <w:smallCaps w:val="false"/>
          <w:spacing w:val="0"/>
          <w:sz w:val="22"/>
        </w:rPr>
        <w:t xml:space="preserve">Whistleblower Procedures </w:t>
      </w:r>
    </w:p>
    <w:p>
      <w:pPr>
        <w:pStyle w:val="TextBody"/>
        <w:bidi w:val="0"/>
        <w:spacing w:before="120" w:after="0"/>
        <w:jc w:val="left"/>
        <w:rPr>
          <w:rFonts w:ascii="arial" w:hAnsi="arial"/>
          <w:sz w:val="22"/>
        </w:rPr>
      </w:pPr>
      <w:r>
        <w:rPr>
          <w:rFonts w:ascii="arial" w:hAnsi="arial"/>
          <w:sz w:val="22"/>
        </w:rPr>
        <w:t xml:space="preserve">The Audit Committee has established procedures for receiving, recording, and addressing any complaints we receive regarding accounting, internal accounting controls, or auditing matters, and for the confidential and anonymous submission, by our employees or others, of any concerns about our accounting or auditing practices. We also maintain a toll-free hotline telephone line and a website, each allowing our employees and others to voice their concerns anonymously. </w:t>
      </w:r>
    </w:p>
    <w:p>
      <w:pPr>
        <w:pStyle w:val="TextBody"/>
        <w:bidi w:val="0"/>
        <w:spacing w:before="360" w:after="0"/>
        <w:jc w:val="left"/>
        <w:rPr>
          <w:rFonts w:ascii="arial" w:hAnsi="arial"/>
          <w:i/>
          <w:caps w:val="false"/>
          <w:smallCaps w:val="false"/>
          <w:spacing w:val="0"/>
          <w:sz w:val="22"/>
        </w:rPr>
      </w:pPr>
      <w:r>
        <w:rPr>
          <w:rFonts w:ascii="arial" w:hAnsi="arial"/>
          <w:i/>
          <w:caps w:val="false"/>
          <w:smallCaps w:val="false"/>
          <w:spacing w:val="0"/>
          <w:sz w:val="22"/>
        </w:rPr>
        <w:t xml:space="preserve">Insider Trading Policy; Derivatives Trading, and Hedging and Pledging Policies </w:t>
      </w:r>
    </w:p>
    <w:p>
      <w:pPr>
        <w:pStyle w:val="TextBody"/>
        <w:bidi w:val="0"/>
        <w:spacing w:before="120" w:after="0"/>
        <w:jc w:val="left"/>
        <w:rPr>
          <w:rFonts w:ascii="arial" w:hAnsi="arial"/>
          <w:sz w:val="22"/>
        </w:rPr>
      </w:pPr>
      <w:r>
        <w:rPr>
          <w:rFonts w:ascii="arial" w:hAnsi="arial"/>
          <w:sz w:val="22"/>
        </w:rPr>
        <w:t xml:space="preserve">We have adopted our Insider Trading Policy governing the purchase, sale, and/or other dispositions of our securities by our directors, officers, and employees, and by Sabre, which we believe is reasonably designed to promote compliance with insider trading laws, rules, and regulations, and the exchange listing standards applicable to us. Among other things, our Insider Trading Policy provides that employees who are recipients of equity grants, as well as individuals who have been designated as insiders, including executive officers and members of our Board of Directors, may not enter into hedging or monetization transactions, including </w:t>
      </w:r>
    </w:p>
    <w:p>
      <w:pPr>
        <w:pStyle w:val="TextBody"/>
        <w:bidi w:val="0"/>
        <w:spacing w:before="120" w:after="0"/>
        <w:jc w:val="left"/>
        <w:rPr>
          <w:rFonts w:ascii="arial" w:hAnsi="arial"/>
          <w:spacing w:val="0"/>
          <w:sz w:val="22"/>
        </w:rPr>
      </w:pPr>
      <w:r>
        <w:rPr>
          <w:rFonts w:ascii="arial" w:hAnsi="arial"/>
          <w:spacing w:val="0"/>
          <w:sz w:val="22"/>
        </w:rPr>
        <w:t>zero-cost</w:t>
      </w:r>
    </w:p>
    <w:p>
      <w:pPr>
        <w:pStyle w:val="TextBody"/>
        <w:bidi w:val="0"/>
        <w:spacing w:before="120" w:after="0"/>
        <w:jc w:val="left"/>
        <w:rPr>
          <w:rFonts w:ascii="arial" w:hAnsi="arial"/>
          <w:sz w:val="22"/>
        </w:rPr>
      </w:pPr>
      <w:r>
        <w:rPr>
          <w:rFonts w:ascii="arial" w:hAnsi="arial"/>
          <w:sz w:val="22"/>
        </w:rPr>
        <w:t xml:space="preserve">collars, equity swaps, exchange funds, and forward sale contracts. Similarly, our Insider Trading Policy generally prohibits these individuals from pledging any of their shares of our common stock as collateral for a loan or other financial arrangement. </w:t>
      </w:r>
    </w:p>
    <w:p>
      <w:pPr>
        <w:pStyle w:val="TextBody"/>
        <w:bidi w:val="0"/>
        <w:spacing w:before="0" w:after="0"/>
        <w:jc w:val="left"/>
        <w:rPr/>
      </w:pPr>
      <w:r>
        <w:rPr/>
        <w:t> </w:t>
      </w:r>
    </w:p>
    <w:tbl>
      <w:tblPr>
        <w:tblW w:w="4445"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3171"/>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1" w:type="dxa"/>
            <w:tcBorders/>
            <w:vAlign w:val="center"/>
          </w:tcPr>
          <w:p>
            <w:pPr>
              <w:pStyle w:val="TableContents"/>
              <w:bidi w:val="0"/>
              <w:spacing w:before="0" w:after="0"/>
              <w:jc w:val="right"/>
              <w:rPr>
                <w:color w:val="CF0A2C"/>
                <w:spacing w:val="0"/>
              </w:rPr>
            </w:pPr>
            <w:r>
              <w:rPr>
                <w:color w:val="CF0A2C"/>
                <w:spacing w:val="0"/>
              </w:rPr>
              <w:drawing>
                <wp:inline distT="0" distB="0" distL="0" distR="0">
                  <wp:extent cx="505460" cy="12255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05460" cy="122555"/>
                          </a:xfrm>
                          <a:prstGeom prst="rect">
                            <a:avLst/>
                          </a:prstGeom>
                        </pic:spPr>
                      </pic:pic>
                    </a:graphicData>
                  </a:graphic>
                </wp:inline>
              </w:drawing>
            </w:r>
            <w:r>
              <w:rPr>
                <w:color w:val="CF0A2C"/>
                <w:spacing w:val="0"/>
              </w:rPr>
              <w:t xml:space="preserve">  </w:t>
            </w:r>
            <w:r>
              <w:rPr>
                <w:b/>
                <w:color w:val="CF0A2C"/>
                <w:spacing w:val="0"/>
              </w:rPr>
              <w:t>Sabre Corporation </w:t>
            </w:r>
          </w:p>
          <w:p>
            <w:pPr>
              <w:pStyle w:val="TableContents"/>
              <w:bidi w:val="0"/>
              <w:spacing w:before="0" w:after="0"/>
              <w:jc w:val="right"/>
              <w:rPr>
                <w:color w:val="CF0A2C"/>
                <w:spacing w:val="0"/>
              </w:rPr>
            </w:pPr>
            <w:r>
              <w:rPr>
                <w:color w:val="CF0A2C"/>
                <w:spacing w:val="0"/>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260" w:type="dxa"/>
            <w:tcBorders/>
            <w:vAlign w:val="center"/>
          </w:tcPr>
          <w:p>
            <w:pPr>
              <w:pStyle w:val="TableContents"/>
              <w:bidi w:val="0"/>
              <w:spacing w:before="0" w:after="0"/>
              <w:jc w:val="right"/>
              <w:rPr>
                <w:b/>
                <w:color w:val="666666"/>
                <w:spacing w:val="0"/>
              </w:rPr>
            </w:pPr>
            <w:r>
              <w:rPr>
                <w:b/>
                <w:color w:val="666666"/>
                <w:spacing w:val="0"/>
              </w:rPr>
              <w:t>21</w:t>
            </w:r>
          </w:p>
        </w:tc>
        <w:tc>
          <w:tcPr>
            <w:tcW w:w="75" w:type="dxa"/>
            <w:tcBorders/>
            <w:vAlign w:val="center"/>
          </w:tcPr>
          <w:p>
            <w:pPr>
              <w:pStyle w:val="TableContents"/>
              <w:bidi w:val="0"/>
              <w:spacing w:before="0" w:after="0"/>
              <w:jc w:val="left"/>
              <w:rPr>
                <w:color w:val="666666"/>
                <w:spacing w:val="0"/>
              </w:rPr>
            </w:pPr>
            <w:r>
              <w:rPr>
                <w:color w:val="666666"/>
                <w:spacing w:val="0"/>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30" w:name="tx888712_28"/>
      <w:bookmarkEnd w:id="30"/>
      <w:r>
        <w:rPr>
          <w:rFonts w:ascii="arial" w:hAnsi="arial"/>
          <w:b/>
          <w:color w:val="CF0A2C"/>
          <w:sz w:val="44"/>
        </w:rPr>
        <w:t xml:space="preserve">PROPOSAL 1: ELECTION OF DIRECTORS </w:t>
      </w:r>
    </w:p>
    <w:p>
      <w:pPr>
        <w:pStyle w:val="TextBody"/>
        <w:bidi w:val="0"/>
        <w:spacing w:before="440" w:after="0"/>
        <w:jc w:val="left"/>
        <w:rPr>
          <w:rFonts w:ascii="arial" w:hAnsi="arial"/>
          <w:b/>
          <w:color w:val="CF0A2C"/>
          <w:sz w:val="28"/>
        </w:rPr>
      </w:pPr>
      <w:bookmarkStart w:id="31" w:name="tx888712_29"/>
      <w:bookmarkEnd w:id="31"/>
      <w:r>
        <w:rPr>
          <w:rFonts w:ascii="arial" w:hAnsi="arial"/>
          <w:b/>
          <w:color w:val="CF0A2C"/>
          <w:sz w:val="28"/>
        </w:rPr>
        <w:t xml:space="preserve">General Information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Our business and affairs are managed under the direction of our Board of Directors. Our Certificate of Incorporation provides that our Board of Directors shall consist of at least five directors but no more than thirteen directors. </w:t>
      </w:r>
    </w:p>
    <w:p>
      <w:pPr>
        <w:pStyle w:val="TextBody"/>
        <w:bidi w:val="0"/>
        <w:spacing w:before="240" w:after="0"/>
        <w:jc w:val="left"/>
        <w:rPr>
          <w:rFonts w:ascii="arial" w:hAnsi="arial"/>
          <w:sz w:val="22"/>
        </w:rPr>
      </w:pPr>
      <w:r>
        <w:rPr>
          <w:rFonts w:ascii="arial" w:hAnsi="arial"/>
          <w:sz w:val="22"/>
        </w:rPr>
        <w:t xml:space="preserve">As of the date of this proxy statement, the Board of Directors consists of ten members. The Board of Directors, upon the recommendation of the Nominating and Governance Committee, has recommended Ashan Willy for election to the Board of Directors. In addition, Mr. Peterson has notified us that he is retiring from the Board of Directors immediately prior to the Annual Meeting. We would like to thank Mr. Peterson for his many years of service and substantial contributions to the Board of Directors and Sabre. Following Mr. Peterson’s retirement, and if Mr. Willy is elected, the Board of Directors will consist of ten directors. The ten nominees for director set forth on the following pages are proposed to be elected at this year’s Annual Meeting to serve for a term to expire at the 2026 Annual Meeting and until their successors are elected and have been qualified. Should any nominee become unable to serve, proxies may be voted for another person designated by management. All nominees have advised us that they will serve if elected. </w:t>
      </w:r>
    </w:p>
    <w:p>
      <w:pPr>
        <w:pStyle w:val="TextBody"/>
        <w:bidi w:val="0"/>
        <w:spacing w:before="360" w:after="0"/>
        <w:jc w:val="left"/>
        <w:rPr>
          <w:rFonts w:ascii="arial" w:hAnsi="arial"/>
          <w:b/>
          <w:color w:val="CF0A2C"/>
          <w:sz w:val="28"/>
        </w:rPr>
      </w:pPr>
      <w:bookmarkStart w:id="32" w:name="tx888712_30"/>
      <w:bookmarkEnd w:id="32"/>
      <w:r>
        <w:rPr>
          <w:rFonts w:ascii="arial" w:hAnsi="arial"/>
          <w:b/>
          <w:color w:val="CF0A2C"/>
          <w:sz w:val="28"/>
        </w:rPr>
        <w:t xml:space="preserve">Certain Information Regarding Nominees for Director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names of the nominees, their ages as of March 13, 2025, the year they first became directors, their principal occupations during at least the past five years, information regarding director qualifications, and certain other biographical information are set forth below. Information is also provided on public company boards with a class of securities registered pursuant to Section 12 of the Exchange Act or subject to the requirements of Section 15(d) of the Exchange Act or registered under the Investment Company Act of 1940 on which they have served on since January 1, 2020. All of the nominees are current directors standing for reelection.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r>
        <w:rPr>
          <w:rFonts w:ascii="arial" w:hAnsi="arial"/>
          <w:b/>
          <w:color w:val="CF0A2C"/>
          <w:sz w:val="28"/>
        </w:rPr>
        <w:t xml:space="preserve">NOMINEES FOR ELECTION TO THE BOARD OF DIRECTORS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arial" w:hAnsi="arial"/>
          <w:b/>
          <w:sz w:val="22"/>
        </w:rPr>
      </w:pPr>
      <w:r>
        <w:rPr>
          <w:rFonts w:ascii="arial" w:hAnsi="arial"/>
          <w:b/>
          <w:sz w:val="22"/>
        </w:rPr>
        <w:t xml:space="preserve">For a One-Year Term Expiring at the 2025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0"/>
        <w:gridCol w:w="120"/>
        <w:gridCol w:w="7175"/>
      </w:tblGrid>
      <w:tr>
        <w:trPr/>
        <w:tc>
          <w:tcPr>
            <w:tcW w:w="2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75" w:type="dxa"/>
            <w:tcBorders/>
            <w:vAlign w:val="center"/>
          </w:tcPr>
          <w:p>
            <w:pPr>
              <w:pStyle w:val="TableContents"/>
              <w:bidi w:val="0"/>
              <w:spacing w:before="0" w:after="283"/>
              <w:jc w:val="left"/>
              <w:rPr>
                <w:sz w:val="4"/>
                <w:szCs w:val="4"/>
              </w:rPr>
            </w:pPr>
            <w:r>
              <w:rPr>
                <w:sz w:val="4"/>
                <w:szCs w:val="4"/>
              </w:rPr>
            </w:r>
          </w:p>
        </w:tc>
      </w:tr>
      <w:tr>
        <w:trPr/>
        <w:tc>
          <w:tcPr>
            <w:tcW w:w="2910" w:type="dxa"/>
            <w:vMerge w:val="restart"/>
            <w:tcBorders>
              <w:top w:val="single" w:sz="6" w:space="0" w:color="000000"/>
              <w:left w:val="single" w:sz="6" w:space="0" w:color="000000"/>
            </w:tcBorders>
            <w:tcMar>
              <w:top w:w="28" w:type="dxa"/>
              <w:left w:w="1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541145" cy="175831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541145" cy="1758315"/>
                          </a:xfrm>
                          <a:prstGeom prst="rect">
                            <a:avLst/>
                          </a:prstGeom>
                        </pic:spPr>
                      </pic:pic>
                    </a:graphicData>
                  </a:graphic>
                </wp:inline>
              </w:drawing>
            </w:r>
            <w:r>
              <w:rPr/>
              <w:t xml:space="preserve">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1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GEORGE R. BRAVANTE, JR. | Independent Director</w:t>
            </w:r>
          </w:p>
          <w:p>
            <w:pPr>
              <w:pStyle w:val="TableContents"/>
              <w:bidi w:val="0"/>
              <w:spacing w:before="0" w:after="20"/>
              <w:jc w:val="left"/>
              <w:rPr/>
            </w:pPr>
            <w:r>
              <w:rPr/>
              <w:t> </w:t>
            </w:r>
          </w:p>
        </w:tc>
      </w:tr>
      <w:tr>
        <w:trPr/>
        <w:tc>
          <w:tcPr>
            <w:tcW w:w="2910" w:type="dxa"/>
            <w:vMerge w:val="continue"/>
            <w:tcBorders>
              <w:top w:val="single" w:sz="6" w:space="0" w:color="000000"/>
              <w:left w:val="single" w:sz="6" w:space="0" w:color="000000"/>
            </w:tcBorders>
            <w:tcMar>
              <w:top w:w="28" w:type="dxa"/>
              <w:left w:w="160" w:type="dxa"/>
            </w:tcMar>
            <w:vAlign w:val="center"/>
          </w:tcPr>
          <w:p>
            <w:pPr>
              <w:pStyle w:val="Normal"/>
              <w:bidi w:val="0"/>
              <w:jc w:val="left"/>
              <w:rPr/>
            </w:pPr>
            <w:r>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7175" w:type="dxa"/>
            <w:tcBorders>
              <w:right w:val="single" w:sz="6" w:space="0" w:color="000000"/>
            </w:tcBorders>
            <w:tcMar>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20"/>
              <w:jc w:val="left"/>
              <w:rPr/>
            </w:pPr>
            <w:r>
              <w:rPr/>
              <w:t>•   </w:t>
            </w:r>
            <w:r>
              <w:rPr>
                <w:rFonts w:ascii="arial" w:hAnsi="arial"/>
                <w:b/>
                <w:sz w:val="18"/>
              </w:rPr>
              <w:t>Experienced capital allocator and entrepreneur focused on brand and business growth.</w:t>
            </w:r>
            <w:r>
              <w:rPr>
                <w:rFonts w:ascii="arial" w:hAnsi="arial"/>
                <w:sz w:val="18"/>
              </w:rPr>
              <w:t xml:space="preserve"> Mr. Bravante is the founder and president of Bravante Farm Capital, a farmland investor. He has spent the past 20 years building a vertically integrated farming business through intentional, carefully researched acquisitions of water-rich parcels of farmland. Mr. Bravante is also the co-founder and managing member of the general partner of Bravante-Curci Investors, an investment firm focusing on real estate in California. Prior to these roles, as CEO of American Real Estate Group, Mr. Bravante was responsible for the strategic management, restructuring and disposition of more than $20 billion in real estate-related assets. While he was President and Chief Operating Officer of Colony Advisors, he oversaw all aspects of the firm’s operations, including financial and asset management and property management and dispositions.</w:t>
            </w:r>
          </w:p>
        </w:tc>
      </w:tr>
      <w:tr>
        <w:trPr/>
        <w:tc>
          <w:tcPr>
            <w:tcW w:w="2910" w:type="dxa"/>
            <w:vMerge w:val="continue"/>
            <w:tcBorders>
              <w:top w:val="single" w:sz="6" w:space="0" w:color="000000"/>
              <w:left w:val="single" w:sz="6" w:space="0" w:color="000000"/>
            </w:tcBorders>
            <w:tcMar>
              <w:top w:w="28" w:type="dxa"/>
              <w:left w:w="160" w:type="dxa"/>
            </w:tcMar>
            <w:vAlign w:val="center"/>
          </w:tcPr>
          <w:p>
            <w:pPr>
              <w:pStyle w:val="Normal"/>
              <w:bidi w:val="0"/>
              <w:jc w:val="left"/>
              <w:rPr/>
            </w:pPr>
            <w:r>
              <w:rPr/>
            </w:r>
          </w:p>
        </w:tc>
        <w:tc>
          <w:tcPr>
            <w:tcW w:w="120" w:type="dxa"/>
            <w:vMerge w:val="restart"/>
            <w:tcBorders>
              <w:left w:val="single" w:sz="6" w:space="0" w:color="000000"/>
            </w:tcBorders>
            <w:tcMar>
              <w:left w:w="28" w:type="dxa"/>
            </w:tcMar>
            <w:vAlign w:val="center"/>
          </w:tcPr>
          <w:p>
            <w:pPr>
              <w:pStyle w:val="TableContents"/>
              <w:bidi w:val="0"/>
              <w:spacing w:before="0" w:after="283"/>
              <w:jc w:val="left"/>
              <w:rPr/>
            </w:pPr>
            <w:r>
              <w:rPr/>
              <w:t>  </w:t>
            </w:r>
          </w:p>
        </w:tc>
        <w:tc>
          <w:tcPr>
            <w:tcW w:w="7175" w:type="dxa"/>
            <w:vMerge w:val="restart"/>
            <w:tcBorders>
              <w:right w:val="single" w:sz="6" w:space="0" w:color="000000"/>
            </w:tcBorders>
            <w:tcMar>
              <w:right w:w="40" w:type="dxa"/>
            </w:tcMar>
            <w:vAlign w:val="center"/>
          </w:tcPr>
          <w:p>
            <w:pPr>
              <w:pStyle w:val="TableContents"/>
              <w:bidi w:val="0"/>
              <w:spacing w:before="0" w:after="0"/>
              <w:jc w:val="left"/>
              <w:rPr/>
            </w:pPr>
            <w:r>
              <w:rPr/>
              <w:t>•   </w:t>
            </w:r>
            <w:r>
              <w:rPr>
                <w:rFonts w:ascii="arial" w:hAnsi="arial"/>
                <w:b/>
                <w:sz w:val="18"/>
              </w:rPr>
              <w:t xml:space="preserve">Deep understanding of corporate finance and accounting </w:t>
            </w:r>
            <w:r>
              <w:rPr>
                <w:rFonts w:ascii="arial" w:hAnsi="arial"/>
                <w:sz w:val="18"/>
              </w:rPr>
              <w:t>developed over 40 years, starting in public accounting at Ernst &amp; Whinney (now Ernst &amp; Young), reinforced by his subsequent role overseeing all aspects of finance activities as CFO at RMB Realty, and further enhanced by his nearly three decades of experience managing Bravante-Curci Investors. Mr. Bravante’s extensive investment and strategic business knowledge qualifies him as an Audit Committee financial expert and enables him to provide crucial insight into Sabre’s reporting processes and internal controls as Chair of the Audit Committee.</w:t>
            </w:r>
          </w:p>
          <w:p>
            <w:pPr>
              <w:pStyle w:val="TableContents"/>
              <w:bidi w:val="0"/>
              <w:spacing w:before="0" w:after="20"/>
              <w:jc w:val="left"/>
              <w:rPr/>
            </w:pPr>
            <w:r>
              <w:rPr/>
              <w:t>•   </w:t>
            </w:r>
            <w:r>
              <w:rPr>
                <w:rFonts w:ascii="arial" w:hAnsi="arial"/>
                <w:b/>
                <w:sz w:val="18"/>
              </w:rPr>
              <w:t>Extensive and portfolio management experience.</w:t>
            </w:r>
            <w:r>
              <w:rPr>
                <w:rFonts w:ascii="arial" w:hAnsi="arial"/>
                <w:sz w:val="18"/>
              </w:rPr>
              <w:t xml:space="preserve"> In his capacity as CEO of Bravante Farm Capital, Mr. Bravante has overseen the acquisition of over $175 million in agricultural assets. While at Colony Advisors, he acquired, managed, and sold a roughly $2 billion portfolio of apartment buildings, and as Chairman of the Board at ExpressJet, Mr. Bravante oversaw the company’s merger with SkyWest at a significant premium. Additionally, as CEO of American Real Estate Group, he was trusted with leading the managed liquidation of $15 billion in real estate assets of American Savings Bank.</w:t>
            </w:r>
          </w:p>
        </w:tc>
      </w:tr>
      <w:tr>
        <w:trPr/>
        <w:tc>
          <w:tcPr>
            <w:tcW w:w="2910"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 xml:space="preserve">Director since: </w:t>
            </w:r>
            <w:r>
              <w:rPr>
                <w:rFonts w:ascii="arial" w:hAnsi="arial"/>
                <w:sz w:val="18"/>
              </w:rPr>
              <w:t>2014</w:t>
            </w:r>
          </w:p>
          <w:p>
            <w:pPr>
              <w:pStyle w:val="TableContents"/>
              <w:bidi w:val="0"/>
              <w:spacing w:before="0" w:after="20"/>
              <w:jc w:val="left"/>
              <w:rPr/>
            </w:pPr>
            <w:r>
              <w:rPr/>
              <w:t> </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175" w:type="dxa"/>
            <w:vMerge w:val="continue"/>
            <w:tcBorders>
              <w:right w:val="single" w:sz="6" w:space="0" w:color="000000"/>
            </w:tcBorders>
            <w:tcMar>
              <w:right w:w="40" w:type="dxa"/>
            </w:tcMar>
            <w:vAlign w:val="center"/>
          </w:tcPr>
          <w:p>
            <w:pPr>
              <w:pStyle w:val="Normal"/>
              <w:bidi w:val="0"/>
              <w:jc w:val="left"/>
              <w:rPr/>
            </w:pPr>
            <w:r>
              <w:rPr/>
            </w:r>
          </w:p>
        </w:tc>
      </w:tr>
      <w:tr>
        <w:trPr/>
        <w:tc>
          <w:tcPr>
            <w:tcW w:w="2910"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Co-founder of Bravante-Curci Investors, LP, Owner of Bravante Produce, and CEO of Pacific Agricultural Realty, LP</w:t>
            </w:r>
          </w:p>
          <w:p>
            <w:pPr>
              <w:pStyle w:val="TableContents"/>
              <w:bidi w:val="0"/>
              <w:spacing w:before="0" w:after="20"/>
              <w:jc w:val="left"/>
              <w:rPr/>
            </w:pPr>
            <w:r>
              <w:rPr/>
              <w:t> </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175" w:type="dxa"/>
            <w:vMerge w:val="continue"/>
            <w:tcBorders>
              <w:right w:val="single" w:sz="6" w:space="0" w:color="000000"/>
            </w:tcBorders>
            <w:tcMar>
              <w:right w:w="40" w:type="dxa"/>
            </w:tcMar>
            <w:vAlign w:val="center"/>
          </w:tcPr>
          <w:p>
            <w:pPr>
              <w:pStyle w:val="Normal"/>
              <w:bidi w:val="0"/>
              <w:jc w:val="left"/>
              <w:rPr/>
            </w:pPr>
            <w:r>
              <w:rPr/>
            </w:r>
          </w:p>
        </w:tc>
      </w:tr>
      <w:tr>
        <w:trPr/>
        <w:tc>
          <w:tcPr>
            <w:tcW w:w="2910"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66</w:t>
            </w:r>
          </w:p>
          <w:p>
            <w:pPr>
              <w:pStyle w:val="TableContents"/>
              <w:bidi w:val="0"/>
              <w:spacing w:before="0" w:after="20"/>
              <w:jc w:val="left"/>
              <w:rPr/>
            </w:pPr>
            <w:r>
              <w:rPr/>
              <w:t> </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175" w:type="dxa"/>
            <w:vMerge w:val="continue"/>
            <w:tcBorders>
              <w:right w:val="single" w:sz="6" w:space="0" w:color="000000"/>
            </w:tcBorders>
            <w:tcMar>
              <w:right w:w="40" w:type="dxa"/>
            </w:tcMar>
            <w:vAlign w:val="center"/>
          </w:tcPr>
          <w:p>
            <w:pPr>
              <w:pStyle w:val="Normal"/>
              <w:bidi w:val="0"/>
              <w:jc w:val="left"/>
              <w:rPr/>
            </w:pPr>
            <w:r>
              <w:rPr/>
            </w:r>
          </w:p>
        </w:tc>
      </w:tr>
      <w:tr>
        <w:trPr/>
        <w:tc>
          <w:tcPr>
            <w:tcW w:w="2910"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•   </w:t>
            </w:r>
            <w:r>
              <w:rPr>
                <w:rFonts w:ascii="arial" w:hAnsi="arial"/>
                <w:sz w:val="18"/>
              </w:rPr>
              <w:t>Audit (Chair)</w:t>
            </w:r>
          </w:p>
          <w:p>
            <w:pPr>
              <w:pStyle w:val="TableContents"/>
              <w:bidi w:val="0"/>
              <w:spacing w:before="0" w:after="20"/>
              <w:jc w:val="left"/>
              <w:rPr/>
            </w:pPr>
            <w:r>
              <w:rPr/>
              <w:t>•   </w:t>
            </w:r>
            <w:r>
              <w:rPr>
                <w:rFonts w:ascii="arial" w:hAnsi="arial"/>
                <w:sz w:val="18"/>
              </w:rPr>
              <w:t>Executive</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175" w:type="dxa"/>
            <w:vMerge w:val="continue"/>
            <w:tcBorders>
              <w:right w:val="single" w:sz="6" w:space="0" w:color="000000"/>
            </w:tcBorders>
            <w:tcMar>
              <w:right w:w="40" w:type="dxa"/>
            </w:tcMar>
            <w:vAlign w:val="center"/>
          </w:tcPr>
          <w:p>
            <w:pPr>
              <w:pStyle w:val="Normal"/>
              <w:bidi w:val="0"/>
              <w:jc w:val="left"/>
              <w:rPr/>
            </w:pPr>
            <w:r>
              <w:rPr/>
            </w:r>
          </w:p>
        </w:tc>
      </w:tr>
      <w:tr>
        <w:trPr/>
        <w:tc>
          <w:tcPr>
            <w:tcW w:w="2910"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•   </w:t>
            </w:r>
            <w:r>
              <w:rPr>
                <w:rFonts w:ascii="arial" w:hAnsi="arial"/>
                <w:sz w:val="18"/>
              </w:rPr>
              <w:t>B2B Services</w:t>
            </w:r>
          </w:p>
          <w:p>
            <w:pPr>
              <w:pStyle w:val="TableContents"/>
              <w:bidi w:val="0"/>
              <w:spacing w:before="0" w:after="20"/>
              <w:jc w:val="left"/>
              <w:rPr/>
            </w:pPr>
            <w:r>
              <w:rPr/>
              <w:t>•   </w:t>
            </w:r>
            <w:r>
              <w:rPr>
                <w:rFonts w:ascii="arial" w:hAnsi="arial"/>
                <w:sz w:val="18"/>
              </w:rPr>
              <w:t>Travel</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175" w:type="dxa"/>
            <w:vMerge w:val="continue"/>
            <w:tcBorders>
              <w:right w:val="single" w:sz="6" w:space="0" w:color="000000"/>
            </w:tcBorders>
            <w:tcMar>
              <w:right w:w="40" w:type="dxa"/>
            </w:tcMar>
            <w:vAlign w:val="center"/>
          </w:tcPr>
          <w:p>
            <w:pPr>
              <w:pStyle w:val="Normal"/>
              <w:bidi w:val="0"/>
              <w:jc w:val="left"/>
              <w:rPr/>
            </w:pPr>
            <w:r>
              <w:rPr/>
            </w:r>
          </w:p>
        </w:tc>
      </w:tr>
      <w:tr>
        <w:trPr/>
        <w:tc>
          <w:tcPr>
            <w:tcW w:w="2910" w:type="dxa"/>
            <w:tcBorders>
              <w:left w:val="single" w:sz="6" w:space="0" w:color="000000"/>
            </w:tcBorders>
            <w:tcMar>
              <w:left w:w="160" w:type="dxa"/>
            </w:tcMar>
            <w:vAlign w:val="center"/>
          </w:tcPr>
          <w:p>
            <w:pPr>
              <w:pStyle w:val="TableContents"/>
              <w:bidi w:val="0"/>
              <w:spacing w:before="0" w:after="0"/>
              <w:jc w:val="left"/>
              <w:rPr/>
            </w:pPr>
            <w:r>
              <w:rPr/>
              <w:t>•   </w:t>
            </w:r>
            <w:r>
              <w:rPr>
                <w:rFonts w:ascii="arial" w:hAnsi="arial"/>
                <w:sz w:val="18"/>
              </w:rPr>
              <w:t>Airline</w:t>
            </w:r>
          </w:p>
          <w:p>
            <w:pPr>
              <w:pStyle w:val="TableContents"/>
              <w:bidi w:val="0"/>
              <w:spacing w:before="0" w:after="0"/>
              <w:jc w:val="left"/>
              <w:rPr/>
            </w:pPr>
            <w:r>
              <w:rPr/>
              <w:t>•   </w:t>
            </w:r>
            <w:r>
              <w:rPr>
                <w:rFonts w:ascii="arial" w:hAnsi="arial"/>
                <w:sz w:val="18"/>
              </w:rPr>
              <w:t>ESG</w:t>
            </w:r>
          </w:p>
          <w:p>
            <w:pPr>
              <w:pStyle w:val="TableContents"/>
              <w:bidi w:val="0"/>
              <w:spacing w:before="0" w:after="0"/>
              <w:jc w:val="left"/>
              <w:rPr/>
            </w:pPr>
            <w:r>
              <w:rPr/>
              <w:t>•   </w:t>
            </w:r>
            <w:r>
              <w:rPr>
                <w:rFonts w:ascii="arial" w:hAnsi="arial"/>
                <w:sz w:val="18"/>
              </w:rPr>
              <w:t>Operations</w:t>
            </w:r>
          </w:p>
          <w:p>
            <w:pPr>
              <w:pStyle w:val="TableContents"/>
              <w:bidi w:val="0"/>
              <w:spacing w:before="0" w:after="0"/>
              <w:jc w:val="left"/>
              <w:rPr/>
            </w:pPr>
            <w:r>
              <w:rPr/>
              <w:t>•   </w:t>
            </w:r>
            <w:r>
              <w:rPr>
                <w:rFonts w:ascii="arial" w:hAnsi="arial"/>
                <w:sz w:val="18"/>
              </w:rPr>
              <w:t>Capital Markets</w:t>
            </w:r>
          </w:p>
          <w:p>
            <w:pPr>
              <w:pStyle w:val="TableContents"/>
              <w:bidi w:val="0"/>
              <w:spacing w:before="0" w:after="0"/>
              <w:jc w:val="left"/>
              <w:rPr/>
            </w:pPr>
            <w:r>
              <w:rPr/>
              <w:t>•   </w:t>
            </w:r>
            <w:r>
              <w:rPr>
                <w:rFonts w:ascii="arial" w:hAnsi="arial"/>
                <w:sz w:val="18"/>
              </w:rPr>
              <w:t>Risk and Strategy</w:t>
            </w:r>
          </w:p>
          <w:p>
            <w:pPr>
              <w:pStyle w:val="TableContents"/>
              <w:bidi w:val="0"/>
              <w:spacing w:before="0" w:after="20"/>
              <w:jc w:val="left"/>
              <w:rPr/>
            </w:pPr>
            <w:r>
              <w:rPr/>
              <w:t> </w:t>
            </w:r>
          </w:p>
        </w:tc>
        <w:tc>
          <w:tcPr>
            <w:tcW w:w="120" w:type="dxa"/>
            <w:vMerge w:val="restart"/>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175" w:type="dxa"/>
            <w:vMerge w:val="restart"/>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•   </w:t>
            </w:r>
            <w:r>
              <w:rPr>
                <w:rFonts w:ascii="arial" w:hAnsi="arial"/>
                <w:b/>
                <w:sz w:val="18"/>
              </w:rPr>
              <w:t xml:space="preserve">Managing Partner, </w:t>
            </w:r>
            <w:r>
              <w:rPr>
                <w:rFonts w:ascii="arial" w:hAnsi="arial"/>
                <w:sz w:val="18"/>
              </w:rPr>
              <w:t>Bravante-Curci Investors, LP. (1996 – Present)</w:t>
            </w:r>
          </w:p>
          <w:p>
            <w:pPr>
              <w:pStyle w:val="TableContents"/>
              <w:bidi w:val="0"/>
              <w:spacing w:before="0" w:after="0"/>
              <w:jc w:val="left"/>
              <w:rPr/>
            </w:pPr>
            <w:r>
              <w:rPr/>
              <w:t>•   </w:t>
            </w:r>
            <w:r>
              <w:rPr>
                <w:rFonts w:ascii="arial" w:hAnsi="arial"/>
                <w:b/>
                <w:sz w:val="18"/>
              </w:rPr>
              <w:t xml:space="preserve">Founder and President, </w:t>
            </w:r>
            <w:r>
              <w:rPr>
                <w:rFonts w:ascii="arial" w:hAnsi="arial"/>
                <w:sz w:val="18"/>
              </w:rPr>
              <w:t>Bravante Farm Capital (2023 – Present)</w:t>
            </w:r>
          </w:p>
          <w:p>
            <w:pPr>
              <w:pStyle w:val="TableContents"/>
              <w:bidi w:val="0"/>
              <w:spacing w:before="0" w:after="0"/>
              <w:jc w:val="left"/>
              <w:rPr/>
            </w:pPr>
            <w:r>
              <w:rPr/>
              <w:t>•   </w:t>
            </w:r>
            <w:r>
              <w:rPr>
                <w:rFonts w:ascii="arial" w:hAnsi="arial"/>
                <w:b/>
                <w:sz w:val="18"/>
              </w:rPr>
              <w:t xml:space="preserve">CEO, </w:t>
            </w:r>
            <w:r>
              <w:rPr>
                <w:rFonts w:ascii="arial" w:hAnsi="arial"/>
                <w:sz w:val="18"/>
              </w:rPr>
              <w:t>Pacific Agricultural Realty (2004 – 2012)</w:t>
            </w:r>
          </w:p>
          <w:p>
            <w:pPr>
              <w:pStyle w:val="TableContents"/>
              <w:bidi w:val="0"/>
              <w:spacing w:before="0" w:after="0"/>
              <w:jc w:val="left"/>
              <w:rPr/>
            </w:pPr>
            <w:r>
              <w:rPr/>
              <w:t>•   </w:t>
            </w:r>
            <w:r>
              <w:rPr>
                <w:rFonts w:ascii="arial" w:hAnsi="arial"/>
                <w:b/>
                <w:sz w:val="18"/>
              </w:rPr>
              <w:t xml:space="preserve">President and COO, </w:t>
            </w:r>
            <w:r>
              <w:rPr>
                <w:rFonts w:ascii="arial" w:hAnsi="arial"/>
                <w:sz w:val="18"/>
              </w:rPr>
              <w:t>Colony Advisors, Inc. (1993 – 1996)</w:t>
            </w:r>
          </w:p>
          <w:p>
            <w:pPr>
              <w:pStyle w:val="TableContents"/>
              <w:bidi w:val="0"/>
              <w:spacing w:before="0" w:after="0"/>
              <w:jc w:val="left"/>
              <w:rPr/>
            </w:pPr>
            <w:r>
              <w:rPr/>
              <w:t>•   </w:t>
            </w:r>
            <w:r>
              <w:rPr>
                <w:rFonts w:ascii="arial" w:hAnsi="arial"/>
                <w:b/>
                <w:sz w:val="18"/>
              </w:rPr>
              <w:t xml:space="preserve">CEO, </w:t>
            </w:r>
            <w:r>
              <w:rPr>
                <w:rFonts w:ascii="arial" w:hAnsi="arial"/>
                <w:sz w:val="18"/>
              </w:rPr>
              <w:t>American Real Estate Group, Inc. (1993 – 1996)</w:t>
            </w:r>
          </w:p>
          <w:p>
            <w:pPr>
              <w:pStyle w:val="TableContents"/>
              <w:bidi w:val="0"/>
              <w:spacing w:before="0" w:after="0"/>
              <w:jc w:val="left"/>
              <w:rPr/>
            </w:pPr>
            <w:r>
              <w:rPr/>
              <w:t>•   </w:t>
            </w:r>
            <w:r>
              <w:rPr>
                <w:rFonts w:ascii="arial" w:hAnsi="arial"/>
                <w:b/>
                <w:sz w:val="18"/>
              </w:rPr>
              <w:t xml:space="preserve">CFO, </w:t>
            </w:r>
            <w:r>
              <w:rPr>
                <w:rFonts w:ascii="arial" w:hAnsi="arial"/>
                <w:sz w:val="18"/>
              </w:rPr>
              <w:t>RMB Realty (1987 – 1988)</w:t>
            </w:r>
          </w:p>
          <w:p>
            <w:pPr>
              <w:pStyle w:val="TableContents"/>
              <w:bidi w:val="0"/>
              <w:spacing w:before="0" w:after="0"/>
              <w:jc w:val="left"/>
              <w:rPr/>
            </w:pPr>
            <w:r>
              <w:rPr/>
              <w:t>•   </w:t>
            </w:r>
            <w:r>
              <w:rPr>
                <w:rFonts w:ascii="arial" w:hAnsi="arial"/>
                <w:b/>
                <w:sz w:val="18"/>
              </w:rPr>
              <w:t xml:space="preserve">Manager, </w:t>
            </w:r>
            <w:r>
              <w:rPr>
                <w:rFonts w:ascii="arial" w:hAnsi="arial"/>
                <w:sz w:val="18"/>
              </w:rPr>
              <w:t>Ernst &amp; Whinney (1984 – 1987)</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Board Experience</w:t>
            </w:r>
          </w:p>
          <w:p>
            <w:pPr>
              <w:pStyle w:val="TableContents"/>
              <w:bidi w:val="0"/>
              <w:spacing w:before="0" w:after="0"/>
              <w:jc w:val="left"/>
              <w:rPr/>
            </w:pPr>
            <w:r>
              <w:rPr/>
              <w:t>•   </w:t>
            </w:r>
            <w:r>
              <w:rPr>
                <w:rFonts w:ascii="arial" w:hAnsi="arial"/>
                <w:sz w:val="18"/>
              </w:rPr>
              <w:t>KBS Growth &amp; Income REIT, Inc. (2016 – 2024)</w:t>
            </w:r>
          </w:p>
          <w:p>
            <w:pPr>
              <w:pStyle w:val="TableContents"/>
              <w:bidi w:val="0"/>
              <w:spacing w:before="0" w:after="0"/>
              <w:jc w:val="left"/>
              <w:rPr/>
            </w:pPr>
            <w:r>
              <w:rPr/>
              <w:t>•   </w:t>
            </w:r>
            <w:r>
              <w:rPr>
                <w:rFonts w:ascii="arial" w:hAnsi="arial"/>
                <w:sz w:val="18"/>
              </w:rPr>
              <w:t>ExpressJet Holdings, Inc. (2004 – 2010; Chairman from 2005 – 2010)</w:t>
            </w:r>
          </w:p>
          <w:p>
            <w:pPr>
              <w:pStyle w:val="TableContents"/>
              <w:bidi w:val="0"/>
              <w:spacing w:before="0" w:after="20"/>
              <w:jc w:val="left"/>
              <w:rPr/>
            </w:pPr>
            <w:r>
              <w:rPr/>
              <w:t> </w:t>
            </w:r>
          </w:p>
        </w:tc>
      </w:tr>
      <w:tr>
        <w:trPr/>
        <w:tc>
          <w:tcPr>
            <w:tcW w:w="2910"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vMerge w:val="continue"/>
            <w:tcBorders>
              <w:top w:val="single" w:sz="6" w:space="0" w:color="000000"/>
              <w:left w:val="single" w:sz="6" w:space="0" w:color="000000"/>
              <w:bottom w:val="single" w:sz="6" w:space="0" w:color="000000"/>
            </w:tcBorders>
            <w:tcMar>
              <w:top w:w="28" w:type="dxa"/>
              <w:left w:w="28" w:type="dxa"/>
              <w:bottom w:w="28" w:type="dxa"/>
            </w:tcMar>
            <w:vAlign w:val="center"/>
          </w:tcPr>
          <w:p>
            <w:pPr>
              <w:pStyle w:val="Normal"/>
              <w:bidi w:val="0"/>
              <w:jc w:val="left"/>
              <w:rPr/>
            </w:pPr>
            <w:r>
              <w:rPr/>
            </w:r>
          </w:p>
        </w:tc>
        <w:tc>
          <w:tcPr>
            <w:tcW w:w="7175" w:type="dxa"/>
            <w:vMerge w:val="continue"/>
            <w:tcBorders>
              <w:top w:val="single" w:sz="6" w:space="0" w:color="000000"/>
              <w:bottom w:val="single" w:sz="6" w:space="0" w:color="000000"/>
              <w:right w:val="single" w:sz="6" w:space="0" w:color="000000"/>
            </w:tcBorders>
            <w:tcMar>
              <w:top w:w="28" w:type="dxa"/>
              <w:bottom w:w="28" w:type="dxa"/>
              <w:right w:w="40" w:type="dxa"/>
            </w:tcMar>
            <w:vAlign w:val="center"/>
          </w:tcPr>
          <w:p>
            <w:pPr>
              <w:pStyle w:val="Normal"/>
              <w:bidi w:val="0"/>
              <w:jc w:val="left"/>
              <w:rPr/>
            </w:pPr>
            <w:r>
              <w:rPr/>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23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7"/>
        <w:gridCol w:w="120"/>
        <w:gridCol w:w="7638"/>
      </w:tblGrid>
      <w:tr>
        <w:trPr/>
        <w:tc>
          <w:tcPr>
            <w:tcW w:w="2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38" w:type="dxa"/>
            <w:tcBorders/>
            <w:vAlign w:val="center"/>
          </w:tcPr>
          <w:p>
            <w:pPr>
              <w:pStyle w:val="TableContents"/>
              <w:bidi w:val="0"/>
              <w:spacing w:before="0" w:after="283"/>
              <w:jc w:val="left"/>
              <w:rPr>
                <w:sz w:val="4"/>
                <w:szCs w:val="4"/>
              </w:rPr>
            </w:pPr>
            <w:r>
              <w:rPr>
                <w:sz w:val="4"/>
                <w:szCs w:val="4"/>
              </w:rPr>
            </w:r>
          </w:p>
        </w:tc>
      </w:tr>
      <w:tr>
        <w:trPr/>
        <w:tc>
          <w:tcPr>
            <w:tcW w:w="2447" w:type="dxa"/>
            <w:vMerge w:val="restart"/>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541145" cy="188658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541145" cy="1886585"/>
                          </a:xfrm>
                          <a:prstGeom prst="rect">
                            <a:avLst/>
                          </a:prstGeom>
                        </pic:spPr>
                      </pic:pic>
                    </a:graphicData>
                  </a:graphic>
                </wp:inline>
              </w:drawing>
            </w:r>
            <w:r>
              <w:rPr/>
              <w:t xml:space="preserve">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38"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HERVÉ COUTURIER | Independent Director </w:t>
            </w:r>
          </w:p>
          <w:p>
            <w:pPr>
              <w:pStyle w:val="TableContents"/>
              <w:bidi w:val="0"/>
              <w:spacing w:before="0" w:after="20"/>
              <w:jc w:val="left"/>
              <w:rPr/>
            </w:pPr>
            <w:r>
              <w:rPr/>
              <w:t> </w:t>
            </w:r>
          </w:p>
        </w:tc>
      </w:tr>
      <w:tr>
        <w:trPr/>
        <w:tc>
          <w:tcPr>
            <w:tcW w:w="2447" w:type="dxa"/>
            <w:vMerge w:val="continue"/>
            <w:tcBorders>
              <w:top w:val="single" w:sz="6" w:space="0" w:color="000000"/>
              <w:left w:val="single" w:sz="6" w:space="0" w:color="000000"/>
              <w:right w:val="single" w:sz="6" w:space="0" w:color="000000"/>
            </w:tcBorders>
            <w:tcMar>
              <w:top w:w="28" w:type="dxa"/>
              <w:left w:w="160"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638"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•   </w:t>
            </w:r>
            <w:r>
              <w:rPr>
                <w:rFonts w:ascii="arial" w:hAnsi="arial"/>
                <w:b/>
                <w:sz w:val="18"/>
              </w:rPr>
              <w:t>Deep understanding of software and technology</w:t>
            </w:r>
            <w:r>
              <w:rPr>
                <w:rFonts w:ascii="arial" w:hAnsi="arial"/>
                <w:sz w:val="18"/>
              </w:rPr>
              <w:t xml:space="preserve"> from over 40 years of technical experience dating back to his time as an engineer at IBM. During his tenure as a senior executive at SAP AG, a Germany-based multinational software company, his responsibilities included defining and delivering on the company’s entire technology product strategy, and he oversaw the release of new software to compose, execute, monitor, and evolve business processes at significantly faster rates than traditional software. Mr. Couturier’s product leadership and development experiences enable him to help Sabre shape its strategy and execute on its technology objectives, including in his capacity as Chair of the Technology Committee.</w:t>
            </w:r>
          </w:p>
          <w:p>
            <w:pPr>
              <w:pStyle w:val="TableContents"/>
              <w:bidi w:val="0"/>
              <w:spacing w:before="0" w:after="20"/>
              <w:jc w:val="left"/>
              <w:rPr/>
            </w:pPr>
            <w:r>
              <w:rPr/>
              <w:t>•   </w:t>
            </w:r>
            <w:r>
              <w:rPr>
                <w:rFonts w:ascii="arial" w:hAnsi="arial"/>
                <w:b/>
                <w:sz w:val="18"/>
              </w:rPr>
              <w:t>Proven track record in product development and strategy.</w:t>
            </w:r>
            <w:r>
              <w:rPr>
                <w:rFonts w:ascii="arial" w:hAnsi="arial"/>
                <w:sz w:val="18"/>
              </w:rPr>
              <w:t xml:space="preserve"> In his current role as Managing Partner at Kerney Partners, a consulting firm specializing in software, Mr. Couturier advises private equity firms and software editors on generating increased shareholder value by making recommendations on P&amp;L structure, strategy, R&amp;D, and product life cycle. At Amadeus, an airline reservation systems provider, Mr. Couturier helmed an R&amp;D team of 5,000 employees and led the development of highly responsive travel search engines and focused on the extraction of information from large databases. Mr. Couturier's significant experience in solutions strategy, product development and strategy, and business management at software-based companies arms him with crucial insights to share with our Board of Directors and management team. </w:t>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b/>
                <w:sz w:val="17"/>
              </w:rPr>
              <w:t>Director since</w:t>
            </w:r>
            <w:r>
              <w:rPr>
                <w:rFonts w:ascii="arial" w:hAnsi="arial"/>
                <w:i/>
                <w:sz w:val="17"/>
              </w:rPr>
              <w:t xml:space="preserve">: </w:t>
            </w:r>
            <w:r>
              <w:rPr>
                <w:rFonts w:ascii="arial" w:hAnsi="arial"/>
                <w:sz w:val="17"/>
              </w:rPr>
              <w:t>2017</w:t>
            </w:r>
          </w:p>
        </w:tc>
        <w:tc>
          <w:tcPr>
            <w:tcW w:w="120" w:type="dxa"/>
            <w:vMerge w:val="restart"/>
            <w:tcBorders/>
            <w:vAlign w:val="center"/>
          </w:tcPr>
          <w:p>
            <w:pPr>
              <w:pStyle w:val="TableContents"/>
              <w:bidi w:val="0"/>
              <w:spacing w:before="0" w:after="283"/>
              <w:jc w:val="left"/>
              <w:rPr/>
            </w:pPr>
            <w:r>
              <w:rPr/>
              <w:t>  </w:t>
            </w:r>
          </w:p>
        </w:tc>
        <w:tc>
          <w:tcPr>
            <w:tcW w:w="7638" w:type="dxa"/>
            <w:vMerge w:val="restart"/>
            <w:tcBorders>
              <w:right w:val="single" w:sz="6" w:space="0" w:color="000000"/>
            </w:tcBorders>
            <w:tcMar>
              <w:right w:w="40" w:type="dxa"/>
            </w:tcMar>
            <w:vAlign w:val="center"/>
          </w:tcPr>
          <w:p>
            <w:pPr>
              <w:pStyle w:val="TableContents"/>
              <w:bidi w:val="0"/>
              <w:spacing w:before="0" w:after="20"/>
              <w:jc w:val="left"/>
              <w:rPr/>
            </w:pPr>
            <w:r>
              <w:rPr/>
              <w:t>•   </w:t>
            </w:r>
            <w:r>
              <w:rPr>
                <w:rFonts w:ascii="arial" w:hAnsi="arial"/>
                <w:b/>
                <w:sz w:val="18"/>
              </w:rPr>
              <w:t>Innovative, results-driven leader.</w:t>
            </w:r>
            <w:r>
              <w:rPr>
                <w:rFonts w:ascii="arial" w:hAnsi="arial"/>
                <w:sz w:val="18"/>
              </w:rPr>
              <w:t xml:space="preserve"> Mr. Couturier has contributed to strong financial performance throughout his career by anticipating technological trends and adjusting product strategy accordingly. He also oversaw the development of a cloud-based corporate travel solution in partnership with SAP AG to create a unified user interface and a simplified, integrated product offering for consumers. His leadership experience also includes serving as a director of SimCorp A/S from 2008 to 2022, of Infovista from 2016 to 2024, of Sportradar from 2018 to 2022, of Kyriba since 2019, of Odigo from 2021 to 2023, of Syspro since 2025, of Mint since 2022, and of Titanbay since 2024.</w:t>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President, Kerney Partners</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38" w:type="dxa"/>
            <w:vMerge w:val="continue"/>
            <w:tcBorders>
              <w:right w:val="single" w:sz="6" w:space="0" w:color="000000"/>
            </w:tcBorders>
            <w:tcMar>
              <w:right w:w="40" w:type="dxa"/>
            </w:tcMar>
            <w:vAlign w:val="center"/>
          </w:tcPr>
          <w:p>
            <w:pPr>
              <w:pStyle w:val="Normal"/>
              <w:bidi w:val="0"/>
              <w:jc w:val="left"/>
              <w:rPr/>
            </w:pPr>
            <w:r>
              <w:rPr/>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66</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38" w:type="dxa"/>
            <w:vMerge w:val="continue"/>
            <w:tcBorders>
              <w:right w:val="single" w:sz="6" w:space="0" w:color="000000"/>
            </w:tcBorders>
            <w:tcMar>
              <w:right w:w="40" w:type="dxa"/>
            </w:tcMar>
            <w:vAlign w:val="center"/>
          </w:tcPr>
          <w:p>
            <w:pPr>
              <w:pStyle w:val="Normal"/>
              <w:bidi w:val="0"/>
              <w:jc w:val="left"/>
              <w:rPr/>
            </w:pPr>
            <w:r>
              <w:rPr/>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•   </w:t>
            </w:r>
            <w:r>
              <w:rPr>
                <w:rFonts w:ascii="arial" w:hAnsi="arial"/>
                <w:sz w:val="18"/>
              </w:rPr>
              <w:t>Technology (Chair)</w:t>
            </w:r>
          </w:p>
          <w:p>
            <w:pPr>
              <w:pStyle w:val="TableContents"/>
              <w:bidi w:val="0"/>
              <w:spacing w:before="0" w:after="0"/>
              <w:jc w:val="left"/>
              <w:rPr/>
            </w:pPr>
            <w:r>
              <w:rPr/>
              <w:t>•   </w:t>
            </w:r>
            <w:r>
              <w:rPr>
                <w:rFonts w:ascii="arial" w:hAnsi="arial"/>
                <w:sz w:val="18"/>
              </w:rPr>
              <w:t>Audit</w:t>
            </w:r>
          </w:p>
          <w:p>
            <w:pPr>
              <w:pStyle w:val="TableContents"/>
              <w:bidi w:val="0"/>
              <w:spacing w:before="0" w:after="20"/>
              <w:jc w:val="left"/>
              <w:rPr/>
            </w:pPr>
            <w:r>
              <w:rPr/>
              <w:t>•   </w:t>
            </w:r>
            <w:r>
              <w:rPr>
                <w:rFonts w:ascii="arial" w:hAnsi="arial"/>
                <w:sz w:val="18"/>
              </w:rPr>
              <w:t>Executive</w:t>
            </w:r>
          </w:p>
        </w:tc>
        <w:tc>
          <w:tcPr>
            <w:tcW w:w="120" w:type="dxa"/>
            <w:vMerge w:val="continue"/>
            <w:tcBorders/>
            <w:vAlign w:val="center"/>
          </w:tcPr>
          <w:p>
            <w:pPr>
              <w:pStyle w:val="Normal"/>
              <w:bidi w:val="0"/>
              <w:jc w:val="left"/>
              <w:rPr/>
            </w:pPr>
            <w:r>
              <w:rPr/>
            </w:r>
          </w:p>
        </w:tc>
        <w:tc>
          <w:tcPr>
            <w:tcW w:w="7638" w:type="dxa"/>
            <w:vMerge w:val="continue"/>
            <w:tcBorders>
              <w:right w:val="single" w:sz="6" w:space="0" w:color="000000"/>
            </w:tcBorders>
            <w:tcMar>
              <w:right w:w="40" w:type="dxa"/>
            </w:tcMar>
            <w:vAlign w:val="center"/>
          </w:tcPr>
          <w:p>
            <w:pPr>
              <w:pStyle w:val="Normal"/>
              <w:bidi w:val="0"/>
              <w:jc w:val="left"/>
              <w:rPr/>
            </w:pPr>
            <w:r>
              <w:rPr/>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•   </w:t>
            </w:r>
            <w:r>
              <w:rPr>
                <w:rFonts w:ascii="arial" w:hAnsi="arial"/>
                <w:sz w:val="18"/>
              </w:rPr>
              <w:t>International</w:t>
            </w:r>
          </w:p>
          <w:p>
            <w:pPr>
              <w:pStyle w:val="TableContents"/>
              <w:bidi w:val="0"/>
              <w:spacing w:before="0" w:after="0"/>
              <w:jc w:val="left"/>
              <w:rPr/>
            </w:pPr>
            <w:r>
              <w:rPr/>
              <w:t>•   </w:t>
            </w:r>
            <w:r>
              <w:rPr>
                <w:rFonts w:ascii="arial" w:hAnsi="arial"/>
                <w:sz w:val="18"/>
              </w:rPr>
              <w:t>B2B Services</w:t>
            </w:r>
          </w:p>
          <w:p>
            <w:pPr>
              <w:pStyle w:val="TableContents"/>
              <w:bidi w:val="0"/>
              <w:spacing w:before="0" w:after="0"/>
              <w:jc w:val="left"/>
              <w:rPr/>
            </w:pPr>
            <w:r>
              <w:rPr/>
              <w:t>•   </w:t>
            </w:r>
            <w:r>
              <w:rPr>
                <w:rFonts w:ascii="arial" w:hAnsi="arial"/>
                <w:sz w:val="18"/>
              </w:rPr>
              <w:t>Travel</w:t>
            </w:r>
          </w:p>
          <w:p>
            <w:pPr>
              <w:pStyle w:val="TableContents"/>
              <w:bidi w:val="0"/>
              <w:spacing w:before="0" w:after="20"/>
              <w:jc w:val="left"/>
              <w:rPr/>
            </w:pPr>
            <w:r>
              <w:rPr/>
              <w:t>•   </w:t>
            </w:r>
            <w:r>
              <w:rPr>
                <w:rFonts w:ascii="arial" w:hAnsi="arial"/>
                <w:sz w:val="18"/>
              </w:rPr>
              <w:t>Technology</w:t>
            </w:r>
          </w:p>
        </w:tc>
        <w:tc>
          <w:tcPr>
            <w:tcW w:w="120" w:type="dxa"/>
            <w:vMerge w:val="continue"/>
            <w:tcBorders/>
            <w:vAlign w:val="center"/>
          </w:tcPr>
          <w:p>
            <w:pPr>
              <w:pStyle w:val="Normal"/>
              <w:bidi w:val="0"/>
              <w:jc w:val="left"/>
              <w:rPr/>
            </w:pPr>
            <w:r>
              <w:rPr/>
            </w:r>
          </w:p>
        </w:tc>
        <w:tc>
          <w:tcPr>
            <w:tcW w:w="7638" w:type="dxa"/>
            <w:vMerge w:val="continue"/>
            <w:tcBorders>
              <w:right w:val="single" w:sz="6" w:space="0" w:color="000000"/>
            </w:tcBorders>
            <w:tcMar>
              <w:right w:w="40" w:type="dxa"/>
            </w:tcMar>
            <w:vAlign w:val="center"/>
          </w:tcPr>
          <w:p>
            <w:pPr>
              <w:pStyle w:val="Normal"/>
              <w:bidi w:val="0"/>
              <w:jc w:val="left"/>
              <w:rPr/>
            </w:pPr>
            <w:r>
              <w:rPr/>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r>
              <w:rPr>
                <w:rFonts w:ascii="arial" w:hAnsi="arial"/>
                <w:sz w:val="18"/>
              </w:rPr>
              <w:t>Risk and Strategy</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638"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tc>
      </w:tr>
      <w:tr>
        <w:trPr/>
        <w:tc>
          <w:tcPr>
            <w:tcW w:w="244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8"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w:hAnsi="arial"/>
                <w:b/>
                <w:sz w:val="18"/>
              </w:rPr>
              <w:t xml:space="preserve">Managing Partner, </w:t>
            </w:r>
            <w:r>
              <w:rPr>
                <w:rFonts w:ascii="arial" w:hAnsi="arial"/>
                <w:sz w:val="18"/>
              </w:rPr>
              <w:t>Kerney Partners (2017 – Present)</w:t>
            </w:r>
          </w:p>
          <w:p>
            <w:pPr>
              <w:pStyle w:val="TableContents"/>
              <w:bidi w:val="0"/>
              <w:spacing w:before="0" w:after="0"/>
              <w:jc w:val="left"/>
              <w:rPr/>
            </w:pPr>
            <w:r>
              <w:rPr/>
              <w:t>•   </w:t>
            </w:r>
            <w:r>
              <w:rPr>
                <w:rFonts w:ascii="arial" w:hAnsi="arial"/>
                <w:b/>
                <w:sz w:val="18"/>
              </w:rPr>
              <w:t xml:space="preserve">Executive Vice President, Head of R&amp;D, </w:t>
            </w:r>
            <w:r>
              <w:rPr>
                <w:rFonts w:ascii="arial" w:hAnsi="arial"/>
                <w:sz w:val="18"/>
              </w:rPr>
              <w:t>Amadeus (2012 – 2016)</w:t>
            </w:r>
          </w:p>
          <w:p>
            <w:pPr>
              <w:pStyle w:val="TableContents"/>
              <w:bidi w:val="0"/>
              <w:spacing w:before="0" w:after="0"/>
              <w:jc w:val="left"/>
              <w:rPr/>
            </w:pPr>
            <w:r>
              <w:rPr/>
              <w:t>•   </w:t>
            </w:r>
            <w:r>
              <w:rPr>
                <w:rFonts w:ascii="arial" w:hAnsi="arial"/>
                <w:b/>
                <w:sz w:val="18"/>
              </w:rPr>
              <w:t>Senior roles,</w:t>
            </w:r>
            <w:r>
              <w:rPr>
                <w:rFonts w:ascii="arial" w:hAnsi="arial"/>
                <w:sz w:val="18"/>
              </w:rPr>
              <w:t xml:space="preserve"> SAP AG (2010 – 2012)</w:t>
            </w:r>
          </w:p>
          <w:p>
            <w:pPr>
              <w:pStyle w:val="TableContents"/>
              <w:bidi w:val="0"/>
              <w:spacing w:before="0" w:after="0"/>
              <w:jc w:val="left"/>
              <w:rPr/>
            </w:pPr>
            <w:r>
              <w:rPr/>
              <w:t>•   </w:t>
            </w:r>
            <w:r>
              <w:rPr>
                <w:rFonts w:ascii="arial" w:hAnsi="arial"/>
                <w:sz w:val="18"/>
              </w:rPr>
              <w:t>Executive Vice President, Business Technologies and Research (2010 – 2012)</w:t>
            </w:r>
          </w:p>
          <w:p>
            <w:pPr>
              <w:pStyle w:val="TableContents"/>
              <w:bidi w:val="0"/>
              <w:spacing w:before="0" w:after="0"/>
              <w:jc w:val="left"/>
              <w:rPr/>
            </w:pPr>
            <w:r>
              <w:rPr/>
              <w:t>•   </w:t>
            </w:r>
            <w:r>
              <w:rPr>
                <w:rFonts w:ascii="arial" w:hAnsi="arial"/>
                <w:sz w:val="18"/>
              </w:rPr>
              <w:t>Executive Vice President, Technology Development (2008 – 2010)</w:t>
            </w:r>
          </w:p>
          <w:p>
            <w:pPr>
              <w:pStyle w:val="TableContents"/>
              <w:bidi w:val="0"/>
              <w:spacing w:before="0" w:after="0"/>
              <w:jc w:val="left"/>
              <w:rPr/>
            </w:pPr>
            <w:r>
              <w:rPr/>
              <w:t>•   </w:t>
            </w:r>
            <w:r>
              <w:rPr>
                <w:rFonts w:ascii="arial" w:hAnsi="arial"/>
                <w:sz w:val="18"/>
              </w:rPr>
              <w:t>Senior Vice President, Products (2002 – 2008)</w:t>
            </w:r>
          </w:p>
          <w:p>
            <w:pPr>
              <w:pStyle w:val="TableContents"/>
              <w:bidi w:val="0"/>
              <w:spacing w:before="0" w:after="0"/>
              <w:jc w:val="left"/>
              <w:rPr/>
            </w:pPr>
            <w:r>
              <w:rPr/>
              <w:t>•   </w:t>
            </w:r>
            <w:r>
              <w:rPr>
                <w:rFonts w:ascii="arial" w:hAnsi="arial"/>
                <w:b/>
                <w:sz w:val="18"/>
              </w:rPr>
              <w:t xml:space="preserve">Senior Vice President, </w:t>
            </w:r>
            <w:r>
              <w:rPr>
                <w:rFonts w:ascii="arial" w:hAnsi="arial"/>
                <w:sz w:val="18"/>
              </w:rPr>
              <w:t>Products, S1 (1999 – 2002)</w:t>
            </w:r>
          </w:p>
          <w:p>
            <w:pPr>
              <w:pStyle w:val="TableContents"/>
              <w:bidi w:val="0"/>
              <w:spacing w:before="0" w:after="0"/>
              <w:jc w:val="left"/>
              <w:rPr/>
            </w:pPr>
            <w:r>
              <w:rPr/>
              <w:t>•   </w:t>
            </w:r>
            <w:r>
              <w:rPr>
                <w:rFonts w:ascii="arial" w:hAnsi="arial"/>
                <w:b/>
                <w:sz w:val="18"/>
              </w:rPr>
              <w:t>Engineer, Manager, BU Manager,</w:t>
            </w:r>
            <w:r>
              <w:rPr>
                <w:rFonts w:ascii="arial" w:hAnsi="arial"/>
                <w:sz w:val="18"/>
              </w:rPr>
              <w:t xml:space="preserve"> IBM (1982 – 1997)</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9"/>
        <w:gridCol w:w="120"/>
        <w:gridCol w:w="7466"/>
      </w:tblGrid>
      <w:tr>
        <w:trPr/>
        <w:tc>
          <w:tcPr>
            <w:tcW w:w="26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66" w:type="dxa"/>
            <w:tcBorders/>
            <w:vAlign w:val="center"/>
          </w:tcPr>
          <w:p>
            <w:pPr>
              <w:pStyle w:val="TableContents"/>
              <w:bidi w:val="0"/>
              <w:spacing w:before="0" w:after="283"/>
              <w:jc w:val="left"/>
              <w:rPr>
                <w:sz w:val="4"/>
                <w:szCs w:val="4"/>
              </w:rPr>
            </w:pPr>
            <w:r>
              <w:rPr>
                <w:sz w:val="4"/>
                <w:szCs w:val="4"/>
              </w:rPr>
            </w:r>
          </w:p>
        </w:tc>
      </w:tr>
      <w:tr>
        <w:trPr/>
        <w:tc>
          <w:tcPr>
            <w:tcW w:w="2619" w:type="dxa"/>
            <w:vMerge w:val="restart"/>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540510" cy="18510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540510" cy="1851025"/>
                          </a:xfrm>
                          <a:prstGeom prst="rect">
                            <a:avLst/>
                          </a:prstGeom>
                        </pic:spPr>
                      </pic:pic>
                    </a:graphicData>
                  </a:graphic>
                </wp:inline>
              </w:drawing>
            </w:r>
            <w:r>
              <w:rPr/>
              <w:t xml:space="preserve">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66"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sz w:val="18"/>
              </w:rPr>
            </w:pPr>
            <w:r>
              <w:rPr>
                <w:rFonts w:ascii="arial" w:hAnsi="arial"/>
                <w:b/>
                <w:sz w:val="18"/>
              </w:rPr>
              <w:t>KURT EKERT | Chief Executive Officer and President</w:t>
            </w:r>
          </w:p>
        </w:tc>
      </w:tr>
      <w:tr>
        <w:trPr/>
        <w:tc>
          <w:tcPr>
            <w:tcW w:w="2619" w:type="dxa"/>
            <w:vMerge w:val="continue"/>
            <w:tcBorders>
              <w:top w:val="single" w:sz="6" w:space="0" w:color="000000"/>
              <w:left w:val="single" w:sz="6" w:space="0" w:color="000000"/>
              <w:right w:val="single" w:sz="6" w:space="0" w:color="000000"/>
            </w:tcBorders>
            <w:tcMar>
              <w:top w:w="28" w:type="dxa"/>
              <w:left w:w="160"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466"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•   </w:t>
            </w:r>
            <w:r>
              <w:rPr>
                <w:rFonts w:ascii="arial" w:hAnsi="arial"/>
                <w:b/>
                <w:sz w:val="18"/>
              </w:rPr>
              <w:t>Extensive operating experience and deep familiarity with travel technology ecosystem.</w:t>
            </w:r>
            <w:r>
              <w:rPr>
                <w:rFonts w:ascii="arial" w:hAnsi="arial"/>
                <w:sz w:val="18"/>
              </w:rPr>
              <w:t xml:space="preserve"> As President and CEO of Sabre, Mr. Ekert oversees all aspects of Sabre’s business and technology operations. During his five years as Chief Commercial Officer at Travelport, he transformed the product offerings and value propositions across all key channels, which delivered consistent growth and paved the way for its successful IPO in 2014. He started his career in the travel industry at Continental Airlines before holding various executive positions with Orbitz and Gulliver’s Travel Associates, both subsidiaries of Cendant Corporation before its break-up.</w:t>
            </w:r>
          </w:p>
          <w:p>
            <w:pPr>
              <w:pStyle w:val="TableContents"/>
              <w:bidi w:val="0"/>
              <w:spacing w:before="0" w:after="20"/>
              <w:jc w:val="left"/>
              <w:rPr/>
            </w:pPr>
            <w:r>
              <w:rPr/>
              <w:t>•   </w:t>
            </w:r>
            <w:r>
              <w:rPr>
                <w:rFonts w:ascii="arial" w:hAnsi="arial"/>
                <w:b/>
                <w:sz w:val="18"/>
              </w:rPr>
              <w:t>Proven track record in leading transformational and modernization initiatives.</w:t>
            </w:r>
            <w:r>
              <w:rPr>
                <w:rFonts w:ascii="arial" w:hAnsi="arial"/>
                <w:sz w:val="18"/>
              </w:rPr>
              <w:t xml:space="preserve"> First as President and then CEO at Sabre, Mr. Ekert has led new growth and transformation strategies, including Sabre’s technology transformation objectives and initiating a reorganization of the Travel Solutions business. Prior to joining Sabre, he served as CEO of CWT, a business travel and conferences management company, where he engineered a digital transformation while delivering significant growth, highlighted by $7 billion of new business gains over the course of his tenure. </w:t>
            </w:r>
          </w:p>
        </w:tc>
      </w:tr>
      <w:tr>
        <w:trPr/>
        <w:tc>
          <w:tcPr>
            <w:tcW w:w="261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b/>
                <w:sz w:val="17"/>
              </w:rPr>
              <w:t xml:space="preserve">Director since: </w:t>
            </w:r>
            <w:r>
              <w:rPr>
                <w:rFonts w:ascii="arial" w:hAnsi="arial"/>
                <w:sz w:val="17"/>
              </w:rPr>
              <w:t>2023</w:t>
            </w:r>
          </w:p>
        </w:tc>
        <w:tc>
          <w:tcPr>
            <w:tcW w:w="120" w:type="dxa"/>
            <w:vMerge w:val="restart"/>
            <w:tcBorders/>
            <w:vAlign w:val="center"/>
          </w:tcPr>
          <w:p>
            <w:pPr>
              <w:pStyle w:val="TableContents"/>
              <w:bidi w:val="0"/>
              <w:spacing w:before="0" w:after="283"/>
              <w:jc w:val="left"/>
              <w:rPr/>
            </w:pPr>
            <w:r>
              <w:rPr/>
              <w:t>  </w:t>
            </w:r>
          </w:p>
        </w:tc>
        <w:tc>
          <w:tcPr>
            <w:tcW w:w="7466" w:type="dxa"/>
            <w:vMerge w:val="restart"/>
            <w:tcBorders>
              <w:right w:val="single" w:sz="6" w:space="0" w:color="000000"/>
            </w:tcBorders>
            <w:tcMar>
              <w:right w:w="40" w:type="dxa"/>
            </w:tcMar>
            <w:vAlign w:val="center"/>
          </w:tcPr>
          <w:p>
            <w:pPr>
              <w:pStyle w:val="TableContents"/>
              <w:bidi w:val="0"/>
              <w:spacing w:before="0" w:after="20"/>
              <w:jc w:val="left"/>
              <w:rPr/>
            </w:pPr>
            <w:r>
              <w:rPr/>
              <w:t>•   </w:t>
            </w:r>
            <w:r>
              <w:rPr>
                <w:rFonts w:ascii="arial" w:hAnsi="arial"/>
                <w:b/>
                <w:sz w:val="18"/>
              </w:rPr>
              <w:t xml:space="preserve">Extensive boardroom and governmental experience in the travel industry. </w:t>
            </w:r>
            <w:r>
              <w:rPr>
                <w:rFonts w:ascii="arial" w:hAnsi="arial"/>
                <w:sz w:val="18"/>
              </w:rPr>
              <w:t>Mr. Ekert has broad experience on the boards of multiple travel companies, including at international companies. He serves on the board of PASSUR Aerospace, a provider of decision support technology for the aviation industry, where he has overseen the company following its transition to a SAAS company and platform redesign. He also serves on the board of ZYTLYN Technologies AG, a software platform that process global travel data. Previously, he served on the Travel &amp; Tourism Advisory Board, where he collaborated with leaders in both the public and private sectors to advise the Secretary of Commerce on the U.S. travel and tourism industry.</w:t>
            </w:r>
          </w:p>
        </w:tc>
      </w:tr>
      <w:tr>
        <w:trPr/>
        <w:tc>
          <w:tcPr>
            <w:tcW w:w="261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Chief Executive Officer and President, Sabre Corporation</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466" w:type="dxa"/>
            <w:vMerge w:val="continue"/>
            <w:tcBorders>
              <w:right w:val="single" w:sz="6" w:space="0" w:color="000000"/>
            </w:tcBorders>
            <w:tcMar>
              <w:right w:w="40" w:type="dxa"/>
            </w:tcMar>
            <w:vAlign w:val="center"/>
          </w:tcPr>
          <w:p>
            <w:pPr>
              <w:pStyle w:val="Normal"/>
              <w:bidi w:val="0"/>
              <w:jc w:val="left"/>
              <w:rPr/>
            </w:pPr>
            <w:r>
              <w:rPr/>
            </w:r>
          </w:p>
        </w:tc>
      </w:tr>
      <w:tr>
        <w:trPr/>
        <w:tc>
          <w:tcPr>
            <w:tcW w:w="261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54</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466" w:type="dxa"/>
            <w:vMerge w:val="continue"/>
            <w:tcBorders>
              <w:right w:val="single" w:sz="6" w:space="0" w:color="000000"/>
            </w:tcBorders>
            <w:tcMar>
              <w:right w:w="40" w:type="dxa"/>
            </w:tcMar>
            <w:vAlign w:val="center"/>
          </w:tcPr>
          <w:p>
            <w:pPr>
              <w:pStyle w:val="Normal"/>
              <w:bidi w:val="0"/>
              <w:jc w:val="left"/>
              <w:rPr/>
            </w:pPr>
            <w:r>
              <w:rPr/>
            </w:r>
          </w:p>
        </w:tc>
      </w:tr>
      <w:tr>
        <w:trPr/>
        <w:tc>
          <w:tcPr>
            <w:tcW w:w="261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•   </w:t>
            </w:r>
            <w:r>
              <w:rPr>
                <w:rFonts w:ascii="arial" w:hAnsi="arial"/>
                <w:sz w:val="18"/>
              </w:rPr>
              <w:t>Executive</w:t>
            </w:r>
          </w:p>
          <w:p>
            <w:pPr>
              <w:pStyle w:val="TableContents"/>
              <w:bidi w:val="0"/>
              <w:spacing w:before="0" w:after="20"/>
              <w:jc w:val="left"/>
              <w:rPr/>
            </w:pPr>
            <w:r>
              <w:rPr/>
              <w:t>•   </w:t>
            </w:r>
            <w:r>
              <w:rPr>
                <w:rFonts w:ascii="arial" w:hAnsi="arial"/>
                <w:sz w:val="18"/>
              </w:rPr>
              <w:t>Technology</w:t>
            </w:r>
          </w:p>
        </w:tc>
        <w:tc>
          <w:tcPr>
            <w:tcW w:w="120" w:type="dxa"/>
            <w:vMerge w:val="continue"/>
            <w:tcBorders/>
            <w:vAlign w:val="center"/>
          </w:tcPr>
          <w:p>
            <w:pPr>
              <w:pStyle w:val="Normal"/>
              <w:bidi w:val="0"/>
              <w:jc w:val="left"/>
              <w:rPr/>
            </w:pPr>
            <w:r>
              <w:rPr/>
            </w:r>
          </w:p>
        </w:tc>
        <w:tc>
          <w:tcPr>
            <w:tcW w:w="7466" w:type="dxa"/>
            <w:vMerge w:val="continue"/>
            <w:tcBorders>
              <w:right w:val="single" w:sz="6" w:space="0" w:color="000000"/>
            </w:tcBorders>
            <w:tcMar>
              <w:right w:w="40" w:type="dxa"/>
            </w:tcMar>
            <w:vAlign w:val="center"/>
          </w:tcPr>
          <w:p>
            <w:pPr>
              <w:pStyle w:val="Normal"/>
              <w:bidi w:val="0"/>
              <w:jc w:val="left"/>
              <w:rPr/>
            </w:pPr>
            <w:r>
              <w:rPr/>
            </w:r>
          </w:p>
        </w:tc>
      </w:tr>
      <w:tr>
        <w:trPr/>
        <w:tc>
          <w:tcPr>
            <w:tcW w:w="261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•   </w:t>
            </w:r>
            <w:r>
              <w:rPr>
                <w:rFonts w:ascii="arial" w:hAnsi="arial"/>
                <w:sz w:val="18"/>
              </w:rPr>
              <w:t>International</w:t>
            </w:r>
          </w:p>
          <w:p>
            <w:pPr>
              <w:pStyle w:val="TableContents"/>
              <w:bidi w:val="0"/>
              <w:spacing w:before="0" w:after="20"/>
              <w:jc w:val="left"/>
              <w:rPr/>
            </w:pPr>
            <w:r>
              <w:rPr/>
              <w:t>•   </w:t>
            </w:r>
            <w:r>
              <w:rPr>
                <w:rFonts w:ascii="arial" w:hAnsi="arial"/>
                <w:sz w:val="18"/>
              </w:rPr>
              <w:t>B2B Services</w:t>
            </w:r>
          </w:p>
        </w:tc>
        <w:tc>
          <w:tcPr>
            <w:tcW w:w="120" w:type="dxa"/>
            <w:vMerge w:val="continue"/>
            <w:tcBorders/>
            <w:vAlign w:val="center"/>
          </w:tcPr>
          <w:p>
            <w:pPr>
              <w:pStyle w:val="Normal"/>
              <w:bidi w:val="0"/>
              <w:jc w:val="left"/>
              <w:rPr/>
            </w:pPr>
            <w:r>
              <w:rPr/>
            </w:r>
          </w:p>
        </w:tc>
        <w:tc>
          <w:tcPr>
            <w:tcW w:w="7466" w:type="dxa"/>
            <w:vMerge w:val="continue"/>
            <w:tcBorders>
              <w:right w:val="single" w:sz="6" w:space="0" w:color="000000"/>
            </w:tcBorders>
            <w:tcMar>
              <w:right w:w="40" w:type="dxa"/>
            </w:tcMar>
            <w:vAlign w:val="center"/>
          </w:tcPr>
          <w:p>
            <w:pPr>
              <w:pStyle w:val="Normal"/>
              <w:bidi w:val="0"/>
              <w:jc w:val="left"/>
              <w:rPr/>
            </w:pPr>
            <w:r>
              <w:rPr/>
            </w:r>
          </w:p>
        </w:tc>
      </w:tr>
      <w:tr>
        <w:trPr/>
        <w:tc>
          <w:tcPr>
            <w:tcW w:w="261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r>
              <w:rPr>
                <w:rFonts w:ascii="arial" w:hAnsi="arial"/>
                <w:sz w:val="18"/>
              </w:rPr>
              <w:t>Travel</w:t>
            </w:r>
          </w:p>
          <w:p>
            <w:pPr>
              <w:pStyle w:val="TableContents"/>
              <w:bidi w:val="0"/>
              <w:spacing w:before="0" w:after="0"/>
              <w:jc w:val="left"/>
              <w:rPr/>
            </w:pPr>
            <w:r>
              <w:rPr/>
              <w:t>•   </w:t>
            </w:r>
            <w:r>
              <w:rPr>
                <w:rFonts w:ascii="arial" w:hAnsi="arial"/>
                <w:sz w:val="18"/>
              </w:rPr>
              <w:t>Airline</w:t>
            </w:r>
          </w:p>
          <w:p>
            <w:pPr>
              <w:pStyle w:val="TableContents"/>
              <w:bidi w:val="0"/>
              <w:spacing w:before="0" w:after="0"/>
              <w:jc w:val="left"/>
              <w:rPr/>
            </w:pPr>
            <w:r>
              <w:rPr/>
              <w:t>•   </w:t>
            </w:r>
            <w:r>
              <w:rPr>
                <w:rFonts w:ascii="arial" w:hAnsi="arial"/>
                <w:sz w:val="18"/>
              </w:rPr>
              <w:t>Hospitality</w:t>
            </w:r>
          </w:p>
          <w:p>
            <w:pPr>
              <w:pStyle w:val="TableContents"/>
              <w:bidi w:val="0"/>
              <w:spacing w:before="0" w:after="0"/>
              <w:jc w:val="left"/>
              <w:rPr/>
            </w:pPr>
            <w:r>
              <w:rPr/>
              <w:t>•   </w:t>
            </w:r>
            <w:r>
              <w:rPr>
                <w:rFonts w:ascii="arial" w:hAnsi="arial"/>
                <w:sz w:val="18"/>
              </w:rPr>
              <w:t>Marketing/Sales</w:t>
            </w:r>
          </w:p>
          <w:p>
            <w:pPr>
              <w:pStyle w:val="TableContents"/>
              <w:bidi w:val="0"/>
              <w:spacing w:before="0" w:after="0"/>
              <w:jc w:val="left"/>
              <w:rPr/>
            </w:pPr>
            <w:r>
              <w:rPr/>
              <w:t>•   </w:t>
            </w:r>
            <w:r>
              <w:rPr>
                <w:rFonts w:ascii="arial" w:hAnsi="arial"/>
                <w:sz w:val="18"/>
              </w:rPr>
              <w:t>Technology</w:t>
            </w:r>
          </w:p>
          <w:p>
            <w:pPr>
              <w:pStyle w:val="TableContents"/>
              <w:bidi w:val="0"/>
              <w:spacing w:before="0" w:after="0"/>
              <w:jc w:val="left"/>
              <w:rPr/>
            </w:pPr>
            <w:r>
              <w:rPr/>
              <w:t>•   </w:t>
            </w:r>
            <w:r>
              <w:rPr>
                <w:rFonts w:ascii="arial" w:hAnsi="arial"/>
                <w:sz w:val="18"/>
              </w:rPr>
              <w:t>Operations</w:t>
            </w:r>
          </w:p>
          <w:p>
            <w:pPr>
              <w:pStyle w:val="TableContents"/>
              <w:bidi w:val="0"/>
              <w:spacing w:before="0" w:after="20"/>
              <w:jc w:val="left"/>
              <w:rPr/>
            </w:pPr>
            <w:r>
              <w:rPr/>
              <w:t>•   </w:t>
            </w:r>
            <w:r>
              <w:rPr>
                <w:rFonts w:ascii="arial" w:hAnsi="arial"/>
                <w:sz w:val="18"/>
              </w:rPr>
              <w:t>Risk and Strategy</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466"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•   </w:t>
            </w:r>
            <w:r>
              <w:rPr>
                <w:rFonts w:ascii="arial" w:hAnsi="arial"/>
                <w:b/>
                <w:sz w:val="18"/>
              </w:rPr>
              <w:t>CEO and President,</w:t>
            </w:r>
            <w:r>
              <w:rPr>
                <w:rFonts w:ascii="arial" w:hAnsi="arial"/>
                <w:sz w:val="18"/>
              </w:rPr>
              <w:t xml:space="preserve"> Sabre Corp. (2023 – Present)</w:t>
            </w:r>
          </w:p>
          <w:p>
            <w:pPr>
              <w:pStyle w:val="TableContents"/>
              <w:bidi w:val="0"/>
              <w:spacing w:before="0" w:after="0"/>
              <w:jc w:val="left"/>
              <w:rPr/>
            </w:pPr>
            <w:r>
              <w:rPr/>
              <w:t>•   </w:t>
            </w:r>
            <w:r>
              <w:rPr>
                <w:rFonts w:ascii="arial" w:hAnsi="arial"/>
                <w:sz w:val="18"/>
              </w:rPr>
              <w:t>President (2022 – 2023)</w:t>
            </w:r>
          </w:p>
          <w:p>
            <w:pPr>
              <w:pStyle w:val="TableContents"/>
              <w:bidi w:val="0"/>
              <w:spacing w:before="0" w:after="0"/>
              <w:jc w:val="left"/>
              <w:rPr/>
            </w:pPr>
            <w:r>
              <w:rPr/>
              <w:t>•   </w:t>
            </w:r>
            <w:r>
              <w:rPr>
                <w:rFonts w:ascii="arial" w:hAnsi="arial"/>
                <w:b/>
                <w:sz w:val="18"/>
              </w:rPr>
              <w:t>CEO,</w:t>
            </w:r>
            <w:r>
              <w:rPr>
                <w:rFonts w:ascii="arial" w:hAnsi="arial"/>
                <w:sz w:val="18"/>
              </w:rPr>
              <w:t xml:space="preserve"> CWT (2016 – 2021)</w:t>
            </w:r>
          </w:p>
          <w:p>
            <w:pPr>
              <w:pStyle w:val="TableContents"/>
              <w:bidi w:val="0"/>
              <w:spacing w:before="0" w:after="0"/>
              <w:jc w:val="left"/>
              <w:rPr/>
            </w:pPr>
            <w:r>
              <w:rPr/>
              <w:t>•   </w:t>
            </w:r>
            <w:r>
              <w:rPr>
                <w:rFonts w:ascii="arial" w:hAnsi="arial"/>
                <w:sz w:val="18"/>
              </w:rPr>
              <w:t>Director (2019 – 2021)</w:t>
            </w:r>
          </w:p>
          <w:p>
            <w:pPr>
              <w:pStyle w:val="TableContents"/>
              <w:bidi w:val="0"/>
              <w:spacing w:before="0" w:after="0"/>
              <w:jc w:val="left"/>
              <w:rPr/>
            </w:pPr>
            <w:r>
              <w:rPr/>
              <w:t>•   </w:t>
            </w:r>
            <w:r>
              <w:rPr>
                <w:rFonts w:ascii="arial" w:hAnsi="arial"/>
                <w:b/>
                <w:sz w:val="18"/>
              </w:rPr>
              <w:t>Various executive positions,</w:t>
            </w:r>
            <w:r>
              <w:rPr>
                <w:rFonts w:ascii="arial" w:hAnsi="arial"/>
                <w:sz w:val="18"/>
              </w:rPr>
              <w:t xml:space="preserve"> Travelport Worldwide Ltd</w:t>
            </w:r>
          </w:p>
          <w:p>
            <w:pPr>
              <w:pStyle w:val="TableContents"/>
              <w:bidi w:val="0"/>
              <w:spacing w:before="0" w:after="0"/>
              <w:jc w:val="left"/>
              <w:rPr/>
            </w:pPr>
            <w:r>
              <w:rPr/>
              <w:t>•   </w:t>
            </w:r>
            <w:r>
              <w:rPr>
                <w:rFonts w:ascii="arial" w:hAnsi="arial"/>
                <w:b/>
                <w:sz w:val="18"/>
              </w:rPr>
              <w:t>Executive Vice President</w:t>
            </w:r>
            <w:r>
              <w:rPr>
                <w:rFonts w:ascii="arial" w:hAnsi="arial"/>
                <w:sz w:val="18"/>
              </w:rPr>
              <w:t> </w:t>
            </w:r>
            <w:r>
              <w:rPr>
                <w:rFonts w:ascii="arial" w:hAnsi="arial"/>
                <w:b/>
                <w:sz w:val="18"/>
              </w:rPr>
              <w:t>&amp; Chief Commercial Officer</w:t>
            </w:r>
            <w:r>
              <w:rPr>
                <w:rFonts w:ascii="arial" w:hAnsi="arial"/>
                <w:sz w:val="18"/>
              </w:rPr>
              <w:t xml:space="preserve"> (2010 – 2015)</w:t>
            </w:r>
          </w:p>
          <w:p>
            <w:pPr>
              <w:pStyle w:val="TableContents"/>
              <w:bidi w:val="0"/>
              <w:spacing w:before="0" w:after="20"/>
              <w:jc w:val="left"/>
              <w:rPr/>
            </w:pPr>
            <w:r>
              <w:rPr/>
              <w:t>•   </w:t>
            </w:r>
            <w:r>
              <w:rPr>
                <w:rFonts w:ascii="arial" w:hAnsi="arial"/>
                <w:b/>
                <w:sz w:val="18"/>
              </w:rPr>
              <w:t>COO,</w:t>
            </w:r>
            <w:r>
              <w:rPr>
                <w:rFonts w:ascii="arial" w:hAnsi="arial"/>
                <w:sz w:val="18"/>
              </w:rPr>
              <w:t xml:space="preserve"> Gulliver’s Travel Associates, a division of Travelport (2006 – 2010)</w:t>
            </w:r>
          </w:p>
        </w:tc>
      </w:tr>
      <w:tr>
        <w:trPr/>
        <w:tc>
          <w:tcPr>
            <w:tcW w:w="2619"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6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w:hAnsi="arial"/>
                <w:b/>
                <w:sz w:val="18"/>
              </w:rPr>
              <w:t xml:space="preserve">Various executive positions, </w:t>
            </w:r>
            <w:r>
              <w:rPr>
                <w:rFonts w:ascii="arial" w:hAnsi="arial"/>
                <w:sz w:val="18"/>
              </w:rPr>
              <w:t>Cendant (at then-Cendant subsidiaries Travelport and Orbitz Worldwide) (2002 – 2006)</w:t>
            </w:r>
          </w:p>
          <w:p>
            <w:pPr>
              <w:pStyle w:val="TableContents"/>
              <w:bidi w:val="0"/>
              <w:spacing w:before="0" w:after="0"/>
              <w:jc w:val="left"/>
              <w:rPr/>
            </w:pPr>
            <w:r>
              <w:rPr/>
              <w:t>•   </w:t>
            </w:r>
            <w:r>
              <w:rPr>
                <w:rFonts w:ascii="arial" w:hAnsi="arial"/>
                <w:b/>
                <w:sz w:val="18"/>
              </w:rPr>
              <w:t>Managing Director,</w:t>
            </w:r>
            <w:r>
              <w:rPr>
                <w:rFonts w:ascii="arial" w:hAnsi="arial"/>
                <w:sz w:val="18"/>
              </w:rPr>
              <w:t xml:space="preserve"> Continental Airlines (1996 – 2002)</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Experience</w:t>
            </w:r>
          </w:p>
          <w:p>
            <w:pPr>
              <w:pStyle w:val="TableContents"/>
              <w:bidi w:val="0"/>
              <w:spacing w:before="0" w:after="0"/>
              <w:jc w:val="left"/>
              <w:rPr/>
            </w:pPr>
            <w:r>
              <w:rPr/>
              <w:t>•   </w:t>
            </w:r>
            <w:r>
              <w:rPr>
                <w:rFonts w:ascii="arial" w:hAnsi="arial"/>
                <w:sz w:val="18"/>
              </w:rPr>
              <w:t>Director, ZYTLYN Technologies AG (2021 – Present)</w:t>
            </w:r>
          </w:p>
          <w:p>
            <w:pPr>
              <w:pStyle w:val="TableContents"/>
              <w:bidi w:val="0"/>
              <w:spacing w:before="0" w:after="0"/>
              <w:jc w:val="left"/>
              <w:rPr/>
            </w:pPr>
            <w:r>
              <w:rPr/>
              <w:t>•   </w:t>
            </w:r>
            <w:r>
              <w:rPr>
                <w:rFonts w:ascii="arial" w:hAnsi="arial"/>
                <w:sz w:val="18"/>
              </w:rPr>
              <w:t>Director, PASSUR Aerospace, Inc. (2009 – Present)</w:t>
            </w:r>
          </w:p>
          <w:p>
            <w:pPr>
              <w:pStyle w:val="TableContents"/>
              <w:bidi w:val="0"/>
              <w:spacing w:before="0" w:after="0"/>
              <w:jc w:val="left"/>
              <w:rPr/>
            </w:pPr>
            <w:r>
              <w:rPr/>
              <w:t>•   </w:t>
            </w:r>
            <w:r>
              <w:rPr>
                <w:rFonts w:ascii="arial" w:hAnsi="arial"/>
                <w:sz w:val="18"/>
              </w:rPr>
              <w:t>Director, eNett (2013 – 2015)</w:t>
            </w:r>
          </w:p>
          <w:p>
            <w:pPr>
              <w:pStyle w:val="TableContents"/>
              <w:bidi w:val="0"/>
              <w:spacing w:before="0" w:after="0"/>
              <w:jc w:val="left"/>
              <w:rPr/>
            </w:pPr>
            <w:r>
              <w:rPr/>
              <w:t>•   </w:t>
            </w:r>
            <w:r>
              <w:rPr>
                <w:rFonts w:ascii="arial" w:hAnsi="arial"/>
                <w:sz w:val="18"/>
              </w:rPr>
              <w:t>Director, World Travel &amp; Tourism Council (2016 – 2021)</w:t>
            </w:r>
          </w:p>
          <w:p>
            <w:pPr>
              <w:pStyle w:val="TableContents"/>
              <w:bidi w:val="0"/>
              <w:spacing w:before="0" w:after="0"/>
              <w:jc w:val="left"/>
              <w:rPr/>
            </w:pPr>
            <w:r>
              <w:rPr/>
              <w:t>•   </w:t>
            </w:r>
            <w:r>
              <w:rPr>
                <w:rFonts w:ascii="arial" w:hAnsi="arial"/>
                <w:sz w:val="18"/>
              </w:rPr>
              <w:t>Chairman, U.S. Department of Commerce Travel &amp; Tourism Advisory Board (2016 – 2021)</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25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2"/>
        <w:gridCol w:w="120"/>
        <w:gridCol w:w="7553"/>
      </w:tblGrid>
      <w:tr>
        <w:trPr/>
        <w:tc>
          <w:tcPr>
            <w:tcW w:w="2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3" w:type="dxa"/>
            <w:tcBorders/>
            <w:vAlign w:val="center"/>
          </w:tcPr>
          <w:p>
            <w:pPr>
              <w:pStyle w:val="TableContents"/>
              <w:bidi w:val="0"/>
              <w:spacing w:before="0" w:after="283"/>
              <w:jc w:val="left"/>
              <w:rPr>
                <w:sz w:val="4"/>
                <w:szCs w:val="4"/>
              </w:rPr>
            </w:pPr>
            <w:r>
              <w:rPr>
                <w:sz w:val="4"/>
                <w:szCs w:val="4"/>
              </w:rPr>
            </w:r>
          </w:p>
        </w:tc>
      </w:tr>
      <w:tr>
        <w:trPr/>
        <w:tc>
          <w:tcPr>
            <w:tcW w:w="2532" w:type="dxa"/>
            <w:vMerge w:val="restart"/>
            <w:tcBorders>
              <w:top w:val="single" w:sz="6" w:space="0" w:color="000000"/>
              <w:left w:val="single" w:sz="6" w:space="0" w:color="000000"/>
            </w:tcBorders>
            <w:tcMar>
              <w:top w:w="28" w:type="dxa"/>
              <w:left w:w="1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542415" cy="17557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542415" cy="1755775"/>
                          </a:xfrm>
                          <a:prstGeom prst="rect">
                            <a:avLst/>
                          </a:prstGeom>
                        </pic:spPr>
                      </pic:pic>
                    </a:graphicData>
                  </a:graphic>
                </wp:inline>
              </w:drawing>
            </w:r>
            <w:r>
              <w:rPr/>
              <w:t xml:space="preserve">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553"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center"/>
              <w:rPr>
                <w:rFonts w:ascii="arial" w:hAnsi="arial"/>
                <w:b/>
                <w:sz w:val="18"/>
              </w:rPr>
            </w:pPr>
            <w:r>
              <w:rPr>
                <w:rFonts w:ascii="arial" w:hAnsi="arial"/>
                <w:b/>
                <w:sz w:val="18"/>
              </w:rPr>
              <w:t>ERIC KELLY | Independent Director</w:t>
            </w:r>
          </w:p>
          <w:p>
            <w:pPr>
              <w:pStyle w:val="TableContents"/>
              <w:bidi w:val="0"/>
              <w:spacing w:before="0" w:after="20"/>
              <w:jc w:val="left"/>
              <w:rPr/>
            </w:pPr>
            <w:r>
              <w:rPr/>
              <w:t> </w:t>
            </w:r>
          </w:p>
        </w:tc>
      </w:tr>
      <w:tr>
        <w:trPr/>
        <w:tc>
          <w:tcPr>
            <w:tcW w:w="2532" w:type="dxa"/>
            <w:vMerge w:val="continue"/>
            <w:tcBorders>
              <w:top w:val="single" w:sz="6" w:space="0" w:color="000000"/>
              <w:left w:val="single" w:sz="6" w:space="0" w:color="000000"/>
            </w:tcBorders>
            <w:tcMar>
              <w:top w:w="28" w:type="dxa"/>
              <w:left w:w="160" w:type="dxa"/>
            </w:tcMar>
            <w:vAlign w:val="center"/>
          </w:tcPr>
          <w:p>
            <w:pPr>
              <w:pStyle w:val="Normal"/>
              <w:bidi w:val="0"/>
              <w:jc w:val="left"/>
              <w:rPr/>
            </w:pPr>
            <w:r>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7553" w:type="dxa"/>
            <w:tcBorders>
              <w:right w:val="single" w:sz="6" w:space="0" w:color="000000"/>
            </w:tcBorders>
            <w:tcMar>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•   </w:t>
            </w:r>
            <w:r>
              <w:rPr>
                <w:rFonts w:ascii="arial" w:hAnsi="arial"/>
                <w:b/>
                <w:sz w:val="18"/>
              </w:rPr>
              <w:t xml:space="preserve">Technology industry veteran and proven operator. </w:t>
            </w:r>
            <w:r>
              <w:rPr>
                <w:rFonts w:ascii="arial" w:hAnsi="arial"/>
                <w:sz w:val="18"/>
              </w:rPr>
              <w:t>Mr. Kelly has over four decades of managerial and operational experience in a wide range of senior executive roles across the technology sectors. Throughout his career, he has successfully grown and turned around technology companies ranging from pre-public startups to Fortune 100 organizations. As Chairman of Silicon Valley Technology Partners, he oversees a portfolio of technology companies in the areas of unified data management, data protection, cyber security, B2B SAAS software, AI, and healthcare.</w:t>
            </w:r>
          </w:p>
          <w:p>
            <w:pPr>
              <w:pStyle w:val="TableContents"/>
              <w:bidi w:val="0"/>
              <w:spacing w:before="0" w:after="20"/>
              <w:jc w:val="left"/>
              <w:rPr/>
            </w:pPr>
            <w:r>
              <w:rPr/>
              <w:t>•   </w:t>
            </w:r>
            <w:r>
              <w:rPr>
                <w:rFonts w:ascii="arial" w:hAnsi="arial"/>
                <w:b/>
                <w:sz w:val="18"/>
              </w:rPr>
              <w:t>Extensive mergers and acquisitions, portfolio management, and strategic planning experience.</w:t>
            </w:r>
            <w:r>
              <w:rPr>
                <w:rFonts w:ascii="arial" w:hAnsi="arial"/>
                <w:sz w:val="18"/>
              </w:rPr>
              <w:t xml:space="preserve"> Mr. Kelly has overseen a wide range of transformative business combinations over the course of his career. As the CEO of Snap Appliance, Mr. Kelly led the strategic sale of the company for $100.4 million after private equity investors had valued it at only $10 million 18 months prior. Additionally, he oversaw the combination of Overland Storage and Tandberg Data Holdings to create the combined Overland Tandberg, which fueled growth and delivery of innovative products. As CEO of Sphere 3D, a virtualization software company, he brokered the 2018 divestment of its Data Protection and Archive business to strengthen its balance sheet.</w:t>
            </w:r>
          </w:p>
        </w:tc>
      </w:tr>
      <w:tr>
        <w:trPr/>
        <w:tc>
          <w:tcPr>
            <w:tcW w:w="2532" w:type="dxa"/>
            <w:vMerge w:val="continue"/>
            <w:tcBorders>
              <w:top w:val="single" w:sz="6" w:space="0" w:color="000000"/>
              <w:left w:val="single" w:sz="6" w:space="0" w:color="000000"/>
            </w:tcBorders>
            <w:tcMar>
              <w:top w:w="28" w:type="dxa"/>
              <w:left w:w="160" w:type="dxa"/>
            </w:tcMar>
            <w:vAlign w:val="center"/>
          </w:tcPr>
          <w:p>
            <w:pPr>
              <w:pStyle w:val="Normal"/>
              <w:bidi w:val="0"/>
              <w:jc w:val="left"/>
              <w:rPr/>
            </w:pPr>
            <w:r>
              <w:rPr/>
            </w:r>
          </w:p>
        </w:tc>
        <w:tc>
          <w:tcPr>
            <w:tcW w:w="120" w:type="dxa"/>
            <w:vMerge w:val="restart"/>
            <w:tcBorders>
              <w:left w:val="single" w:sz="6" w:space="0" w:color="000000"/>
            </w:tcBorders>
            <w:tcMar>
              <w:left w:w="28" w:type="dxa"/>
            </w:tcMar>
            <w:vAlign w:val="center"/>
          </w:tcPr>
          <w:p>
            <w:pPr>
              <w:pStyle w:val="TableContents"/>
              <w:bidi w:val="0"/>
              <w:spacing w:before="0" w:after="283"/>
              <w:jc w:val="left"/>
              <w:rPr/>
            </w:pPr>
            <w:r>
              <w:rPr/>
              <w:t>  </w:t>
            </w:r>
          </w:p>
        </w:tc>
        <w:tc>
          <w:tcPr>
            <w:tcW w:w="7553" w:type="dxa"/>
            <w:vMerge w:val="restart"/>
            <w:tcBorders>
              <w:right w:val="single" w:sz="6" w:space="0" w:color="000000"/>
            </w:tcBorders>
            <w:tcMar>
              <w:right w:w="40" w:type="dxa"/>
            </w:tcMar>
            <w:vAlign w:val="center"/>
          </w:tcPr>
          <w:p>
            <w:pPr>
              <w:pStyle w:val="TableContents"/>
              <w:bidi w:val="0"/>
              <w:spacing w:before="0" w:after="20"/>
              <w:jc w:val="left"/>
              <w:rPr/>
            </w:pPr>
            <w:r>
              <w:rPr/>
              <w:t>•   </w:t>
            </w:r>
            <w:r>
              <w:rPr>
                <w:rFonts w:ascii="arial" w:hAnsi="arial"/>
                <w:b/>
                <w:sz w:val="18"/>
              </w:rPr>
              <w:t xml:space="preserve">Trusted expert and advisor in emerging technologies. </w:t>
            </w:r>
            <w:r>
              <w:rPr>
                <w:rFonts w:ascii="arial" w:hAnsi="arial"/>
                <w:sz w:val="18"/>
              </w:rPr>
              <w:t>Mr. Kelly also brings important regulatory and policy experience to our Board of Directors. In 2013 he was appointed by President Obama as a member of the Advisors on Science, Technology and Advanced Manufacturing Partnership Steering Committee, tasked with creating high quality jobs and enhancing America’s global competitiveness. He also served as vice chair to the Department of Commerce’s Manufacturing Committee, providing oversight based on his expertise in technology. Mr. Kelly draws on his advisory technology experience to share critical insights with our Board and inform its oversight of our strategy and operations.</w:t>
            </w:r>
          </w:p>
        </w:tc>
      </w:tr>
      <w:tr>
        <w:trPr/>
        <w:tc>
          <w:tcPr>
            <w:tcW w:w="2532"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 xml:space="preserve">Director since: </w:t>
            </w:r>
            <w:r>
              <w:rPr>
                <w:rFonts w:ascii="arial" w:hAnsi="arial"/>
                <w:sz w:val="18"/>
              </w:rPr>
              <w:t>2025</w:t>
            </w:r>
          </w:p>
          <w:p>
            <w:pPr>
              <w:pStyle w:val="TableContents"/>
              <w:bidi w:val="0"/>
              <w:spacing w:before="0" w:after="20"/>
              <w:jc w:val="left"/>
              <w:rPr/>
            </w:pPr>
            <w:r>
              <w:rPr/>
              <w:t> </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553" w:type="dxa"/>
            <w:vMerge w:val="continue"/>
            <w:tcBorders>
              <w:right w:val="single" w:sz="6" w:space="0" w:color="000000"/>
            </w:tcBorders>
            <w:tcMar>
              <w:right w:w="40" w:type="dxa"/>
            </w:tcMar>
            <w:vAlign w:val="center"/>
          </w:tcPr>
          <w:p>
            <w:pPr>
              <w:pStyle w:val="Normal"/>
              <w:bidi w:val="0"/>
              <w:jc w:val="left"/>
              <w:rPr/>
            </w:pPr>
            <w:r>
              <w:rPr/>
            </w:r>
          </w:p>
        </w:tc>
      </w:tr>
      <w:tr>
        <w:trPr/>
        <w:tc>
          <w:tcPr>
            <w:tcW w:w="2532"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Chairman and CEO, Overland Tandberg Inc.</w:t>
            </w:r>
          </w:p>
          <w:p>
            <w:pPr>
              <w:pStyle w:val="TableContents"/>
              <w:bidi w:val="0"/>
              <w:spacing w:before="0" w:after="20"/>
              <w:jc w:val="left"/>
              <w:rPr/>
            </w:pPr>
            <w:r>
              <w:rPr/>
              <w:t> </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553" w:type="dxa"/>
            <w:vMerge w:val="continue"/>
            <w:tcBorders>
              <w:right w:val="single" w:sz="6" w:space="0" w:color="000000"/>
            </w:tcBorders>
            <w:tcMar>
              <w:right w:w="40" w:type="dxa"/>
            </w:tcMar>
            <w:vAlign w:val="center"/>
          </w:tcPr>
          <w:p>
            <w:pPr>
              <w:pStyle w:val="Normal"/>
              <w:bidi w:val="0"/>
              <w:jc w:val="left"/>
              <w:rPr/>
            </w:pPr>
            <w:r>
              <w:rPr/>
            </w:r>
          </w:p>
        </w:tc>
      </w:tr>
      <w:tr>
        <w:trPr/>
        <w:tc>
          <w:tcPr>
            <w:tcW w:w="2532"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66</w:t>
            </w:r>
          </w:p>
          <w:p>
            <w:pPr>
              <w:pStyle w:val="TableContents"/>
              <w:bidi w:val="0"/>
              <w:spacing w:before="0" w:after="20"/>
              <w:jc w:val="left"/>
              <w:rPr/>
            </w:pPr>
            <w:r>
              <w:rPr/>
              <w:t> </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553" w:type="dxa"/>
            <w:vMerge w:val="continue"/>
            <w:tcBorders>
              <w:right w:val="single" w:sz="6" w:space="0" w:color="000000"/>
            </w:tcBorders>
            <w:tcMar>
              <w:right w:w="40" w:type="dxa"/>
            </w:tcMar>
            <w:vAlign w:val="center"/>
          </w:tcPr>
          <w:p>
            <w:pPr>
              <w:pStyle w:val="Normal"/>
              <w:bidi w:val="0"/>
              <w:jc w:val="left"/>
              <w:rPr/>
            </w:pPr>
            <w:r>
              <w:rPr/>
            </w:r>
          </w:p>
        </w:tc>
      </w:tr>
      <w:tr>
        <w:trPr/>
        <w:tc>
          <w:tcPr>
            <w:tcW w:w="2532"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•   </w:t>
            </w:r>
            <w:r>
              <w:rPr>
                <w:rFonts w:ascii="arial" w:hAnsi="arial"/>
                <w:sz w:val="18"/>
              </w:rPr>
              <w:t>Audit</w:t>
            </w:r>
          </w:p>
          <w:p>
            <w:pPr>
              <w:pStyle w:val="TableContents"/>
              <w:bidi w:val="0"/>
              <w:spacing w:before="0" w:after="20"/>
              <w:jc w:val="left"/>
              <w:rPr/>
            </w:pPr>
            <w:r>
              <w:rPr/>
              <w:t>•   </w:t>
            </w:r>
            <w:r>
              <w:rPr>
                <w:rFonts w:ascii="arial" w:hAnsi="arial"/>
                <w:sz w:val="18"/>
              </w:rPr>
              <w:t>Technology</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553" w:type="dxa"/>
            <w:vMerge w:val="continue"/>
            <w:tcBorders>
              <w:right w:val="single" w:sz="6" w:space="0" w:color="000000"/>
            </w:tcBorders>
            <w:tcMar>
              <w:right w:w="40" w:type="dxa"/>
            </w:tcMar>
            <w:vAlign w:val="center"/>
          </w:tcPr>
          <w:p>
            <w:pPr>
              <w:pStyle w:val="Normal"/>
              <w:bidi w:val="0"/>
              <w:jc w:val="left"/>
              <w:rPr/>
            </w:pPr>
            <w:r>
              <w:rPr/>
            </w:r>
          </w:p>
        </w:tc>
      </w:tr>
      <w:tr>
        <w:trPr/>
        <w:tc>
          <w:tcPr>
            <w:tcW w:w="2532" w:type="dxa"/>
            <w:tcBorders>
              <w:left w:val="single" w:sz="6" w:space="0" w:color="000000"/>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•   </w:t>
            </w:r>
            <w:r>
              <w:rPr>
                <w:rFonts w:ascii="arial" w:hAnsi="arial"/>
                <w:sz w:val="18"/>
              </w:rPr>
              <w:t>International</w:t>
            </w:r>
          </w:p>
          <w:p>
            <w:pPr>
              <w:pStyle w:val="TableContents"/>
              <w:bidi w:val="0"/>
              <w:spacing w:before="0" w:after="20"/>
              <w:jc w:val="left"/>
              <w:rPr/>
            </w:pPr>
            <w:r>
              <w:rPr/>
              <w:t>•   </w:t>
            </w:r>
            <w:r>
              <w:rPr>
                <w:rFonts w:ascii="arial" w:hAnsi="arial"/>
                <w:sz w:val="18"/>
              </w:rPr>
              <w:t>B2B Services</w:t>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7553" w:type="dxa"/>
            <w:vMerge w:val="continue"/>
            <w:tcBorders>
              <w:right w:val="single" w:sz="6" w:space="0" w:color="000000"/>
            </w:tcBorders>
            <w:tcMar>
              <w:right w:w="40" w:type="dxa"/>
            </w:tcMar>
            <w:vAlign w:val="center"/>
          </w:tcPr>
          <w:p>
            <w:pPr>
              <w:pStyle w:val="Normal"/>
              <w:bidi w:val="0"/>
              <w:jc w:val="left"/>
              <w:rPr/>
            </w:pPr>
            <w:r>
              <w:rPr/>
            </w:r>
          </w:p>
        </w:tc>
      </w:tr>
      <w:tr>
        <w:trPr/>
        <w:tc>
          <w:tcPr>
            <w:tcW w:w="2532" w:type="dxa"/>
            <w:tcBorders>
              <w:left w:val="single" w:sz="6" w:space="0" w:color="000000"/>
            </w:tcBorders>
            <w:tcMar>
              <w:left w:w="160" w:type="dxa"/>
            </w:tcMar>
            <w:vAlign w:val="center"/>
          </w:tcPr>
          <w:p>
            <w:pPr>
              <w:pStyle w:val="TableContents"/>
              <w:bidi w:val="0"/>
              <w:spacing w:before="0" w:after="0"/>
              <w:jc w:val="left"/>
              <w:rPr/>
            </w:pPr>
            <w:r>
              <w:rPr/>
              <w:t>•   </w:t>
            </w:r>
            <w:r>
              <w:rPr>
                <w:rFonts w:ascii="arial" w:hAnsi="arial"/>
                <w:sz w:val="18"/>
              </w:rPr>
              <w:t>Marketing/Sales</w:t>
            </w:r>
          </w:p>
          <w:p>
            <w:pPr>
              <w:pStyle w:val="TableContents"/>
              <w:bidi w:val="0"/>
              <w:spacing w:before="0" w:after="0"/>
              <w:jc w:val="left"/>
              <w:rPr/>
            </w:pPr>
            <w:r>
              <w:rPr/>
              <w:t>•   </w:t>
            </w:r>
            <w:r>
              <w:rPr>
                <w:rFonts w:ascii="arial" w:hAnsi="arial"/>
                <w:sz w:val="18"/>
              </w:rPr>
              <w:t>Technology</w:t>
            </w:r>
          </w:p>
          <w:p>
            <w:pPr>
              <w:pStyle w:val="TableContents"/>
              <w:bidi w:val="0"/>
              <w:spacing w:before="0" w:after="0"/>
              <w:jc w:val="left"/>
              <w:rPr/>
            </w:pPr>
            <w:r>
              <w:rPr/>
              <w:t>•   </w:t>
            </w:r>
            <w:r>
              <w:rPr>
                <w:rFonts w:ascii="arial" w:hAnsi="arial"/>
                <w:sz w:val="18"/>
              </w:rPr>
              <w:t>Operations</w:t>
            </w:r>
          </w:p>
          <w:p>
            <w:pPr>
              <w:pStyle w:val="TableContents"/>
              <w:bidi w:val="0"/>
              <w:spacing w:before="0" w:after="20"/>
              <w:jc w:val="left"/>
              <w:rPr/>
            </w:pPr>
            <w:r>
              <w:rPr/>
              <w:t>•   </w:t>
            </w:r>
            <w:r>
              <w:rPr>
                <w:rFonts w:ascii="arial" w:hAnsi="arial"/>
                <w:sz w:val="18"/>
              </w:rPr>
              <w:t>Risk and Strategy</w:t>
            </w:r>
          </w:p>
        </w:tc>
        <w:tc>
          <w:tcPr>
            <w:tcW w:w="120" w:type="dxa"/>
            <w:vMerge w:val="restart"/>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553" w:type="dxa"/>
            <w:vMerge w:val="restart"/>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•   </w:t>
            </w:r>
            <w:r>
              <w:rPr>
                <w:rFonts w:ascii="arial" w:hAnsi="arial"/>
                <w:b/>
                <w:sz w:val="18"/>
              </w:rPr>
              <w:t xml:space="preserve">Chairman and CEO, </w:t>
            </w:r>
            <w:r>
              <w:rPr>
                <w:rFonts w:ascii="arial" w:hAnsi="arial"/>
                <w:sz w:val="18"/>
              </w:rPr>
              <w:t>Overland Tandberg Inc. (2018 – Present)</w:t>
            </w:r>
          </w:p>
          <w:p>
            <w:pPr>
              <w:pStyle w:val="TableContents"/>
              <w:bidi w:val="0"/>
              <w:spacing w:before="0" w:after="0"/>
              <w:jc w:val="left"/>
              <w:rPr/>
            </w:pPr>
            <w:r>
              <w:rPr/>
              <w:t>•   </w:t>
            </w:r>
            <w:r>
              <w:rPr>
                <w:rFonts w:ascii="arial" w:hAnsi="arial"/>
                <w:b/>
                <w:sz w:val="18"/>
              </w:rPr>
              <w:t>Founder and Chairman,</w:t>
            </w:r>
            <w:r>
              <w:rPr>
                <w:rFonts w:ascii="arial" w:hAnsi="arial"/>
                <w:sz w:val="18"/>
              </w:rPr>
              <w:t xml:space="preserve"> Bridge 2 Technologies, LLC (2018 – Present)</w:t>
            </w:r>
          </w:p>
          <w:p>
            <w:pPr>
              <w:pStyle w:val="TableContents"/>
              <w:bidi w:val="0"/>
              <w:spacing w:before="0" w:after="0"/>
              <w:jc w:val="left"/>
              <w:rPr/>
            </w:pPr>
            <w:r>
              <w:rPr/>
              <w:t>•   </w:t>
            </w:r>
            <w:r>
              <w:rPr>
                <w:rFonts w:ascii="arial" w:hAnsi="arial"/>
                <w:b/>
                <w:sz w:val="18"/>
              </w:rPr>
              <w:t xml:space="preserve">Chairman and CEO, </w:t>
            </w:r>
            <w:r>
              <w:rPr>
                <w:rFonts w:ascii="arial" w:hAnsi="arial"/>
                <w:sz w:val="18"/>
              </w:rPr>
              <w:t>Sphere 3D Corp. (2014 – 2018)</w:t>
            </w:r>
          </w:p>
          <w:p>
            <w:pPr>
              <w:pStyle w:val="TableContents"/>
              <w:bidi w:val="0"/>
              <w:spacing w:before="0" w:after="0"/>
              <w:jc w:val="left"/>
              <w:rPr/>
            </w:pPr>
            <w:r>
              <w:rPr/>
              <w:t>•   </w:t>
            </w:r>
            <w:r>
              <w:rPr>
                <w:rFonts w:ascii="arial" w:hAnsi="arial"/>
                <w:b/>
                <w:sz w:val="18"/>
              </w:rPr>
              <w:t>President and CEO,</w:t>
            </w:r>
            <w:r>
              <w:rPr>
                <w:rFonts w:ascii="arial" w:hAnsi="arial"/>
                <w:sz w:val="18"/>
              </w:rPr>
              <w:t xml:space="preserve"> Overland Storage Inc. (2009 – 2014)</w:t>
            </w:r>
          </w:p>
          <w:p>
            <w:pPr>
              <w:pStyle w:val="TableContents"/>
              <w:bidi w:val="0"/>
              <w:spacing w:before="0" w:after="0"/>
              <w:jc w:val="left"/>
              <w:rPr/>
            </w:pPr>
            <w:r>
              <w:rPr/>
              <w:t>•   </w:t>
            </w:r>
            <w:r>
              <w:rPr>
                <w:rFonts w:ascii="arial" w:hAnsi="arial"/>
                <w:b/>
                <w:sz w:val="18"/>
              </w:rPr>
              <w:t xml:space="preserve">Chairman and Founder, </w:t>
            </w:r>
            <w:r>
              <w:rPr>
                <w:rFonts w:ascii="arial" w:hAnsi="arial"/>
                <w:sz w:val="18"/>
              </w:rPr>
              <w:t>Silicon Valley Management Partners Inc. (2007 – 2009)</w:t>
            </w:r>
          </w:p>
          <w:p>
            <w:pPr>
              <w:pStyle w:val="TableContents"/>
              <w:bidi w:val="0"/>
              <w:spacing w:before="0" w:after="0"/>
              <w:jc w:val="left"/>
              <w:rPr/>
            </w:pPr>
            <w:r>
              <w:rPr/>
              <w:t>•   </w:t>
            </w:r>
            <w:r>
              <w:rPr>
                <w:rFonts w:ascii="arial" w:hAnsi="arial"/>
                <w:b/>
                <w:sz w:val="18"/>
              </w:rPr>
              <w:t>Vice President and General Manager of Storage Systems and Solutions,</w:t>
            </w:r>
            <w:r>
              <w:rPr>
                <w:rFonts w:ascii="arial" w:hAnsi="arial"/>
                <w:sz w:val="18"/>
              </w:rPr>
              <w:t xml:space="preserve"> Adaptec (2004 – 2006)</w:t>
            </w:r>
          </w:p>
          <w:p>
            <w:pPr>
              <w:pStyle w:val="TableContents"/>
              <w:bidi w:val="0"/>
              <w:spacing w:before="0" w:after="0"/>
              <w:jc w:val="left"/>
              <w:rPr/>
            </w:pPr>
            <w:r>
              <w:rPr/>
              <w:t>•   </w:t>
            </w:r>
            <w:r>
              <w:rPr>
                <w:rFonts w:ascii="arial" w:hAnsi="arial"/>
                <w:b/>
                <w:sz w:val="18"/>
              </w:rPr>
              <w:t xml:space="preserve">President and CEO, </w:t>
            </w:r>
            <w:r>
              <w:rPr>
                <w:rFonts w:ascii="arial" w:hAnsi="arial"/>
                <w:sz w:val="18"/>
              </w:rPr>
              <w:t>Snap Appliance (2002 – 2005)</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Experience</w:t>
            </w:r>
          </w:p>
          <w:p>
            <w:pPr>
              <w:pStyle w:val="TableContents"/>
              <w:bidi w:val="0"/>
              <w:spacing w:before="0" w:after="0"/>
              <w:jc w:val="left"/>
              <w:rPr/>
            </w:pPr>
            <w:r>
              <w:rPr/>
              <w:t>•   </w:t>
            </w:r>
            <w:r>
              <w:rPr>
                <w:rFonts w:ascii="arial" w:hAnsi="arial"/>
                <w:sz w:val="18"/>
              </w:rPr>
              <w:t>Board Member, Executive Office of the President of The United States Counsel of Advisors on Science, Technology and Advanced Manufacturing Partnership Steering Committee (2009 – 2017)</w:t>
            </w:r>
          </w:p>
          <w:p>
            <w:pPr>
              <w:pStyle w:val="TableContents"/>
              <w:bidi w:val="0"/>
              <w:spacing w:before="0" w:after="0"/>
              <w:jc w:val="left"/>
              <w:rPr/>
            </w:pPr>
            <w:r>
              <w:rPr/>
              <w:t>•   </w:t>
            </w:r>
            <w:r>
              <w:rPr>
                <w:rFonts w:ascii="arial" w:hAnsi="arial"/>
                <w:sz w:val="18"/>
              </w:rPr>
              <w:t>Vice Chairman of the Workforce Sub-Committee, U.S. Department of Commerce Advanced Manufacturing Council (2013 – 2016)</w:t>
            </w:r>
          </w:p>
          <w:p>
            <w:pPr>
              <w:pStyle w:val="TableContents"/>
              <w:bidi w:val="0"/>
              <w:spacing w:before="0" w:after="0"/>
              <w:jc w:val="left"/>
              <w:rPr/>
            </w:pPr>
            <w:r>
              <w:rPr/>
              <w:t>•   </w:t>
            </w:r>
            <w:r>
              <w:rPr>
                <w:rFonts w:ascii="arial" w:hAnsi="arial"/>
                <w:sz w:val="18"/>
              </w:rPr>
              <w:t>Chairman of Federal Reserve Bank of San Francisco’s Economic Advisory Council (2021 – 2024)</w:t>
            </w:r>
          </w:p>
          <w:p>
            <w:pPr>
              <w:pStyle w:val="TableContents"/>
              <w:bidi w:val="0"/>
              <w:spacing w:before="0" w:after="0"/>
              <w:jc w:val="left"/>
              <w:rPr/>
            </w:pPr>
            <w:r>
              <w:rPr/>
              <w:t>•   </w:t>
            </w:r>
            <w:r>
              <w:rPr>
                <w:rFonts w:ascii="arial" w:hAnsi="arial"/>
                <w:sz w:val="18"/>
              </w:rPr>
              <w:t>Board Member, Guardian Life Insurance (2024 – Present)</w:t>
            </w:r>
          </w:p>
          <w:p>
            <w:pPr>
              <w:pStyle w:val="TableContents"/>
              <w:bidi w:val="0"/>
              <w:spacing w:before="0" w:after="0"/>
              <w:jc w:val="left"/>
              <w:rPr/>
            </w:pPr>
            <w:r>
              <w:rPr/>
              <w:t>•   </w:t>
            </w:r>
            <w:r>
              <w:rPr>
                <w:rFonts w:ascii="arial" w:hAnsi="arial"/>
                <w:sz w:val="18"/>
              </w:rPr>
              <w:t>Board Member, San Jose State University (2019 – Present)</w:t>
            </w:r>
          </w:p>
          <w:p>
            <w:pPr>
              <w:pStyle w:val="TableContents"/>
              <w:bidi w:val="0"/>
              <w:spacing w:before="0" w:after="20"/>
              <w:jc w:val="left"/>
              <w:rPr/>
            </w:pPr>
            <w:r>
              <w:rPr/>
              <w:t> </w:t>
            </w:r>
          </w:p>
        </w:tc>
      </w:tr>
      <w:tr>
        <w:trPr/>
        <w:tc>
          <w:tcPr>
            <w:tcW w:w="2532"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vMerge w:val="continue"/>
            <w:tcBorders>
              <w:top w:val="single" w:sz="6" w:space="0" w:color="000000"/>
              <w:left w:val="single" w:sz="6" w:space="0" w:color="000000"/>
              <w:bottom w:val="single" w:sz="6" w:space="0" w:color="000000"/>
            </w:tcBorders>
            <w:tcMar>
              <w:top w:w="28" w:type="dxa"/>
              <w:left w:w="28" w:type="dxa"/>
              <w:bottom w:w="28" w:type="dxa"/>
            </w:tcMar>
            <w:vAlign w:val="center"/>
          </w:tcPr>
          <w:p>
            <w:pPr>
              <w:pStyle w:val="Normal"/>
              <w:bidi w:val="0"/>
              <w:jc w:val="left"/>
              <w:rPr/>
            </w:pPr>
            <w:r>
              <w:rPr/>
            </w:r>
          </w:p>
        </w:tc>
        <w:tc>
          <w:tcPr>
            <w:tcW w:w="7553" w:type="dxa"/>
            <w:vMerge w:val="continue"/>
            <w:tcBorders>
              <w:top w:val="single" w:sz="6" w:space="0" w:color="000000"/>
              <w:bottom w:val="single" w:sz="6" w:space="0" w:color="000000"/>
              <w:right w:val="single" w:sz="6" w:space="0" w:color="000000"/>
            </w:tcBorders>
            <w:tcMar>
              <w:top w:w="28" w:type="dxa"/>
              <w:bottom w:w="28" w:type="dxa"/>
              <w:right w:w="40" w:type="dxa"/>
            </w:tcMar>
            <w:vAlign w:val="center"/>
          </w:tcPr>
          <w:p>
            <w:pPr>
              <w:pStyle w:val="Normal"/>
              <w:bidi w:val="0"/>
              <w:jc w:val="left"/>
              <w:rPr/>
            </w:pPr>
            <w:r>
              <w:rPr/>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0"/>
        <w:gridCol w:w="120"/>
        <w:gridCol w:w="7496"/>
        <w:gridCol w:w="39"/>
      </w:tblGrid>
      <w:tr>
        <w:trPr/>
        <w:tc>
          <w:tcPr>
            <w:tcW w:w="2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96" w:type="dxa"/>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2550" w:type="dxa"/>
            <w:vMerge w:val="restart"/>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541145" cy="181546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541145" cy="1815465"/>
                          </a:xfrm>
                          <a:prstGeom prst="rect">
                            <a:avLst/>
                          </a:prstGeom>
                        </pic:spPr>
                      </pic:pic>
                    </a:graphicData>
                  </a:graphic>
                </wp:inline>
              </w:drawing>
            </w:r>
            <w:r>
              <w:rPr/>
              <w:t xml:space="preserve">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496"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lineRule="atLeast" w:line="360" w:before="0" w:after="20"/>
              <w:jc w:val="center"/>
              <w:rPr>
                <w:rFonts w:ascii="arial" w:hAnsi="arial"/>
                <w:sz w:val="18"/>
              </w:rPr>
            </w:pPr>
            <w:r>
              <w:rPr>
                <w:rFonts w:ascii="arial" w:hAnsi="arial"/>
                <w:b/>
                <w:sz w:val="18"/>
              </w:rPr>
              <w:t>GAIL MANDEL</w:t>
            </w:r>
            <w:r>
              <w:rPr>
                <w:rFonts w:ascii="arial" w:hAnsi="arial"/>
                <w:sz w:val="18"/>
              </w:rPr>
              <w:t xml:space="preserve"> </w:t>
            </w:r>
            <w:r>
              <w:rPr>
                <w:rFonts w:ascii="arial" w:hAnsi="arial"/>
                <w:b/>
                <w:sz w:val="18"/>
              </w:rPr>
              <w:t>| Chair and Independent Director</w:t>
            </w:r>
          </w:p>
        </w:tc>
        <w:tc>
          <w:tcPr>
            <w:tcW w:w="39" w:type="dxa"/>
            <w:tcBorders/>
          </w:tcPr>
          <w:p>
            <w:pPr>
              <w:pStyle w:val="TableContents"/>
              <w:bidi w:val="0"/>
              <w:spacing w:before="0" w:after="283"/>
              <w:jc w:val="left"/>
              <w:rPr>
                <w:sz w:val="4"/>
                <w:szCs w:val="4"/>
              </w:rPr>
            </w:pPr>
            <w:r>
              <w:rPr>
                <w:sz w:val="4"/>
                <w:szCs w:val="4"/>
              </w:rPr>
            </w:r>
          </w:p>
        </w:tc>
      </w:tr>
      <w:tr>
        <w:trPr/>
        <w:tc>
          <w:tcPr>
            <w:tcW w:w="2550" w:type="dxa"/>
            <w:vMerge w:val="continue"/>
            <w:tcBorders>
              <w:top w:val="single" w:sz="6" w:space="0" w:color="000000"/>
              <w:left w:val="single" w:sz="6" w:space="0" w:color="000000"/>
              <w:right w:val="single" w:sz="6" w:space="0" w:color="000000"/>
            </w:tcBorders>
            <w:tcMar>
              <w:top w:w="28" w:type="dxa"/>
              <w:left w:w="160"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496"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•   </w:t>
            </w:r>
            <w:r>
              <w:rPr>
                <w:rFonts w:ascii="arial" w:hAnsi="arial"/>
                <w:b/>
                <w:sz w:val="18"/>
              </w:rPr>
              <w:t>Proven travel and hospitality leader.</w:t>
            </w:r>
            <w:r>
              <w:rPr>
                <w:rFonts w:ascii="arial" w:hAnsi="arial"/>
                <w:sz w:val="18"/>
              </w:rPr>
              <w:t xml:space="preserve"> Ms. Mandel previously served as CEO, CFO, COO of Wyndham Destination Network (a division of Wyndham Worldwide, now Travel + Leisure), a provider of professionally managed vacation accommodations, overseeing the strategic direction and overall management of business development efforts. As CEO, she delivered consecutive year-over-year growth before presiding over complex change management in preparation for the company’s spin-off transaction from Wyndham Worldwide, including a $1.3 billion divestiture of the European Rentals business. This leadership experience allows her to provide key insights to our Board of Directors and lead its deliberations and the development and implementation of Sabre’s strategy.</w:t>
            </w:r>
          </w:p>
          <w:p>
            <w:pPr>
              <w:pStyle w:val="TableContents"/>
              <w:bidi w:val="0"/>
              <w:spacing w:before="0" w:after="20"/>
              <w:jc w:val="left"/>
              <w:rPr/>
            </w:pPr>
            <w:r>
              <w:rPr/>
              <w:t>•   </w:t>
            </w:r>
            <w:r>
              <w:rPr>
                <w:rFonts w:ascii="arial" w:hAnsi="arial"/>
                <w:b/>
                <w:sz w:val="18"/>
              </w:rPr>
              <w:t>Extensive experience in strategic planning.</w:t>
            </w:r>
            <w:r>
              <w:rPr>
                <w:rFonts w:ascii="arial" w:hAnsi="arial"/>
                <w:sz w:val="18"/>
              </w:rPr>
              <w:t xml:space="preserve"> Ms. Mandel has a strong understanding of mergers and acquisitions and business development. As Wyndham Destination Network's CEO, she strengthened the company's footprint and brand by actively identifying and executing over a dozen targeted, complementary acquisitions to expand the company's product offering and round out its portfolio across different sectors and price points.</w:t>
            </w:r>
          </w:p>
        </w:tc>
        <w:tc>
          <w:tcPr>
            <w:tcW w:w="39" w:type="dxa"/>
            <w:tcBorders/>
          </w:tcPr>
          <w:p>
            <w:pPr>
              <w:pStyle w:val="TableContents"/>
              <w:bidi w:val="0"/>
              <w:spacing w:before="0" w:after="283"/>
              <w:jc w:val="left"/>
              <w:rPr>
                <w:sz w:val="4"/>
                <w:szCs w:val="4"/>
              </w:rPr>
            </w:pPr>
            <w:r>
              <w:rPr>
                <w:sz w:val="4"/>
                <w:szCs w:val="4"/>
              </w:rPr>
            </w:r>
          </w:p>
        </w:tc>
      </w:tr>
      <w:tr>
        <w:trPr/>
        <w:tc>
          <w:tcPr>
            <w:tcW w:w="2550"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b/>
                <w:sz w:val="17"/>
              </w:rPr>
              <w:t xml:space="preserve">Director since: </w:t>
            </w:r>
            <w:r>
              <w:rPr>
                <w:rFonts w:ascii="arial" w:hAnsi="arial"/>
                <w:sz w:val="17"/>
              </w:rPr>
              <w:t>2020</w:t>
            </w:r>
          </w:p>
        </w:tc>
        <w:tc>
          <w:tcPr>
            <w:tcW w:w="120" w:type="dxa"/>
            <w:vMerge w:val="restart"/>
            <w:tcBorders/>
            <w:vAlign w:val="center"/>
          </w:tcPr>
          <w:p>
            <w:pPr>
              <w:pStyle w:val="TableContents"/>
              <w:bidi w:val="0"/>
              <w:spacing w:before="0" w:after="283"/>
              <w:jc w:val="left"/>
              <w:rPr/>
            </w:pPr>
            <w:r>
              <w:rPr/>
              <w:t>  </w:t>
            </w:r>
          </w:p>
        </w:tc>
        <w:tc>
          <w:tcPr>
            <w:tcW w:w="7496" w:type="dxa"/>
            <w:vMerge w:val="restart"/>
            <w:tcBorders>
              <w:right w:val="single" w:sz="6" w:space="0" w:color="000000"/>
            </w:tcBorders>
            <w:tcMar>
              <w:right w:w="40" w:type="dxa"/>
            </w:tcMar>
            <w:vAlign w:val="center"/>
          </w:tcPr>
          <w:p>
            <w:pPr>
              <w:pStyle w:val="TableContents"/>
              <w:bidi w:val="0"/>
              <w:spacing w:before="0" w:after="20"/>
              <w:jc w:val="left"/>
              <w:rPr/>
            </w:pPr>
            <w:r>
              <w:rPr/>
              <w:t>•   </w:t>
            </w:r>
            <w:r>
              <w:rPr>
                <w:rFonts w:ascii="arial" w:hAnsi="arial"/>
                <w:b/>
                <w:sz w:val="18"/>
              </w:rPr>
              <w:t>Corporate finance and accounting expertise.</w:t>
            </w:r>
            <w:r>
              <w:rPr>
                <w:rFonts w:ascii="arial" w:hAnsi="arial"/>
                <w:sz w:val="18"/>
              </w:rPr>
              <w:t xml:space="preserve"> She has over 30 years of finance and accounting experience acquired through her roles as a Senior Auditor at Deloitte &amp; Touche, her executive financial positions at the Wyndham Worldwide, Cendant and HFS suite of businesses, and as Managing Director at Focused Point Ventures, where she provides advisory and consulting services focused on the analysis of investment theses, structuring, and capital allocation.</w:t>
            </w:r>
          </w:p>
        </w:tc>
        <w:tc>
          <w:tcPr>
            <w:tcW w:w="39" w:type="dxa"/>
            <w:tcBorders/>
          </w:tcPr>
          <w:p>
            <w:pPr>
              <w:pStyle w:val="TableContents"/>
              <w:bidi w:val="0"/>
              <w:spacing w:before="0" w:after="283"/>
              <w:jc w:val="left"/>
              <w:rPr>
                <w:sz w:val="4"/>
                <w:szCs w:val="4"/>
              </w:rPr>
            </w:pPr>
            <w:r>
              <w:rPr>
                <w:sz w:val="4"/>
                <w:szCs w:val="4"/>
              </w:rPr>
            </w:r>
          </w:p>
        </w:tc>
      </w:tr>
      <w:tr>
        <w:trPr/>
        <w:tc>
          <w:tcPr>
            <w:tcW w:w="2550"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Managing Director, Focused Point Ventures, LLC</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496" w:type="dxa"/>
            <w:vMerge w:val="continue"/>
            <w:tcBorders>
              <w:right w:val="single" w:sz="6" w:space="0" w:color="000000"/>
            </w:tcBorders>
            <w:tcMar>
              <w:right w:w="40" w:type="dxa"/>
            </w:tcMar>
            <w:vAlign w:val="center"/>
          </w:tcPr>
          <w:p>
            <w:pPr>
              <w:pStyle w:val="Normal"/>
              <w:bidi w:val="0"/>
              <w:jc w:val="left"/>
              <w:rPr/>
            </w:pPr>
            <w:r>
              <w:rPr/>
            </w:r>
          </w:p>
        </w:tc>
        <w:tc>
          <w:tcPr>
            <w:tcW w:w="39" w:type="dxa"/>
            <w:tcBorders/>
          </w:tcPr>
          <w:p>
            <w:pPr>
              <w:pStyle w:val="TableContents"/>
              <w:bidi w:val="0"/>
              <w:spacing w:before="0" w:after="283"/>
              <w:jc w:val="left"/>
              <w:rPr>
                <w:sz w:val="4"/>
                <w:szCs w:val="4"/>
              </w:rPr>
            </w:pPr>
            <w:r>
              <w:rPr>
                <w:sz w:val="4"/>
                <w:szCs w:val="4"/>
              </w:rPr>
            </w:r>
          </w:p>
        </w:tc>
      </w:tr>
      <w:tr>
        <w:trPr/>
        <w:tc>
          <w:tcPr>
            <w:tcW w:w="2550"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56</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496" w:type="dxa"/>
            <w:vMerge w:val="continue"/>
            <w:tcBorders>
              <w:right w:val="single" w:sz="6" w:space="0" w:color="000000"/>
            </w:tcBorders>
            <w:tcMar>
              <w:right w:w="40" w:type="dxa"/>
            </w:tcMar>
            <w:vAlign w:val="center"/>
          </w:tcPr>
          <w:p>
            <w:pPr>
              <w:pStyle w:val="Normal"/>
              <w:bidi w:val="0"/>
              <w:jc w:val="left"/>
              <w:rPr/>
            </w:pPr>
            <w:r>
              <w:rPr/>
            </w:r>
          </w:p>
        </w:tc>
        <w:tc>
          <w:tcPr>
            <w:tcW w:w="39" w:type="dxa"/>
            <w:tcBorders/>
          </w:tcPr>
          <w:p>
            <w:pPr>
              <w:pStyle w:val="TableContents"/>
              <w:bidi w:val="0"/>
              <w:spacing w:before="0" w:after="283"/>
              <w:jc w:val="left"/>
              <w:rPr>
                <w:sz w:val="4"/>
                <w:szCs w:val="4"/>
              </w:rPr>
            </w:pPr>
            <w:r>
              <w:rPr>
                <w:sz w:val="4"/>
                <w:szCs w:val="4"/>
              </w:rPr>
            </w:r>
          </w:p>
        </w:tc>
      </w:tr>
      <w:tr>
        <w:trPr/>
        <w:tc>
          <w:tcPr>
            <w:tcW w:w="2550"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•   </w:t>
            </w:r>
            <w:r>
              <w:rPr>
                <w:rFonts w:ascii="arial" w:hAnsi="arial"/>
                <w:sz w:val="18"/>
              </w:rPr>
              <w:t>Nominating and Governance (Chair)</w:t>
            </w:r>
          </w:p>
          <w:p>
            <w:pPr>
              <w:pStyle w:val="TableContents"/>
              <w:bidi w:val="0"/>
              <w:spacing w:before="0" w:after="0"/>
              <w:jc w:val="left"/>
              <w:rPr/>
            </w:pPr>
            <w:r>
              <w:rPr/>
              <w:t>•   </w:t>
            </w:r>
            <w:r>
              <w:rPr>
                <w:rFonts w:ascii="arial" w:hAnsi="arial"/>
                <w:sz w:val="18"/>
              </w:rPr>
              <w:t>Compensation</w:t>
            </w:r>
          </w:p>
          <w:p>
            <w:pPr>
              <w:pStyle w:val="TableContents"/>
              <w:bidi w:val="0"/>
              <w:spacing w:before="0" w:after="20"/>
              <w:jc w:val="left"/>
              <w:rPr/>
            </w:pPr>
            <w:r>
              <w:rPr/>
              <w:t>•   </w:t>
            </w:r>
            <w:r>
              <w:rPr>
                <w:rFonts w:ascii="arial" w:hAnsi="arial"/>
                <w:sz w:val="18"/>
              </w:rPr>
              <w:t>Executive (Chair)</w:t>
            </w:r>
          </w:p>
        </w:tc>
        <w:tc>
          <w:tcPr>
            <w:tcW w:w="120" w:type="dxa"/>
            <w:vMerge w:val="continue"/>
            <w:tcBorders/>
            <w:vAlign w:val="center"/>
          </w:tcPr>
          <w:p>
            <w:pPr>
              <w:pStyle w:val="Normal"/>
              <w:bidi w:val="0"/>
              <w:jc w:val="left"/>
              <w:rPr/>
            </w:pPr>
            <w:r>
              <w:rPr/>
            </w:r>
          </w:p>
        </w:tc>
        <w:tc>
          <w:tcPr>
            <w:tcW w:w="7496" w:type="dxa"/>
            <w:vMerge w:val="continue"/>
            <w:tcBorders>
              <w:right w:val="single" w:sz="6" w:space="0" w:color="000000"/>
            </w:tcBorders>
            <w:tcMar>
              <w:right w:w="40" w:type="dxa"/>
            </w:tcMar>
            <w:vAlign w:val="center"/>
          </w:tcPr>
          <w:p>
            <w:pPr>
              <w:pStyle w:val="Normal"/>
              <w:bidi w:val="0"/>
              <w:jc w:val="left"/>
              <w:rPr/>
            </w:pPr>
            <w:r>
              <w:rPr/>
            </w:r>
          </w:p>
        </w:tc>
        <w:tc>
          <w:tcPr>
            <w:tcW w:w="39" w:type="dxa"/>
            <w:tcBorders/>
          </w:tcPr>
          <w:p>
            <w:pPr>
              <w:pStyle w:val="TableContents"/>
              <w:bidi w:val="0"/>
              <w:spacing w:before="0" w:after="283"/>
              <w:jc w:val="left"/>
              <w:rPr>
                <w:sz w:val="4"/>
                <w:szCs w:val="4"/>
              </w:rPr>
            </w:pPr>
            <w:r>
              <w:rPr>
                <w:sz w:val="4"/>
                <w:szCs w:val="4"/>
              </w:rPr>
            </w:r>
          </w:p>
        </w:tc>
      </w:tr>
      <w:tr>
        <w:trPr/>
        <w:tc>
          <w:tcPr>
            <w:tcW w:w="2550" w:type="dxa"/>
            <w:vMerge w:val="restart"/>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•   </w:t>
            </w:r>
            <w:r>
              <w:rPr>
                <w:rFonts w:ascii="arial" w:hAnsi="arial"/>
                <w:sz w:val="18"/>
              </w:rPr>
              <w:t>International</w:t>
            </w:r>
          </w:p>
          <w:p>
            <w:pPr>
              <w:pStyle w:val="TableContents"/>
              <w:bidi w:val="0"/>
              <w:spacing w:before="0" w:after="0"/>
              <w:jc w:val="left"/>
              <w:rPr/>
            </w:pPr>
            <w:r>
              <w:rPr/>
              <w:t>•   </w:t>
            </w:r>
            <w:r>
              <w:rPr>
                <w:rFonts w:ascii="arial" w:hAnsi="arial"/>
                <w:sz w:val="18"/>
              </w:rPr>
              <w:t>B2B Services</w:t>
            </w:r>
          </w:p>
          <w:p>
            <w:pPr>
              <w:pStyle w:val="TableContents"/>
              <w:bidi w:val="0"/>
              <w:spacing w:before="0" w:after="0"/>
              <w:jc w:val="left"/>
              <w:rPr/>
            </w:pPr>
            <w:r>
              <w:rPr/>
              <w:t>•   </w:t>
            </w:r>
            <w:r>
              <w:rPr>
                <w:rFonts w:ascii="arial" w:hAnsi="arial"/>
                <w:sz w:val="18"/>
              </w:rPr>
              <w:t>Travel</w:t>
            </w:r>
          </w:p>
          <w:p>
            <w:pPr>
              <w:pStyle w:val="TableContents"/>
              <w:bidi w:val="0"/>
              <w:spacing w:before="0" w:after="0"/>
              <w:jc w:val="left"/>
              <w:rPr/>
            </w:pPr>
            <w:r>
              <w:rPr/>
              <w:t>•   </w:t>
            </w:r>
            <w:r>
              <w:rPr>
                <w:rFonts w:ascii="arial" w:hAnsi="arial"/>
                <w:sz w:val="18"/>
              </w:rPr>
              <w:t>Hospitality</w:t>
            </w:r>
          </w:p>
          <w:p>
            <w:pPr>
              <w:pStyle w:val="TableContents"/>
              <w:bidi w:val="0"/>
              <w:spacing w:before="0" w:after="0"/>
              <w:jc w:val="left"/>
              <w:rPr/>
            </w:pPr>
            <w:r>
              <w:rPr/>
              <w:t>•   </w:t>
            </w:r>
            <w:r>
              <w:rPr>
                <w:rFonts w:ascii="arial" w:hAnsi="arial"/>
                <w:sz w:val="18"/>
              </w:rPr>
              <w:t>ESG</w:t>
            </w:r>
          </w:p>
          <w:p>
            <w:pPr>
              <w:pStyle w:val="TableContents"/>
              <w:bidi w:val="0"/>
              <w:spacing w:before="0" w:after="0"/>
              <w:jc w:val="left"/>
              <w:rPr/>
            </w:pPr>
            <w:r>
              <w:rPr/>
              <w:t>•   </w:t>
            </w:r>
            <w:r>
              <w:rPr>
                <w:rFonts w:ascii="arial" w:hAnsi="arial"/>
                <w:sz w:val="18"/>
              </w:rPr>
              <w:t>Technology</w:t>
            </w:r>
          </w:p>
          <w:p>
            <w:pPr>
              <w:pStyle w:val="TableContents"/>
              <w:bidi w:val="0"/>
              <w:spacing w:before="0" w:after="0"/>
              <w:jc w:val="left"/>
              <w:rPr/>
            </w:pPr>
            <w:r>
              <w:rPr/>
              <w:t>•   </w:t>
            </w:r>
            <w:r>
              <w:rPr>
                <w:rFonts w:ascii="arial" w:hAnsi="arial"/>
                <w:sz w:val="18"/>
              </w:rPr>
              <w:t>Operations</w:t>
            </w:r>
          </w:p>
          <w:p>
            <w:pPr>
              <w:pStyle w:val="TableContents"/>
              <w:bidi w:val="0"/>
              <w:spacing w:before="0" w:after="0"/>
              <w:jc w:val="left"/>
              <w:rPr/>
            </w:pPr>
            <w:r>
              <w:rPr/>
              <w:t>•   </w:t>
            </w:r>
            <w:r>
              <w:rPr>
                <w:rFonts w:ascii="arial" w:hAnsi="arial"/>
                <w:sz w:val="18"/>
              </w:rPr>
              <w:t>Capital Markets</w:t>
            </w:r>
          </w:p>
          <w:p>
            <w:pPr>
              <w:pStyle w:val="TableContents"/>
              <w:bidi w:val="0"/>
              <w:spacing w:before="0" w:after="20"/>
              <w:jc w:val="left"/>
              <w:rPr/>
            </w:pPr>
            <w:r>
              <w:rPr/>
              <w:t>•   </w:t>
            </w:r>
            <w:r>
              <w:rPr>
                <w:rFonts w:ascii="arial" w:hAnsi="arial"/>
                <w:sz w:val="18"/>
              </w:rPr>
              <w:t>Risk and Strategy</w:t>
            </w:r>
          </w:p>
        </w:tc>
        <w:tc>
          <w:tcPr>
            <w:tcW w:w="120" w:type="dxa"/>
            <w:vMerge w:val="restart"/>
            <w:tcBorders>
              <w:top w:val="single" w:sz="6" w:space="0" w:color="000000"/>
            </w:tcBorders>
            <w:tcMar>
              <w:top w:w="28" w:type="dxa"/>
            </w:tcMar>
            <w:vAlign w:val="center"/>
          </w:tcPr>
          <w:p>
            <w:pPr>
              <w:pStyle w:val="TableContents"/>
              <w:bidi w:val="0"/>
              <w:spacing w:before="0" w:after="283"/>
              <w:jc w:val="left"/>
              <w:rPr/>
            </w:pPr>
            <w:r>
              <w:rPr/>
              <w:t>  </w:t>
            </w:r>
          </w:p>
        </w:tc>
        <w:tc>
          <w:tcPr>
            <w:tcW w:w="7496" w:type="dxa"/>
            <w:vMerge w:val="restart"/>
            <w:tcBorders>
              <w:top w:val="single" w:sz="6" w:space="0" w:color="000000"/>
              <w:right w:val="single" w:sz="6" w:space="0" w:color="000000"/>
            </w:tcBorders>
            <w:tcMar>
              <w:top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•   </w:t>
            </w:r>
            <w:r>
              <w:rPr>
                <w:rFonts w:ascii="arial" w:hAnsi="arial"/>
                <w:b/>
                <w:sz w:val="18"/>
              </w:rPr>
              <w:t>Managing Director,</w:t>
            </w:r>
            <w:r>
              <w:rPr>
                <w:rFonts w:ascii="arial" w:hAnsi="arial"/>
                <w:sz w:val="18"/>
              </w:rPr>
              <w:t xml:space="preserve"> Focused Point Ventures, LLC (2019 – Present)</w:t>
            </w:r>
          </w:p>
          <w:p>
            <w:pPr>
              <w:pStyle w:val="TableContents"/>
              <w:bidi w:val="0"/>
              <w:spacing w:before="0" w:after="0"/>
              <w:jc w:val="left"/>
              <w:rPr/>
            </w:pPr>
            <w:r>
              <w:rPr/>
              <w:t>•   </w:t>
            </w:r>
            <w:r>
              <w:rPr>
                <w:rFonts w:ascii="arial" w:hAnsi="arial"/>
                <w:b/>
                <w:sz w:val="18"/>
              </w:rPr>
              <w:t>Chairman of the Board,</w:t>
            </w:r>
            <w:r>
              <w:rPr>
                <w:rFonts w:ascii="arial" w:hAnsi="arial"/>
                <w:sz w:val="18"/>
              </w:rPr>
              <w:t xml:space="preserve"> PureStar (2020 – 2024)</w:t>
            </w:r>
          </w:p>
          <w:p>
            <w:pPr>
              <w:pStyle w:val="TableContents"/>
              <w:bidi w:val="0"/>
              <w:spacing w:before="0" w:after="0"/>
              <w:jc w:val="left"/>
              <w:rPr/>
            </w:pPr>
            <w:r>
              <w:rPr/>
              <w:t>•   </w:t>
            </w:r>
            <w:r>
              <w:rPr>
                <w:rFonts w:ascii="arial" w:hAnsi="arial"/>
                <w:b/>
                <w:sz w:val="18"/>
              </w:rPr>
              <w:t>Wyndham Worldwide</w:t>
            </w:r>
          </w:p>
          <w:p>
            <w:pPr>
              <w:pStyle w:val="TableContents"/>
              <w:bidi w:val="0"/>
              <w:spacing w:before="0" w:after="0"/>
              <w:jc w:val="left"/>
              <w:rPr/>
            </w:pPr>
            <w:r>
              <w:rPr/>
              <w:t>•   </w:t>
            </w:r>
            <w:r>
              <w:rPr>
                <w:rFonts w:ascii="arial" w:hAnsi="arial"/>
                <w:sz w:val="18"/>
              </w:rPr>
              <w:t>President and CEO, Wyndham Destination Network (2014 – 2018)</w:t>
            </w:r>
          </w:p>
          <w:p>
            <w:pPr>
              <w:pStyle w:val="TableContents"/>
              <w:bidi w:val="0"/>
              <w:spacing w:before="0" w:after="0"/>
              <w:jc w:val="left"/>
              <w:rPr/>
            </w:pPr>
            <w:r>
              <w:rPr/>
              <w:t>•   </w:t>
            </w:r>
            <w:r>
              <w:rPr>
                <w:rFonts w:ascii="arial" w:hAnsi="arial"/>
                <w:sz w:val="18"/>
              </w:rPr>
              <w:t>Chief Operating Officer, Wyndham Exchanges &amp; Rentals (2014)</w:t>
            </w:r>
          </w:p>
          <w:p>
            <w:pPr>
              <w:pStyle w:val="TableContents"/>
              <w:bidi w:val="0"/>
              <w:spacing w:before="0" w:after="0"/>
              <w:jc w:val="left"/>
              <w:rPr/>
            </w:pPr>
            <w:r>
              <w:rPr/>
              <w:t>•   </w:t>
            </w:r>
            <w:r>
              <w:rPr>
                <w:rFonts w:ascii="arial" w:hAnsi="arial"/>
                <w:sz w:val="18"/>
              </w:rPr>
              <w:t>Chief Financial Officer, Wyndham (2010 – 2014)</w:t>
            </w:r>
          </w:p>
          <w:p>
            <w:pPr>
              <w:pStyle w:val="TableContents"/>
              <w:bidi w:val="0"/>
              <w:spacing w:before="0" w:after="0"/>
              <w:jc w:val="left"/>
              <w:rPr/>
            </w:pPr>
            <w:r>
              <w:rPr/>
              <w:t>•   </w:t>
            </w:r>
            <w:r>
              <w:rPr>
                <w:rFonts w:ascii="arial" w:hAnsi="arial"/>
                <w:sz w:val="18"/>
              </w:rPr>
              <w:t>Senior Vice President, Financial Planning &amp; Analysis (2006 – 2010)</w:t>
            </w:r>
          </w:p>
          <w:p>
            <w:pPr>
              <w:pStyle w:val="TableContents"/>
              <w:bidi w:val="0"/>
              <w:spacing w:before="0" w:after="0"/>
              <w:jc w:val="left"/>
              <w:rPr/>
            </w:pPr>
            <w:r>
              <w:rPr/>
              <w:t>•   </w:t>
            </w:r>
            <w:r>
              <w:rPr>
                <w:rFonts w:ascii="arial" w:hAnsi="arial"/>
                <w:b/>
                <w:sz w:val="18"/>
              </w:rPr>
              <w:t>Division CFO</w:t>
            </w:r>
            <w:r>
              <w:rPr>
                <w:rFonts w:ascii="arial" w:hAnsi="arial"/>
                <w:sz w:val="18"/>
              </w:rPr>
              <w:t> </w:t>
            </w:r>
            <w:r>
              <w:rPr>
                <w:rFonts w:ascii="arial" w:hAnsi="arial"/>
                <w:b/>
                <w:sz w:val="18"/>
              </w:rPr>
              <w:t>&amp; Controller (Travel Services),</w:t>
            </w:r>
            <w:r>
              <w:rPr>
                <w:rFonts w:ascii="arial" w:hAnsi="arial"/>
                <w:sz w:val="18"/>
              </w:rPr>
              <w:t xml:space="preserve"> Cendant Hospitality (1999 – 2006)</w:t>
            </w:r>
          </w:p>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Other Public Company Board Experience</w:t>
            </w:r>
          </w:p>
        </w:tc>
        <w:tc>
          <w:tcPr>
            <w:tcW w:w="39" w:type="dxa"/>
            <w:tcBorders/>
          </w:tcPr>
          <w:p>
            <w:pPr>
              <w:pStyle w:val="TableContents"/>
              <w:bidi w:val="0"/>
              <w:spacing w:before="0" w:after="283"/>
              <w:jc w:val="left"/>
              <w:rPr>
                <w:sz w:val="4"/>
                <w:szCs w:val="4"/>
              </w:rPr>
            </w:pPr>
            <w:r>
              <w:rPr>
                <w:sz w:val="4"/>
                <w:szCs w:val="4"/>
              </w:rPr>
            </w:r>
          </w:p>
        </w:tc>
      </w:tr>
      <w:tr>
        <w:trPr/>
        <w:tc>
          <w:tcPr>
            <w:tcW w:w="2550" w:type="dxa"/>
            <w:vMerge w:val="continue"/>
            <w:tcBorders>
              <w:left w:val="single" w:sz="6" w:space="0" w:color="000000"/>
              <w:right w:val="single" w:sz="6" w:space="0" w:color="000000"/>
            </w:tcBorders>
            <w:tcMar>
              <w:left w:w="160" w:type="dxa"/>
              <w:right w:w="28" w:type="dxa"/>
            </w:tcMar>
            <w:vAlign w:val="center"/>
          </w:tcPr>
          <w:p>
            <w:pPr>
              <w:pStyle w:val="Normal"/>
              <w:bidi w:val="0"/>
              <w:jc w:val="left"/>
              <w:rPr/>
            </w:pPr>
            <w:r>
              <w:rPr/>
            </w:r>
          </w:p>
        </w:tc>
        <w:tc>
          <w:tcPr>
            <w:tcW w:w="120" w:type="dxa"/>
            <w:vMerge w:val="continue"/>
            <w:tcBorders>
              <w:top w:val="single" w:sz="6" w:space="0" w:color="000000"/>
            </w:tcBorders>
            <w:tcMar>
              <w:top w:w="28" w:type="dxa"/>
            </w:tcMar>
            <w:vAlign w:val="center"/>
          </w:tcPr>
          <w:p>
            <w:pPr>
              <w:pStyle w:val="Normal"/>
              <w:bidi w:val="0"/>
              <w:jc w:val="left"/>
              <w:rPr/>
            </w:pPr>
            <w:r>
              <w:rPr/>
            </w:r>
          </w:p>
        </w:tc>
        <w:tc>
          <w:tcPr>
            <w:tcW w:w="7496" w:type="dxa"/>
            <w:vMerge w:val="continue"/>
            <w:tcBorders>
              <w:top w:val="single" w:sz="6" w:space="0" w:color="000000"/>
              <w:right w:val="single" w:sz="6" w:space="0" w:color="000000"/>
            </w:tcBorders>
            <w:tcMar>
              <w:top w:w="28" w:type="dxa"/>
              <w:right w:w="40"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2550"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9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w:hAnsi="arial"/>
                <w:sz w:val="18"/>
              </w:rPr>
              <w:t>Dave &amp; Buster’s Entertainment, Inc. (2022 – Present)</w:t>
            </w:r>
          </w:p>
          <w:p>
            <w:pPr>
              <w:pStyle w:val="TableContents"/>
              <w:bidi w:val="0"/>
              <w:spacing w:before="0" w:after="0"/>
              <w:jc w:val="left"/>
              <w:rPr/>
            </w:pPr>
            <w:r>
              <w:rPr/>
              <w:t>•   </w:t>
            </w:r>
            <w:r>
              <w:rPr>
                <w:rFonts w:ascii="arial" w:hAnsi="arial"/>
                <w:sz w:val="18"/>
              </w:rPr>
              <w:t>Hilton Grand Vacations Inc. (2024 – Present)</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Qualifications</w:t>
            </w:r>
          </w:p>
          <w:p>
            <w:pPr>
              <w:pStyle w:val="TableContents"/>
              <w:bidi w:val="0"/>
              <w:spacing w:before="0" w:after="0"/>
              <w:jc w:val="left"/>
              <w:rPr/>
            </w:pPr>
            <w:r>
              <w:rPr/>
              <w:t>•   </w:t>
            </w:r>
            <w:r>
              <w:rPr>
                <w:rFonts w:ascii="arial" w:hAnsi="arial"/>
                <w:sz w:val="18"/>
              </w:rPr>
              <w:t>Audit Committee financial expert</w:t>
            </w:r>
          </w:p>
          <w:p>
            <w:pPr>
              <w:pStyle w:val="TableContents"/>
              <w:bidi w:val="0"/>
              <w:spacing w:before="0" w:after="0"/>
              <w:jc w:val="left"/>
              <w:rPr/>
            </w:pPr>
            <w:r>
              <w:rPr/>
              <w:t>•   </w:t>
            </w:r>
            <w:r>
              <w:rPr>
                <w:rFonts w:ascii="arial" w:hAnsi="arial"/>
                <w:sz w:val="18"/>
              </w:rPr>
              <w:t>CPA (currently inactive)</w:t>
            </w:r>
          </w:p>
          <w:p>
            <w:pPr>
              <w:pStyle w:val="TableContents"/>
              <w:bidi w:val="0"/>
              <w:spacing w:before="0" w:after="20"/>
              <w:jc w:val="left"/>
              <w:rPr/>
            </w:pPr>
            <w:r>
              <w:rPr/>
              <w:t> </w:t>
            </w:r>
          </w:p>
        </w:tc>
        <w:tc>
          <w:tcPr>
            <w:tcW w:w="3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27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7"/>
        <w:gridCol w:w="120"/>
        <w:gridCol w:w="7638"/>
      </w:tblGrid>
      <w:tr>
        <w:trPr/>
        <w:tc>
          <w:tcPr>
            <w:tcW w:w="2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38" w:type="dxa"/>
            <w:tcBorders/>
            <w:vAlign w:val="center"/>
          </w:tcPr>
          <w:p>
            <w:pPr>
              <w:pStyle w:val="TableContents"/>
              <w:bidi w:val="0"/>
              <w:spacing w:before="0" w:after="283"/>
              <w:jc w:val="left"/>
              <w:rPr>
                <w:sz w:val="4"/>
                <w:szCs w:val="4"/>
              </w:rPr>
            </w:pPr>
            <w:r>
              <w:rPr>
                <w:sz w:val="4"/>
                <w:szCs w:val="4"/>
              </w:rPr>
            </w:r>
          </w:p>
        </w:tc>
      </w:tr>
      <w:tr>
        <w:trPr/>
        <w:tc>
          <w:tcPr>
            <w:tcW w:w="2447" w:type="dxa"/>
            <w:vMerge w:val="restart"/>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41145" cy="18573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541145" cy="18573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38"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PHYLLIS NEWHOUSE | Independent Director </w:t>
            </w:r>
          </w:p>
          <w:p>
            <w:pPr>
              <w:pStyle w:val="TableContents"/>
              <w:bidi w:val="0"/>
              <w:spacing w:before="0" w:after="20"/>
              <w:jc w:val="left"/>
              <w:rPr/>
            </w:pPr>
            <w:r>
              <w:rPr/>
              <w:t> </w:t>
            </w:r>
          </w:p>
        </w:tc>
      </w:tr>
      <w:tr>
        <w:trPr/>
        <w:tc>
          <w:tcPr>
            <w:tcW w:w="2447" w:type="dxa"/>
            <w:vMerge w:val="continue"/>
            <w:tcBorders>
              <w:top w:val="single" w:sz="6" w:space="0" w:color="000000"/>
              <w:left w:val="single" w:sz="6" w:space="0" w:color="000000"/>
              <w:right w:val="single" w:sz="6" w:space="0" w:color="000000"/>
            </w:tcBorders>
            <w:tcMar>
              <w:top w:w="28" w:type="dxa"/>
              <w:left w:w="160"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638"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•   </w:t>
            </w:r>
            <w:r>
              <w:rPr>
                <w:rFonts w:ascii="arial" w:hAnsi="arial"/>
                <w:b/>
                <w:sz w:val="18"/>
              </w:rPr>
              <w:t>Visionary entrepreneur with over 20 years of CEO experience.</w:t>
            </w:r>
            <w:r>
              <w:rPr>
                <w:rFonts w:ascii="arial" w:hAnsi="arial"/>
                <w:sz w:val="18"/>
              </w:rPr>
              <w:t xml:space="preserve"> Ms. Newhouse currently serves as founder and CEO of Xtreme Solutions, Inc., an end-to-end IT services and solutions provider with services ranging from IT business consulting to state-of-the-art cybersecurity consulting and forensic analysis. Prior to that, she dedicated 22 years to working in cybersecurity and intelligence for the U.S. Army. Under Ms. Newhouse’s leadership, Xtreme forged successful partnerships with the U.S. government, including with the Department of Defense and the State Department, and in the private sector with companies such as Microsoft and Dell. In recognition of her accomplishments in the field, she was the first ever woman to win the Ernst &amp; Young (EY) Entrepreneur of the Year award in the technology category.</w:t>
            </w:r>
          </w:p>
          <w:p>
            <w:pPr>
              <w:pStyle w:val="TableContents"/>
              <w:bidi w:val="0"/>
              <w:spacing w:before="0" w:after="20"/>
              <w:jc w:val="left"/>
              <w:rPr/>
            </w:pPr>
            <w:r>
              <w:rPr/>
              <w:t>•   </w:t>
            </w:r>
            <w:r>
              <w:rPr>
                <w:rFonts w:ascii="arial" w:hAnsi="arial"/>
                <w:b/>
                <w:sz w:val="18"/>
              </w:rPr>
              <w:t>Trailblazer in community impact.</w:t>
            </w:r>
            <w:r>
              <w:rPr>
                <w:rFonts w:ascii="arial" w:hAnsi="arial"/>
                <w:sz w:val="18"/>
              </w:rPr>
              <w:t xml:space="preserve"> Ms. Newhouse is committed to raising the next generation of entrepreneurs through ShoulderUp, a nonprofit dedicated to connecting and supporting entrepreneurial women by facilitating access to capital through a portfolio of media, technology, and sports entertainment companies, including Lime, Rent the Runway, and Airbnb. She also serves as a board member for the Technology Association of Georgia, as well as on the board of Business Executives for National Security. She strengthens our focus on community betterment and global impact efforts. </w:t>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b/>
                <w:sz w:val="17"/>
              </w:rPr>
              <w:t>Director since</w:t>
            </w:r>
            <w:r>
              <w:rPr>
                <w:rFonts w:ascii="arial" w:hAnsi="arial"/>
                <w:i/>
                <w:sz w:val="17"/>
              </w:rPr>
              <w:t xml:space="preserve">: </w:t>
            </w:r>
            <w:r>
              <w:rPr>
                <w:rFonts w:ascii="arial" w:hAnsi="arial"/>
                <w:sz w:val="17"/>
              </w:rPr>
              <w:t>2021</w:t>
            </w:r>
          </w:p>
        </w:tc>
        <w:tc>
          <w:tcPr>
            <w:tcW w:w="120" w:type="dxa"/>
            <w:vMerge w:val="restart"/>
            <w:tcBorders/>
            <w:vAlign w:val="center"/>
          </w:tcPr>
          <w:p>
            <w:pPr>
              <w:pStyle w:val="TableContents"/>
              <w:bidi w:val="0"/>
              <w:spacing w:before="0" w:after="283"/>
              <w:jc w:val="left"/>
              <w:rPr/>
            </w:pPr>
            <w:r>
              <w:rPr/>
              <w:t>  </w:t>
            </w:r>
          </w:p>
        </w:tc>
        <w:tc>
          <w:tcPr>
            <w:tcW w:w="7638" w:type="dxa"/>
            <w:vMerge w:val="restart"/>
            <w:tcBorders>
              <w:right w:val="single" w:sz="6" w:space="0" w:color="000000"/>
            </w:tcBorders>
            <w:tcMar>
              <w:right w:w="40" w:type="dxa"/>
            </w:tcMar>
            <w:vAlign w:val="center"/>
          </w:tcPr>
          <w:p>
            <w:pPr>
              <w:pStyle w:val="TableContents"/>
              <w:bidi w:val="0"/>
              <w:spacing w:before="0" w:after="0"/>
              <w:jc w:val="left"/>
              <w:rPr/>
            </w:pPr>
            <w:r>
              <w:rPr/>
              <w:t>•   </w:t>
            </w:r>
            <w:r>
              <w:rPr>
                <w:rFonts w:ascii="arial" w:hAnsi="arial"/>
                <w:b/>
                <w:sz w:val="18"/>
              </w:rPr>
              <w:t>Deep government and regulatory experience.</w:t>
            </w:r>
            <w:r>
              <w:rPr>
                <w:rFonts w:ascii="arial" w:hAnsi="arial"/>
                <w:sz w:val="18"/>
              </w:rPr>
              <w:t xml:space="preserve"> Ms. Newhouse’s extensive background in cybersecurity from both within the U.S. Army and the private sector uniquely position her to advise Sabre on the heavily regulated air travel industry. As the largest GDS provider for US civilian and military government travel system segments, our Board of Directors and management team benefit from her insights on successfully partnering with the US military and government.</w:t>
            </w:r>
          </w:p>
          <w:p>
            <w:pPr>
              <w:pStyle w:val="TableContents"/>
              <w:bidi w:val="0"/>
              <w:spacing w:before="0" w:after="20"/>
              <w:jc w:val="left"/>
              <w:rPr/>
            </w:pPr>
            <w:r>
              <w:rPr/>
              <w:t> </w:t>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Founder and CEO,</w:t>
            </w:r>
          </w:p>
          <w:p>
            <w:pPr>
              <w:pStyle w:val="TableContents"/>
              <w:bidi w:val="0"/>
              <w:spacing w:before="0" w:after="0"/>
              <w:jc w:val="left"/>
              <w:rPr>
                <w:rFonts w:ascii="arial" w:hAnsi="arial"/>
                <w:i/>
                <w:sz w:val="17"/>
              </w:rPr>
            </w:pPr>
            <w:r>
              <w:rPr>
                <w:rFonts w:ascii="arial" w:hAnsi="arial"/>
                <w:i/>
                <w:sz w:val="17"/>
              </w:rPr>
              <w:t>Xtreme Solutions, Inc.</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38" w:type="dxa"/>
            <w:vMerge w:val="continue"/>
            <w:tcBorders>
              <w:right w:val="single" w:sz="6" w:space="0" w:color="000000"/>
            </w:tcBorders>
            <w:tcMar>
              <w:right w:w="40" w:type="dxa"/>
            </w:tcMar>
            <w:vAlign w:val="center"/>
          </w:tcPr>
          <w:p>
            <w:pPr>
              <w:pStyle w:val="Normal"/>
              <w:bidi w:val="0"/>
              <w:jc w:val="left"/>
              <w:rPr/>
            </w:pPr>
            <w:r>
              <w:rPr/>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62</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38" w:type="dxa"/>
            <w:vMerge w:val="continue"/>
            <w:tcBorders>
              <w:right w:val="single" w:sz="6" w:space="0" w:color="000000"/>
            </w:tcBorders>
            <w:tcMar>
              <w:right w:w="40" w:type="dxa"/>
            </w:tcMar>
            <w:vAlign w:val="center"/>
          </w:tcPr>
          <w:p>
            <w:pPr>
              <w:pStyle w:val="Normal"/>
              <w:bidi w:val="0"/>
              <w:jc w:val="left"/>
              <w:rPr/>
            </w:pPr>
            <w:r>
              <w:rPr/>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•   </w:t>
            </w:r>
            <w:r>
              <w:rPr>
                <w:rFonts w:ascii="arial" w:hAnsi="arial"/>
                <w:sz w:val="18"/>
              </w:rPr>
              <w:t>Audit</w:t>
            </w:r>
          </w:p>
          <w:p>
            <w:pPr>
              <w:pStyle w:val="TableContents"/>
              <w:bidi w:val="0"/>
              <w:spacing w:before="0" w:after="20"/>
              <w:jc w:val="left"/>
              <w:rPr/>
            </w:pPr>
            <w:r>
              <w:rPr/>
              <w:t>•   </w:t>
            </w:r>
            <w:r>
              <w:rPr>
                <w:rFonts w:ascii="arial" w:hAnsi="arial"/>
                <w:sz w:val="18"/>
              </w:rPr>
              <w:t>Technology</w:t>
            </w:r>
          </w:p>
        </w:tc>
        <w:tc>
          <w:tcPr>
            <w:tcW w:w="120" w:type="dxa"/>
            <w:vMerge w:val="continue"/>
            <w:tcBorders/>
            <w:vAlign w:val="center"/>
          </w:tcPr>
          <w:p>
            <w:pPr>
              <w:pStyle w:val="Normal"/>
              <w:bidi w:val="0"/>
              <w:jc w:val="left"/>
              <w:rPr/>
            </w:pPr>
            <w:r>
              <w:rPr/>
            </w:r>
          </w:p>
        </w:tc>
        <w:tc>
          <w:tcPr>
            <w:tcW w:w="7638" w:type="dxa"/>
            <w:vMerge w:val="continue"/>
            <w:tcBorders>
              <w:right w:val="single" w:sz="6" w:space="0" w:color="000000"/>
            </w:tcBorders>
            <w:tcMar>
              <w:right w:w="40" w:type="dxa"/>
            </w:tcMar>
            <w:vAlign w:val="center"/>
          </w:tcPr>
          <w:p>
            <w:pPr>
              <w:pStyle w:val="Normal"/>
              <w:bidi w:val="0"/>
              <w:jc w:val="left"/>
              <w:rPr/>
            </w:pPr>
            <w:r>
              <w:rPr/>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20"/>
              <w:jc w:val="left"/>
              <w:rPr/>
            </w:pPr>
            <w:r>
              <w:rPr/>
              <w:t>•   </w:t>
            </w:r>
            <w:r>
              <w:rPr>
                <w:rFonts w:ascii="arial" w:hAnsi="arial"/>
                <w:sz w:val="18"/>
              </w:rPr>
              <w:t>International</w:t>
            </w:r>
          </w:p>
        </w:tc>
        <w:tc>
          <w:tcPr>
            <w:tcW w:w="120" w:type="dxa"/>
            <w:vMerge w:val="continue"/>
            <w:tcBorders/>
            <w:vAlign w:val="center"/>
          </w:tcPr>
          <w:p>
            <w:pPr>
              <w:pStyle w:val="Normal"/>
              <w:bidi w:val="0"/>
              <w:jc w:val="left"/>
              <w:rPr/>
            </w:pPr>
            <w:r>
              <w:rPr/>
            </w:r>
          </w:p>
        </w:tc>
        <w:tc>
          <w:tcPr>
            <w:tcW w:w="7638" w:type="dxa"/>
            <w:vMerge w:val="continue"/>
            <w:tcBorders>
              <w:right w:val="single" w:sz="6" w:space="0" w:color="000000"/>
            </w:tcBorders>
            <w:tcMar>
              <w:right w:w="40" w:type="dxa"/>
            </w:tcMar>
            <w:vAlign w:val="center"/>
          </w:tcPr>
          <w:p>
            <w:pPr>
              <w:pStyle w:val="Normal"/>
              <w:bidi w:val="0"/>
              <w:jc w:val="left"/>
              <w:rPr/>
            </w:pPr>
            <w:r>
              <w:rPr/>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r>
              <w:rPr>
                <w:rFonts w:ascii="arial" w:hAnsi="arial"/>
                <w:sz w:val="18"/>
              </w:rPr>
              <w:t>B2B Services</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638"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tc>
      </w:tr>
      <w:tr>
        <w:trPr/>
        <w:tc>
          <w:tcPr>
            <w:tcW w:w="2447"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r>
              <w:rPr>
                <w:rFonts w:ascii="arial" w:hAnsi="arial"/>
                <w:sz w:val="18"/>
              </w:rPr>
              <w:t>Marketing/Sales</w:t>
            </w:r>
          </w:p>
          <w:p>
            <w:pPr>
              <w:pStyle w:val="TableContents"/>
              <w:bidi w:val="0"/>
              <w:spacing w:before="0" w:after="0"/>
              <w:jc w:val="left"/>
              <w:rPr/>
            </w:pPr>
            <w:r>
              <w:rPr/>
              <w:t>•   </w:t>
            </w:r>
            <w:r>
              <w:rPr>
                <w:rFonts w:ascii="arial" w:hAnsi="arial"/>
                <w:sz w:val="18"/>
              </w:rPr>
              <w:t>Technology</w:t>
            </w:r>
          </w:p>
          <w:p>
            <w:pPr>
              <w:pStyle w:val="TableContents"/>
              <w:bidi w:val="0"/>
              <w:spacing w:before="0" w:after="0"/>
              <w:jc w:val="left"/>
              <w:rPr/>
            </w:pPr>
            <w:r>
              <w:rPr/>
              <w:t>•   </w:t>
            </w:r>
            <w:r>
              <w:rPr>
                <w:rFonts w:ascii="arial" w:hAnsi="arial"/>
                <w:sz w:val="18"/>
              </w:rPr>
              <w:t>Operations</w:t>
            </w:r>
          </w:p>
          <w:p>
            <w:pPr>
              <w:pStyle w:val="TableContents"/>
              <w:bidi w:val="0"/>
              <w:spacing w:before="0" w:after="0"/>
              <w:jc w:val="left"/>
              <w:rPr/>
            </w:pPr>
            <w:r>
              <w:rPr/>
              <w:t>•   </w:t>
            </w:r>
            <w:r>
              <w:rPr>
                <w:rFonts w:ascii="arial" w:hAnsi="arial"/>
                <w:sz w:val="18"/>
              </w:rPr>
              <w:t>Capital Markets</w:t>
            </w:r>
          </w:p>
          <w:p>
            <w:pPr>
              <w:pStyle w:val="TableContents"/>
              <w:bidi w:val="0"/>
              <w:spacing w:before="0" w:after="20"/>
              <w:jc w:val="left"/>
              <w:rPr/>
            </w:pPr>
            <w:r>
              <w:rPr/>
              <w:t>•   </w:t>
            </w:r>
            <w:r>
              <w:rPr>
                <w:rFonts w:ascii="arial" w:hAnsi="arial"/>
                <w:sz w:val="18"/>
              </w:rPr>
              <w:t>Risk and Strategy</w:t>
            </w:r>
          </w:p>
        </w:tc>
        <w:tc>
          <w:tcPr>
            <w:tcW w:w="120" w:type="dxa"/>
            <w:vMerge w:val="restart"/>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638" w:type="dxa"/>
            <w:vMerge w:val="restart"/>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w:hAnsi="arial"/>
                <w:b/>
                <w:sz w:val="18"/>
              </w:rPr>
              <w:t>Founder and CEO,</w:t>
            </w:r>
            <w:r>
              <w:rPr>
                <w:rFonts w:ascii="arial" w:hAnsi="arial"/>
                <w:sz w:val="18"/>
              </w:rPr>
              <w:t xml:space="preserve"> Xtreme Solutions, Inc. (2002 – Present)</w:t>
            </w:r>
          </w:p>
          <w:p>
            <w:pPr>
              <w:pStyle w:val="TableContents"/>
              <w:bidi w:val="0"/>
              <w:spacing w:before="0" w:after="0"/>
              <w:jc w:val="left"/>
              <w:rPr/>
            </w:pPr>
            <w:r>
              <w:rPr/>
              <w:t>•   </w:t>
            </w:r>
            <w:r>
              <w:rPr>
                <w:rFonts w:ascii="arial" w:hAnsi="arial"/>
                <w:b/>
                <w:sz w:val="18"/>
              </w:rPr>
              <w:t>Founder and CEO,</w:t>
            </w:r>
            <w:r>
              <w:rPr>
                <w:rFonts w:ascii="arial" w:hAnsi="arial"/>
                <w:sz w:val="18"/>
              </w:rPr>
              <w:t xml:space="preserve"> ShoulderUp Technology Acquisition Corp. (2021 – Present)</w:t>
            </w:r>
          </w:p>
          <w:p>
            <w:pPr>
              <w:pStyle w:val="TableContents"/>
              <w:bidi w:val="0"/>
              <w:spacing w:before="0" w:after="0"/>
              <w:jc w:val="left"/>
              <w:rPr/>
            </w:pPr>
            <w:r>
              <w:rPr/>
              <w:t>•   </w:t>
            </w:r>
            <w:r>
              <w:rPr>
                <w:rFonts w:ascii="arial" w:hAnsi="arial"/>
                <w:b/>
                <w:sz w:val="18"/>
              </w:rPr>
              <w:t>CEO,</w:t>
            </w:r>
            <w:r>
              <w:rPr>
                <w:rFonts w:ascii="arial" w:hAnsi="arial"/>
                <w:sz w:val="18"/>
              </w:rPr>
              <w:t xml:space="preserve"> Athena Technology Acquisition Corp (2020 – 2021)</w:t>
            </w:r>
          </w:p>
          <w:p>
            <w:pPr>
              <w:pStyle w:val="TableContents"/>
              <w:bidi w:val="0"/>
              <w:spacing w:before="0" w:after="0"/>
              <w:jc w:val="left"/>
              <w:rPr/>
            </w:pPr>
            <w:r>
              <w:rPr/>
              <w:t>•   </w:t>
            </w:r>
            <w:r>
              <w:rPr>
                <w:rFonts w:ascii="arial" w:hAnsi="arial"/>
                <w:b/>
                <w:sz w:val="18"/>
              </w:rPr>
              <w:t>Founder,</w:t>
            </w:r>
            <w:r>
              <w:rPr>
                <w:rFonts w:ascii="arial" w:hAnsi="arial"/>
                <w:sz w:val="18"/>
              </w:rPr>
              <w:t xml:space="preserve"> ShoulderUp (2019 – Present)</w:t>
            </w:r>
          </w:p>
          <w:p>
            <w:pPr>
              <w:pStyle w:val="TableContents"/>
              <w:bidi w:val="0"/>
              <w:spacing w:before="0" w:after="0"/>
              <w:jc w:val="left"/>
              <w:rPr/>
            </w:pPr>
            <w:r>
              <w:rPr/>
              <w:t>•   </w:t>
            </w:r>
            <w:r>
              <w:rPr>
                <w:rFonts w:ascii="arial" w:hAnsi="arial"/>
                <w:b/>
                <w:sz w:val="18"/>
              </w:rPr>
              <w:t xml:space="preserve">Senior Non-Commissioned Officer, </w:t>
            </w:r>
            <w:r>
              <w:rPr>
                <w:rFonts w:ascii="arial" w:hAnsi="arial"/>
                <w:sz w:val="18"/>
              </w:rPr>
              <w:t>United States Army (1979 – 1999)</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Board Experience</w:t>
            </w:r>
          </w:p>
          <w:p>
            <w:pPr>
              <w:pStyle w:val="TableContents"/>
              <w:bidi w:val="0"/>
              <w:spacing w:before="0" w:after="0"/>
              <w:jc w:val="left"/>
              <w:rPr/>
            </w:pPr>
            <w:r>
              <w:rPr/>
              <w:t>•   </w:t>
            </w:r>
            <w:r>
              <w:rPr>
                <w:rFonts w:ascii="arial" w:hAnsi="arial"/>
                <w:sz w:val="18"/>
              </w:rPr>
              <w:t>Heliogen, Inc. (2021 – Present)</w:t>
            </w:r>
          </w:p>
          <w:p>
            <w:pPr>
              <w:pStyle w:val="TableContents"/>
              <w:bidi w:val="0"/>
              <w:spacing w:before="0" w:after="0"/>
              <w:jc w:val="left"/>
              <w:rPr/>
            </w:pPr>
            <w:r>
              <w:rPr/>
              <w:t>•   </w:t>
            </w:r>
            <w:r>
              <w:rPr>
                <w:rFonts w:ascii="arial" w:hAnsi="arial"/>
                <w:sz w:val="18"/>
              </w:rPr>
              <w:t>Athena Technology Acquisition Corp. (2020 – 2021)</w:t>
            </w:r>
          </w:p>
          <w:p>
            <w:pPr>
              <w:pStyle w:val="TableContents"/>
              <w:bidi w:val="0"/>
              <w:spacing w:before="0" w:after="0"/>
              <w:jc w:val="left"/>
              <w:rPr/>
            </w:pPr>
            <w:r>
              <w:rPr/>
              <w:t>•   </w:t>
            </w:r>
            <w:r>
              <w:rPr>
                <w:rFonts w:ascii="arial" w:hAnsi="arial"/>
                <w:sz w:val="18"/>
              </w:rPr>
              <w:t>ShoulderUp Technology Acquisition Corp. (2021 – Present)</w:t>
            </w:r>
          </w:p>
          <w:p>
            <w:pPr>
              <w:pStyle w:val="TableContents"/>
              <w:bidi w:val="0"/>
              <w:spacing w:before="0" w:after="20"/>
              <w:jc w:val="left"/>
              <w:rPr/>
            </w:pPr>
            <w:r>
              <w:rPr/>
              <w:t> </w:t>
            </w:r>
          </w:p>
        </w:tc>
      </w:tr>
      <w:tr>
        <w:trPr/>
        <w:tc>
          <w:tcPr>
            <w:tcW w:w="244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7638" w:type="dxa"/>
            <w:vMerge w:val="continue"/>
            <w:tcBorders>
              <w:bottom w:val="single" w:sz="6" w:space="0" w:color="000000"/>
              <w:right w:val="single" w:sz="6" w:space="0" w:color="000000"/>
            </w:tcBorders>
            <w:tcMar>
              <w:bottom w:w="28" w:type="dxa"/>
              <w:right w:w="40" w:type="dxa"/>
            </w:tcMar>
            <w:vAlign w:val="center"/>
          </w:tcPr>
          <w:p>
            <w:pPr>
              <w:pStyle w:val="Normal"/>
              <w:bidi w:val="0"/>
              <w:jc w:val="left"/>
              <w:rPr/>
            </w:pPr>
            <w:r>
              <w:rPr/>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28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9"/>
        <w:gridCol w:w="120"/>
        <w:gridCol w:w="7636"/>
      </w:tblGrid>
      <w:tr>
        <w:trPr/>
        <w:tc>
          <w:tcPr>
            <w:tcW w:w="24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36" w:type="dxa"/>
            <w:tcBorders/>
            <w:vAlign w:val="center"/>
          </w:tcPr>
          <w:p>
            <w:pPr>
              <w:pStyle w:val="TableContents"/>
              <w:bidi w:val="0"/>
              <w:spacing w:before="0" w:after="283"/>
              <w:jc w:val="left"/>
              <w:rPr>
                <w:sz w:val="4"/>
                <w:szCs w:val="4"/>
              </w:rPr>
            </w:pPr>
            <w:r>
              <w:rPr>
                <w:sz w:val="4"/>
                <w:szCs w:val="4"/>
              </w:rPr>
            </w:r>
          </w:p>
        </w:tc>
      </w:tr>
      <w:tr>
        <w:trPr/>
        <w:tc>
          <w:tcPr>
            <w:tcW w:w="2449" w:type="dxa"/>
            <w:vMerge w:val="restart"/>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542415" cy="188658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542415" cy="1886585"/>
                          </a:xfrm>
                          <a:prstGeom prst="rect">
                            <a:avLst/>
                          </a:prstGeom>
                        </pic:spPr>
                      </pic:pic>
                    </a:graphicData>
                  </a:graphic>
                </wp:inline>
              </w:drawing>
            </w:r>
            <w:r>
              <w:rPr/>
              <w:t xml:space="preserve">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36"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ELAINE PAUL | Independent Director </w:t>
            </w:r>
          </w:p>
          <w:p>
            <w:pPr>
              <w:pStyle w:val="TableContents"/>
              <w:bidi w:val="0"/>
              <w:spacing w:before="0" w:after="20"/>
              <w:jc w:val="left"/>
              <w:rPr/>
            </w:pPr>
            <w:r>
              <w:rPr/>
              <w:t> </w:t>
            </w:r>
          </w:p>
        </w:tc>
      </w:tr>
      <w:tr>
        <w:trPr/>
        <w:tc>
          <w:tcPr>
            <w:tcW w:w="2449" w:type="dxa"/>
            <w:vMerge w:val="continue"/>
            <w:tcBorders>
              <w:top w:val="single" w:sz="6" w:space="0" w:color="000000"/>
              <w:left w:val="single" w:sz="6" w:space="0" w:color="000000"/>
              <w:right w:val="single" w:sz="6" w:space="0" w:color="000000"/>
            </w:tcBorders>
            <w:tcMar>
              <w:top w:w="28" w:type="dxa"/>
              <w:left w:w="160"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636"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•   </w:t>
            </w:r>
            <w:r>
              <w:rPr>
                <w:rFonts w:ascii="arial" w:hAnsi="arial"/>
                <w:b/>
                <w:sz w:val="18"/>
              </w:rPr>
              <w:t xml:space="preserve">Proven leader and growth driver in technology-driven industries. </w:t>
            </w:r>
            <w:r>
              <w:rPr>
                <w:rFonts w:ascii="arial" w:hAnsi="arial"/>
                <w:sz w:val="18"/>
              </w:rPr>
              <w:t>Ms. Paul has served in executive roles at Lyft, Amazon Studios and Hulu. As CFO of Lyft, she oversaw all aspects of finance and accounting, investor relations, treasury, and corporate development. At Amazon Studios, she was responsible for portfolio and financial planning for Amazon’s global slate of original film and TV programming, studio operations, and Prime Video marketing finance. During Ms. Paul’s tenure as CFO of Hulu, Hulu achieved significant double digit growth, more than tripling subscribers and revenues. At Lyft she oversaw significant restructuring initiatives and took significant costs out of the business. Her background informs her ability to provide key insights to our Board concerning long-term strategic and financial planning.</w:t>
            </w:r>
          </w:p>
          <w:p>
            <w:pPr>
              <w:pStyle w:val="TableContents"/>
              <w:bidi w:val="0"/>
              <w:spacing w:before="0" w:after="20"/>
              <w:jc w:val="left"/>
              <w:rPr/>
            </w:pPr>
            <w:r>
              <w:rPr/>
              <w:t>•   </w:t>
            </w:r>
            <w:r>
              <w:rPr>
                <w:rFonts w:ascii="arial" w:hAnsi="arial"/>
                <w:b/>
                <w:sz w:val="18"/>
              </w:rPr>
              <w:t>Extensive transactional experience.</w:t>
            </w:r>
            <w:r>
              <w:rPr>
                <w:rFonts w:ascii="arial" w:hAnsi="arial"/>
                <w:sz w:val="18"/>
              </w:rPr>
              <w:t xml:space="preserve"> Ms. Paul is an experienced corporate development executive who led various acquisitions during her tenure at Disney, including Disney’s original investment in Hulu in 2009. During her tenure as CFO at Hulu, Ms. Paul oversaw Time Warner's $500 million investment in a deal that broadened Hulu's offerings to encompass a new slate of entertainment, sports, news and kids networks. At Amazon Studios, she led the valuation of MGM Studios, resulting in Amazon's $8.45B acquisition of MGM. </w:t>
            </w:r>
          </w:p>
        </w:tc>
      </w:tr>
      <w:tr>
        <w:trPr/>
        <w:tc>
          <w:tcPr>
            <w:tcW w:w="244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b/>
                <w:sz w:val="17"/>
              </w:rPr>
              <w:t>Director since</w:t>
            </w:r>
            <w:r>
              <w:rPr>
                <w:rFonts w:ascii="arial" w:hAnsi="arial"/>
                <w:i/>
                <w:sz w:val="17"/>
              </w:rPr>
              <w:t xml:space="preserve">: </w:t>
            </w:r>
            <w:r>
              <w:rPr>
                <w:rFonts w:ascii="arial" w:hAnsi="arial"/>
                <w:sz w:val="17"/>
              </w:rPr>
              <w:t>2024</w:t>
            </w:r>
          </w:p>
        </w:tc>
        <w:tc>
          <w:tcPr>
            <w:tcW w:w="120" w:type="dxa"/>
            <w:vMerge w:val="restart"/>
            <w:tcBorders/>
            <w:vAlign w:val="center"/>
          </w:tcPr>
          <w:p>
            <w:pPr>
              <w:pStyle w:val="TableContents"/>
              <w:bidi w:val="0"/>
              <w:spacing w:before="0" w:after="283"/>
              <w:jc w:val="left"/>
              <w:rPr/>
            </w:pPr>
            <w:r>
              <w:rPr/>
              <w:t>  </w:t>
            </w:r>
          </w:p>
        </w:tc>
        <w:tc>
          <w:tcPr>
            <w:tcW w:w="7636" w:type="dxa"/>
            <w:vMerge w:val="restart"/>
            <w:tcBorders>
              <w:right w:val="single" w:sz="6" w:space="0" w:color="000000"/>
            </w:tcBorders>
            <w:tcMar>
              <w:right w:w="40" w:type="dxa"/>
            </w:tcMar>
            <w:vAlign w:val="center"/>
          </w:tcPr>
          <w:p>
            <w:pPr>
              <w:pStyle w:val="TableContents"/>
              <w:bidi w:val="0"/>
              <w:spacing w:before="0" w:after="20"/>
              <w:jc w:val="left"/>
              <w:rPr/>
            </w:pPr>
            <w:r>
              <w:rPr/>
              <w:t>•   </w:t>
            </w:r>
            <w:r>
              <w:rPr>
                <w:rFonts w:ascii="arial" w:hAnsi="arial"/>
                <w:b/>
                <w:sz w:val="18"/>
              </w:rPr>
              <w:t xml:space="preserve">Proven financial expert. </w:t>
            </w:r>
            <w:r>
              <w:rPr>
                <w:rFonts w:ascii="arial" w:hAnsi="arial"/>
                <w:sz w:val="18"/>
              </w:rPr>
              <w:t>Ms. Paul has over 30 years of finance and strategy experience, having served in varying finance roles at the largest and most complex global technology companies. As CFO, she managed financial performance and led all growth and investment opportunities, including the companies’ financial planning and analysis, accounting, corporate development and strategy teams.</w:t>
            </w:r>
          </w:p>
        </w:tc>
      </w:tr>
      <w:tr>
        <w:trPr/>
        <w:tc>
          <w:tcPr>
            <w:tcW w:w="244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Corporate Director</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36" w:type="dxa"/>
            <w:vMerge w:val="continue"/>
            <w:tcBorders>
              <w:right w:val="single" w:sz="6" w:space="0" w:color="000000"/>
            </w:tcBorders>
            <w:tcMar>
              <w:right w:w="40" w:type="dxa"/>
            </w:tcMar>
            <w:vAlign w:val="center"/>
          </w:tcPr>
          <w:p>
            <w:pPr>
              <w:pStyle w:val="Normal"/>
              <w:bidi w:val="0"/>
              <w:jc w:val="left"/>
              <w:rPr/>
            </w:pPr>
            <w:r>
              <w:rPr/>
            </w:r>
          </w:p>
        </w:tc>
      </w:tr>
      <w:tr>
        <w:trPr/>
        <w:tc>
          <w:tcPr>
            <w:tcW w:w="244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57</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36" w:type="dxa"/>
            <w:vMerge w:val="continue"/>
            <w:tcBorders>
              <w:right w:val="single" w:sz="6" w:space="0" w:color="000000"/>
            </w:tcBorders>
            <w:tcMar>
              <w:right w:w="40" w:type="dxa"/>
            </w:tcMar>
            <w:vAlign w:val="center"/>
          </w:tcPr>
          <w:p>
            <w:pPr>
              <w:pStyle w:val="Normal"/>
              <w:bidi w:val="0"/>
              <w:jc w:val="left"/>
              <w:rPr/>
            </w:pPr>
            <w:r>
              <w:rPr/>
            </w:r>
          </w:p>
        </w:tc>
      </w:tr>
      <w:tr>
        <w:trPr/>
        <w:tc>
          <w:tcPr>
            <w:tcW w:w="244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•   </w:t>
            </w:r>
            <w:r>
              <w:rPr>
                <w:rFonts w:ascii="arial" w:hAnsi="arial"/>
                <w:sz w:val="18"/>
              </w:rPr>
              <w:t>Audit</w:t>
            </w:r>
          </w:p>
          <w:p>
            <w:pPr>
              <w:pStyle w:val="TableContents"/>
              <w:bidi w:val="0"/>
              <w:spacing w:before="0" w:after="20"/>
              <w:jc w:val="left"/>
              <w:rPr/>
            </w:pPr>
            <w:r>
              <w:rPr/>
              <w:t>•   </w:t>
            </w:r>
            <w:r>
              <w:rPr>
                <w:rFonts w:ascii="arial" w:hAnsi="arial"/>
                <w:sz w:val="18"/>
              </w:rPr>
              <w:t>Technology</w:t>
            </w:r>
          </w:p>
        </w:tc>
        <w:tc>
          <w:tcPr>
            <w:tcW w:w="120" w:type="dxa"/>
            <w:vMerge w:val="continue"/>
            <w:tcBorders/>
            <w:vAlign w:val="center"/>
          </w:tcPr>
          <w:p>
            <w:pPr>
              <w:pStyle w:val="Normal"/>
              <w:bidi w:val="0"/>
              <w:jc w:val="left"/>
              <w:rPr/>
            </w:pPr>
            <w:r>
              <w:rPr/>
            </w:r>
          </w:p>
        </w:tc>
        <w:tc>
          <w:tcPr>
            <w:tcW w:w="7636" w:type="dxa"/>
            <w:vMerge w:val="continue"/>
            <w:tcBorders>
              <w:right w:val="single" w:sz="6" w:space="0" w:color="000000"/>
            </w:tcBorders>
            <w:tcMar>
              <w:right w:w="40" w:type="dxa"/>
            </w:tcMar>
            <w:vAlign w:val="center"/>
          </w:tcPr>
          <w:p>
            <w:pPr>
              <w:pStyle w:val="Normal"/>
              <w:bidi w:val="0"/>
              <w:jc w:val="left"/>
              <w:rPr/>
            </w:pPr>
            <w:r>
              <w:rPr/>
            </w:r>
          </w:p>
        </w:tc>
      </w:tr>
      <w:tr>
        <w:trPr/>
        <w:tc>
          <w:tcPr>
            <w:tcW w:w="2449"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7"/>
              </w:rPr>
            </w:pPr>
            <w:r>
              <w:rPr>
                <w:rFonts w:ascii="arial" w:hAnsi="arial"/>
                <w:b/>
                <w:sz w:val="17"/>
              </w:rPr>
              <w:t>Skills and Qualifications</w:t>
            </w:r>
          </w:p>
        </w:tc>
        <w:tc>
          <w:tcPr>
            <w:tcW w:w="120" w:type="dxa"/>
            <w:vMerge w:val="continue"/>
            <w:tcBorders/>
            <w:vAlign w:val="center"/>
          </w:tcPr>
          <w:p>
            <w:pPr>
              <w:pStyle w:val="Normal"/>
              <w:bidi w:val="0"/>
              <w:jc w:val="left"/>
              <w:rPr/>
            </w:pPr>
            <w:r>
              <w:rPr/>
            </w:r>
          </w:p>
        </w:tc>
        <w:tc>
          <w:tcPr>
            <w:tcW w:w="7636" w:type="dxa"/>
            <w:vMerge w:val="continue"/>
            <w:tcBorders>
              <w:right w:val="single" w:sz="6" w:space="0" w:color="000000"/>
            </w:tcBorders>
            <w:tcMar>
              <w:right w:w="40" w:type="dxa"/>
            </w:tcMar>
            <w:vAlign w:val="center"/>
          </w:tcPr>
          <w:p>
            <w:pPr>
              <w:pStyle w:val="Normal"/>
              <w:bidi w:val="0"/>
              <w:jc w:val="left"/>
              <w:rPr/>
            </w:pPr>
            <w:r>
              <w:rPr/>
            </w:r>
          </w:p>
        </w:tc>
      </w:tr>
      <w:tr>
        <w:trPr/>
        <w:tc>
          <w:tcPr>
            <w:tcW w:w="2449"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arial" w:hAnsi="arial"/>
                <w:sz w:val="18"/>
              </w:rPr>
              <w:t>International</w:t>
            </w:r>
          </w:p>
          <w:p>
            <w:pPr>
              <w:pStyle w:val="TableContents"/>
              <w:bidi w:val="0"/>
              <w:spacing w:before="0" w:after="0"/>
              <w:jc w:val="left"/>
              <w:rPr/>
            </w:pPr>
            <w:r>
              <w:rPr/>
              <w:t>•   </w:t>
            </w:r>
            <w:r>
              <w:rPr>
                <w:rFonts w:ascii="arial" w:hAnsi="arial"/>
                <w:sz w:val="18"/>
              </w:rPr>
              <w:t>Travel</w:t>
            </w:r>
          </w:p>
          <w:p>
            <w:pPr>
              <w:pStyle w:val="TableContents"/>
              <w:bidi w:val="0"/>
              <w:spacing w:before="0" w:after="0"/>
              <w:jc w:val="left"/>
              <w:rPr/>
            </w:pPr>
            <w:r>
              <w:rPr/>
              <w:t>•   </w:t>
            </w:r>
            <w:r>
              <w:rPr>
                <w:rFonts w:ascii="arial" w:hAnsi="arial"/>
                <w:sz w:val="18"/>
              </w:rPr>
              <w:t>ESG</w:t>
            </w:r>
          </w:p>
          <w:p>
            <w:pPr>
              <w:pStyle w:val="TableContents"/>
              <w:bidi w:val="0"/>
              <w:spacing w:before="0" w:after="0"/>
              <w:jc w:val="left"/>
              <w:rPr/>
            </w:pPr>
            <w:r>
              <w:rPr/>
              <w:t>•   </w:t>
            </w:r>
            <w:r>
              <w:rPr>
                <w:rFonts w:ascii="arial" w:hAnsi="arial"/>
                <w:sz w:val="18"/>
              </w:rPr>
              <w:t>Technology</w:t>
            </w:r>
          </w:p>
          <w:p>
            <w:pPr>
              <w:pStyle w:val="TableContents"/>
              <w:bidi w:val="0"/>
              <w:spacing w:before="0" w:after="0"/>
              <w:jc w:val="left"/>
              <w:rPr/>
            </w:pPr>
            <w:r>
              <w:rPr/>
              <w:t>•   </w:t>
            </w:r>
            <w:r>
              <w:rPr>
                <w:rFonts w:ascii="arial" w:hAnsi="arial"/>
                <w:sz w:val="18"/>
              </w:rPr>
              <w:t>Capital Markets</w:t>
            </w:r>
          </w:p>
          <w:p>
            <w:pPr>
              <w:pStyle w:val="TableContents"/>
              <w:bidi w:val="0"/>
              <w:spacing w:before="0" w:after="20"/>
              <w:jc w:val="left"/>
              <w:rPr/>
            </w:pPr>
            <w:r>
              <w:rPr/>
              <w:t>•   </w:t>
            </w:r>
            <w:r>
              <w:rPr>
                <w:rFonts w:ascii="arial" w:hAnsi="arial"/>
                <w:sz w:val="18"/>
              </w:rPr>
              <w:t>Risk and Strategy</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636"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•   </w:t>
            </w:r>
            <w:r>
              <w:rPr>
                <w:rFonts w:ascii="arial" w:hAnsi="arial"/>
                <w:b/>
                <w:sz w:val="18"/>
              </w:rPr>
              <w:t>CFO,</w:t>
            </w:r>
            <w:r>
              <w:rPr>
                <w:rFonts w:ascii="arial" w:hAnsi="arial"/>
                <w:sz w:val="18"/>
              </w:rPr>
              <w:t xml:space="preserve"> Lyft, Inc. (2022 – 2023)</w:t>
            </w:r>
          </w:p>
          <w:p>
            <w:pPr>
              <w:pStyle w:val="TableContents"/>
              <w:bidi w:val="0"/>
              <w:spacing w:before="0" w:after="0"/>
              <w:jc w:val="left"/>
              <w:rPr/>
            </w:pPr>
            <w:r>
              <w:rPr/>
              <w:t>•   </w:t>
            </w:r>
            <w:r>
              <w:rPr>
                <w:rFonts w:ascii="arial" w:hAnsi="arial"/>
                <w:b/>
                <w:sz w:val="18"/>
              </w:rPr>
              <w:t>CFO and VP of Finance,</w:t>
            </w:r>
            <w:r>
              <w:rPr>
                <w:rFonts w:ascii="arial" w:hAnsi="arial"/>
                <w:sz w:val="18"/>
              </w:rPr>
              <w:t xml:space="preserve"> Amazon Studios (2019 – 2021)</w:t>
            </w:r>
          </w:p>
          <w:p>
            <w:pPr>
              <w:pStyle w:val="TableContents"/>
              <w:bidi w:val="0"/>
              <w:spacing w:before="0" w:after="0"/>
              <w:jc w:val="left"/>
              <w:rPr/>
            </w:pPr>
            <w:r>
              <w:rPr/>
              <w:t>•   </w:t>
            </w:r>
            <w:r>
              <w:rPr>
                <w:rFonts w:ascii="arial" w:hAnsi="arial"/>
                <w:b/>
                <w:sz w:val="18"/>
              </w:rPr>
              <w:t>CFO,</w:t>
            </w:r>
            <w:r>
              <w:rPr>
                <w:rFonts w:ascii="arial" w:hAnsi="arial"/>
                <w:sz w:val="18"/>
              </w:rPr>
              <w:t xml:space="preserve"> Hulu, LLC (2013 – 2019)</w:t>
            </w:r>
          </w:p>
          <w:p>
            <w:pPr>
              <w:pStyle w:val="TableContents"/>
              <w:bidi w:val="0"/>
              <w:spacing w:before="0" w:after="0"/>
              <w:jc w:val="left"/>
              <w:rPr/>
            </w:pPr>
            <w:r>
              <w:rPr/>
              <w:t>•   </w:t>
            </w:r>
            <w:r>
              <w:rPr>
                <w:rFonts w:ascii="arial" w:hAnsi="arial"/>
                <w:b/>
                <w:sz w:val="18"/>
              </w:rPr>
              <w:t>Senior Vice President, Corporate Strategy, Business Development and Technology,</w:t>
            </w:r>
            <w:r>
              <w:rPr>
                <w:rFonts w:ascii="arial" w:hAnsi="arial"/>
                <w:sz w:val="18"/>
              </w:rPr>
              <w:t xml:space="preserve"> The Walt Disney Company (1994 – 2013)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29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8"/>
        <w:gridCol w:w="120"/>
        <w:gridCol w:w="7617"/>
      </w:tblGrid>
      <w:tr>
        <w:trPr/>
        <w:tc>
          <w:tcPr>
            <w:tcW w:w="2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17" w:type="dxa"/>
            <w:tcBorders/>
            <w:vAlign w:val="center"/>
          </w:tcPr>
          <w:p>
            <w:pPr>
              <w:pStyle w:val="TableContents"/>
              <w:bidi w:val="0"/>
              <w:spacing w:before="0" w:after="283"/>
              <w:jc w:val="left"/>
              <w:rPr>
                <w:sz w:val="4"/>
                <w:szCs w:val="4"/>
              </w:rPr>
            </w:pPr>
            <w:r>
              <w:rPr>
                <w:sz w:val="4"/>
                <w:szCs w:val="4"/>
              </w:rPr>
            </w:r>
          </w:p>
        </w:tc>
      </w:tr>
      <w:tr>
        <w:trPr/>
        <w:tc>
          <w:tcPr>
            <w:tcW w:w="2468" w:type="dxa"/>
            <w:vMerge w:val="restart"/>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541145" cy="171894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541145" cy="1718945"/>
                          </a:xfrm>
                          <a:prstGeom prst="rect">
                            <a:avLst/>
                          </a:prstGeom>
                        </pic:spPr>
                      </pic:pic>
                    </a:graphicData>
                  </a:graphic>
                </wp:inline>
              </w:drawing>
            </w:r>
            <w:r>
              <w:rPr/>
              <w:t xml:space="preserve">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1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JOHN SCOTT | Independent Director </w:t>
            </w:r>
          </w:p>
          <w:p>
            <w:pPr>
              <w:pStyle w:val="TableContents"/>
              <w:bidi w:val="0"/>
              <w:spacing w:before="0" w:after="20"/>
              <w:jc w:val="left"/>
              <w:rPr/>
            </w:pPr>
            <w:r>
              <w:rPr/>
              <w:t> </w:t>
            </w:r>
          </w:p>
        </w:tc>
      </w:tr>
      <w:tr>
        <w:trPr/>
        <w:tc>
          <w:tcPr>
            <w:tcW w:w="2468" w:type="dxa"/>
            <w:vMerge w:val="continue"/>
            <w:tcBorders>
              <w:top w:val="single" w:sz="6" w:space="0" w:color="000000"/>
              <w:left w:val="single" w:sz="6" w:space="0" w:color="000000"/>
              <w:right w:val="single" w:sz="6" w:space="0" w:color="000000"/>
            </w:tcBorders>
            <w:tcMar>
              <w:top w:w="28" w:type="dxa"/>
              <w:left w:w="160"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617"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20"/>
              <w:jc w:val="left"/>
              <w:rPr/>
            </w:pPr>
            <w:r>
              <w:rPr/>
              <w:t>•   </w:t>
            </w:r>
            <w:r>
              <w:rPr>
                <w:rFonts w:ascii="arial" w:hAnsi="arial"/>
                <w:b/>
                <w:sz w:val="18"/>
              </w:rPr>
              <w:t xml:space="preserve">Travel and hospitality industry veteran. </w:t>
            </w:r>
            <w:r>
              <w:rPr>
                <w:rFonts w:ascii="arial" w:hAnsi="arial"/>
                <w:sz w:val="18"/>
              </w:rPr>
              <w:t xml:space="preserve">Mr. Scott has 25 years of consumer-facing experience across senior executive positions in travel and hospitality. Since 2024, Mr. Scott has served as a Senior Advisor for KSL Capital Partners, a leading hospitality and leisure real estate investment group, currently serving as Chairman of its international luxury lodge portfolio company, Baillie Lodges. As President and CEO of Rosewood Hotels &amp; Resorts, Mr. Scott oversaw a portfolio of ultra-luxury hotels with combined revenues of more than $500 million, and subsequently served as President and CEO of Belmond Ltd. (formerly Orient-Express Hotels), overseeing a global portfolio of luxury hotels, restaurants, and cruise businesses spanning 22 countries. In addition, he has served as Chairman of A&amp;O Hotels, a European hybrid hotel and hostel platform. Mr. Scott previously served as a director on the board of privately-held Subway Restaurant and on the board of Kimpton Hotels and Restaurants, a private hotel and restaurant management company. </w:t>
            </w:r>
          </w:p>
        </w:tc>
      </w:tr>
      <w:tr>
        <w:trPr/>
        <w:tc>
          <w:tcPr>
            <w:tcW w:w="2468"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b/>
                <w:sz w:val="17"/>
              </w:rPr>
              <w:t>Director since</w:t>
            </w:r>
            <w:r>
              <w:rPr>
                <w:rFonts w:ascii="arial" w:hAnsi="arial"/>
                <w:i/>
                <w:sz w:val="17"/>
              </w:rPr>
              <w:t xml:space="preserve">: </w:t>
            </w:r>
            <w:r>
              <w:rPr>
                <w:rFonts w:ascii="arial" w:hAnsi="arial"/>
                <w:sz w:val="17"/>
              </w:rPr>
              <w:t>2020</w:t>
            </w:r>
          </w:p>
        </w:tc>
        <w:tc>
          <w:tcPr>
            <w:tcW w:w="120" w:type="dxa"/>
            <w:vMerge w:val="restart"/>
            <w:tcBorders/>
            <w:vAlign w:val="center"/>
          </w:tcPr>
          <w:p>
            <w:pPr>
              <w:pStyle w:val="TableContents"/>
              <w:bidi w:val="0"/>
              <w:spacing w:before="0" w:after="283"/>
              <w:jc w:val="left"/>
              <w:rPr/>
            </w:pPr>
            <w:r>
              <w:rPr/>
              <w:t>  </w:t>
            </w:r>
          </w:p>
        </w:tc>
        <w:tc>
          <w:tcPr>
            <w:tcW w:w="7617" w:type="dxa"/>
            <w:vMerge w:val="restart"/>
            <w:tcBorders>
              <w:right w:val="single" w:sz="6" w:space="0" w:color="000000"/>
            </w:tcBorders>
            <w:tcMar>
              <w:right w:w="40" w:type="dxa"/>
            </w:tcMar>
            <w:vAlign w:val="center"/>
          </w:tcPr>
          <w:p>
            <w:pPr>
              <w:pStyle w:val="TableContents"/>
              <w:bidi w:val="0"/>
              <w:spacing w:before="0" w:after="0"/>
              <w:jc w:val="left"/>
              <w:rPr/>
            </w:pPr>
            <w:r>
              <w:rPr/>
              <w:t>•   </w:t>
            </w:r>
            <w:r>
              <w:rPr>
                <w:rFonts w:ascii="arial" w:hAnsi="arial"/>
                <w:b/>
                <w:sz w:val="18"/>
              </w:rPr>
              <w:t>Extensive mergers and acquisitions and strategic planning experience.</w:t>
            </w:r>
            <w:r>
              <w:rPr>
                <w:rFonts w:ascii="arial" w:hAnsi="arial"/>
                <w:sz w:val="18"/>
              </w:rPr>
              <w:t xml:space="preserve"> He has a demonstrated track record of positioning large-scale companies for the evolving hospitality and travel landscapes, including through strategic transactions. Since 2017, Mr. Scott has served as a Senior Advisor at TPG to the Real Estate and Capital groups, with a focus on global hospitality platform acquisitions and advising related portfolio companies. Prior to that, he led Belmond in a significant refresh of its hotel portfolio. In his first six months at Belmond, he sold two properties for $45 million in cash and embarked on a campaign to renovate several properties. Earlier in his career, Mr. Scott was responsible for acquisitions and asset management for Maritz, Wolff &amp; Co.’s private equity real estate investment group. Before that, he led business development efforts for a $100 million retail, dining and entertainment attraction as Manager of Business Planning and Development at Disney.</w:t>
            </w:r>
          </w:p>
          <w:p>
            <w:pPr>
              <w:pStyle w:val="TableContents"/>
              <w:bidi w:val="0"/>
              <w:spacing w:before="0" w:after="20"/>
              <w:jc w:val="left"/>
              <w:rPr/>
            </w:pPr>
            <w:r>
              <w:rPr/>
              <w:t>•   </w:t>
            </w:r>
            <w:r>
              <w:rPr>
                <w:rFonts w:ascii="arial" w:hAnsi="arial"/>
                <w:b/>
                <w:sz w:val="18"/>
              </w:rPr>
              <w:t xml:space="preserve">Deep marketing, brand building and customer engagement experience. </w:t>
            </w:r>
            <w:r>
              <w:rPr>
                <w:rFonts w:ascii="arial" w:hAnsi="arial"/>
                <w:sz w:val="18"/>
              </w:rPr>
              <w:t>Under Mr. Scott’s leadership, Rosewood Hotels &amp; Resorts doubled its hotels under management, significantly increased EBITDA, and secured an active development pipeline for new hotel projects. At Belmond, Mr. Scott led the hotel chain through a strategic transformation involving a rebranding and a change in product offerings to accommodate the modern luxury travel industry.</w:t>
            </w:r>
          </w:p>
        </w:tc>
      </w:tr>
      <w:tr>
        <w:trPr/>
        <w:tc>
          <w:tcPr>
            <w:tcW w:w="2468"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Founder and Chairman of Park House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17" w:type="dxa"/>
            <w:vMerge w:val="continue"/>
            <w:tcBorders>
              <w:right w:val="single" w:sz="6" w:space="0" w:color="000000"/>
            </w:tcBorders>
            <w:tcMar>
              <w:right w:w="40" w:type="dxa"/>
            </w:tcMar>
            <w:vAlign w:val="center"/>
          </w:tcPr>
          <w:p>
            <w:pPr>
              <w:pStyle w:val="Normal"/>
              <w:bidi w:val="0"/>
              <w:jc w:val="left"/>
              <w:rPr/>
            </w:pPr>
            <w:r>
              <w:rPr/>
            </w:r>
          </w:p>
        </w:tc>
      </w:tr>
      <w:tr>
        <w:trPr/>
        <w:tc>
          <w:tcPr>
            <w:tcW w:w="2468"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Age: </w:t>
            </w:r>
            <w:r>
              <w:rPr>
                <w:rFonts w:ascii="arial" w:hAnsi="arial"/>
                <w:sz w:val="17"/>
              </w:rPr>
              <w:t>59</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17" w:type="dxa"/>
            <w:vMerge w:val="continue"/>
            <w:tcBorders>
              <w:right w:val="single" w:sz="6" w:space="0" w:color="000000"/>
            </w:tcBorders>
            <w:tcMar>
              <w:right w:w="40" w:type="dxa"/>
            </w:tcMar>
            <w:vAlign w:val="center"/>
          </w:tcPr>
          <w:p>
            <w:pPr>
              <w:pStyle w:val="Normal"/>
              <w:bidi w:val="0"/>
              <w:jc w:val="left"/>
              <w:rPr/>
            </w:pPr>
            <w:r>
              <w:rPr/>
            </w:r>
          </w:p>
        </w:tc>
      </w:tr>
      <w:tr>
        <w:trPr/>
        <w:tc>
          <w:tcPr>
            <w:tcW w:w="2468"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•   </w:t>
            </w:r>
            <w:r>
              <w:rPr>
                <w:rFonts w:ascii="arial" w:hAnsi="arial"/>
                <w:sz w:val="18"/>
              </w:rPr>
              <w:t>Compensation (Chair)</w:t>
            </w:r>
          </w:p>
          <w:p>
            <w:pPr>
              <w:pStyle w:val="TableContents"/>
              <w:bidi w:val="0"/>
              <w:spacing w:before="0" w:after="0"/>
              <w:jc w:val="left"/>
              <w:rPr/>
            </w:pPr>
            <w:r>
              <w:rPr/>
              <w:t>•   </w:t>
            </w:r>
            <w:r>
              <w:rPr>
                <w:rFonts w:ascii="arial" w:hAnsi="arial"/>
                <w:sz w:val="18"/>
              </w:rPr>
              <w:t>Executive</w:t>
            </w:r>
          </w:p>
          <w:p>
            <w:pPr>
              <w:pStyle w:val="TableContents"/>
              <w:bidi w:val="0"/>
              <w:spacing w:before="0" w:after="20"/>
              <w:jc w:val="left"/>
              <w:rPr/>
            </w:pPr>
            <w:r>
              <w:rPr/>
              <w:t>•   </w:t>
            </w:r>
            <w:r>
              <w:rPr>
                <w:rFonts w:ascii="arial" w:hAnsi="arial"/>
                <w:sz w:val="18"/>
              </w:rPr>
              <w:t>Nominating and Governance</w:t>
            </w:r>
          </w:p>
        </w:tc>
        <w:tc>
          <w:tcPr>
            <w:tcW w:w="120" w:type="dxa"/>
            <w:vMerge w:val="continue"/>
            <w:tcBorders/>
            <w:vAlign w:val="center"/>
          </w:tcPr>
          <w:p>
            <w:pPr>
              <w:pStyle w:val="Normal"/>
              <w:bidi w:val="0"/>
              <w:jc w:val="left"/>
              <w:rPr/>
            </w:pPr>
            <w:r>
              <w:rPr/>
            </w:r>
          </w:p>
        </w:tc>
        <w:tc>
          <w:tcPr>
            <w:tcW w:w="7617" w:type="dxa"/>
            <w:vMerge w:val="continue"/>
            <w:tcBorders>
              <w:right w:val="single" w:sz="6" w:space="0" w:color="000000"/>
            </w:tcBorders>
            <w:tcMar>
              <w:right w:w="40" w:type="dxa"/>
            </w:tcMar>
            <w:vAlign w:val="center"/>
          </w:tcPr>
          <w:p>
            <w:pPr>
              <w:pStyle w:val="Normal"/>
              <w:bidi w:val="0"/>
              <w:jc w:val="left"/>
              <w:rPr/>
            </w:pPr>
            <w:r>
              <w:rPr/>
            </w:r>
          </w:p>
        </w:tc>
      </w:tr>
      <w:tr>
        <w:trPr/>
        <w:tc>
          <w:tcPr>
            <w:tcW w:w="2468"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•   </w:t>
            </w:r>
            <w:r>
              <w:rPr>
                <w:rFonts w:ascii="arial" w:hAnsi="arial"/>
                <w:sz w:val="18"/>
              </w:rPr>
              <w:t>International</w:t>
            </w:r>
          </w:p>
          <w:p>
            <w:pPr>
              <w:pStyle w:val="TableContents"/>
              <w:bidi w:val="0"/>
              <w:spacing w:before="0" w:after="0"/>
              <w:jc w:val="left"/>
              <w:rPr/>
            </w:pPr>
            <w:r>
              <w:rPr/>
              <w:t>•   </w:t>
            </w:r>
            <w:r>
              <w:rPr>
                <w:rFonts w:ascii="arial" w:hAnsi="arial"/>
                <w:sz w:val="18"/>
              </w:rPr>
              <w:t>B2B Services</w:t>
            </w:r>
          </w:p>
          <w:p>
            <w:pPr>
              <w:pStyle w:val="TableContents"/>
              <w:bidi w:val="0"/>
              <w:spacing w:before="0" w:after="0"/>
              <w:jc w:val="left"/>
              <w:rPr/>
            </w:pPr>
            <w:r>
              <w:rPr/>
              <w:t>•   </w:t>
            </w:r>
            <w:r>
              <w:rPr>
                <w:rFonts w:ascii="arial" w:hAnsi="arial"/>
                <w:sz w:val="18"/>
              </w:rPr>
              <w:t>Travel</w:t>
            </w:r>
          </w:p>
          <w:p>
            <w:pPr>
              <w:pStyle w:val="TableContents"/>
              <w:bidi w:val="0"/>
              <w:spacing w:before="0" w:after="0"/>
              <w:jc w:val="left"/>
              <w:rPr/>
            </w:pPr>
            <w:r>
              <w:rPr/>
              <w:t>•   </w:t>
            </w:r>
            <w:r>
              <w:rPr>
                <w:rFonts w:ascii="arial" w:hAnsi="arial"/>
                <w:sz w:val="18"/>
              </w:rPr>
              <w:t>Hospitality</w:t>
            </w:r>
          </w:p>
          <w:p>
            <w:pPr>
              <w:pStyle w:val="TableContents"/>
              <w:bidi w:val="0"/>
              <w:spacing w:before="0" w:after="0"/>
              <w:jc w:val="left"/>
              <w:rPr/>
            </w:pPr>
            <w:r>
              <w:rPr/>
              <w:t>•   </w:t>
            </w:r>
            <w:r>
              <w:rPr>
                <w:rFonts w:ascii="arial" w:hAnsi="arial"/>
                <w:sz w:val="18"/>
              </w:rPr>
              <w:t>Marketing/Sales</w:t>
            </w:r>
          </w:p>
          <w:p>
            <w:pPr>
              <w:pStyle w:val="TableContents"/>
              <w:bidi w:val="0"/>
              <w:spacing w:before="0" w:after="0"/>
              <w:jc w:val="left"/>
              <w:rPr/>
            </w:pPr>
            <w:r>
              <w:rPr/>
              <w:t>•   </w:t>
            </w:r>
            <w:r>
              <w:rPr>
                <w:rFonts w:ascii="arial" w:hAnsi="arial"/>
                <w:sz w:val="18"/>
              </w:rPr>
              <w:t>Operations</w:t>
            </w:r>
          </w:p>
          <w:p>
            <w:pPr>
              <w:pStyle w:val="TableContents"/>
              <w:bidi w:val="0"/>
              <w:spacing w:before="0" w:after="20"/>
              <w:jc w:val="left"/>
              <w:rPr/>
            </w:pPr>
            <w:r>
              <w:rPr/>
              <w:t>•   </w:t>
            </w:r>
            <w:r>
              <w:rPr>
                <w:rFonts w:ascii="arial" w:hAnsi="arial"/>
                <w:sz w:val="18"/>
              </w:rPr>
              <w:t>Capital Markets</w:t>
            </w:r>
          </w:p>
        </w:tc>
        <w:tc>
          <w:tcPr>
            <w:tcW w:w="120" w:type="dxa"/>
            <w:vMerge w:val="continue"/>
            <w:tcBorders/>
            <w:vAlign w:val="center"/>
          </w:tcPr>
          <w:p>
            <w:pPr>
              <w:pStyle w:val="Normal"/>
              <w:bidi w:val="0"/>
              <w:jc w:val="left"/>
              <w:rPr/>
            </w:pPr>
            <w:r>
              <w:rPr/>
            </w:r>
          </w:p>
        </w:tc>
        <w:tc>
          <w:tcPr>
            <w:tcW w:w="7617" w:type="dxa"/>
            <w:vMerge w:val="continue"/>
            <w:tcBorders>
              <w:right w:val="single" w:sz="6" w:space="0" w:color="000000"/>
            </w:tcBorders>
            <w:tcMar>
              <w:right w:w="40" w:type="dxa"/>
            </w:tcMar>
            <w:vAlign w:val="center"/>
          </w:tcPr>
          <w:p>
            <w:pPr>
              <w:pStyle w:val="Normal"/>
              <w:bidi w:val="0"/>
              <w:jc w:val="left"/>
              <w:rPr/>
            </w:pPr>
            <w:r>
              <w:rPr/>
            </w:r>
          </w:p>
        </w:tc>
      </w:tr>
      <w:tr>
        <w:trPr/>
        <w:tc>
          <w:tcPr>
            <w:tcW w:w="2468"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r>
              <w:rPr>
                <w:rFonts w:ascii="arial" w:hAnsi="arial"/>
                <w:sz w:val="18"/>
              </w:rPr>
              <w:t>Risk and Strategy</w:t>
            </w:r>
          </w:p>
        </w:tc>
        <w:tc>
          <w:tcPr>
            <w:tcW w:w="120" w:type="dxa"/>
            <w:vMerge w:val="continue"/>
            <w:tcBorders/>
            <w:vAlign w:val="center"/>
          </w:tcPr>
          <w:p>
            <w:pPr>
              <w:pStyle w:val="Normal"/>
              <w:bidi w:val="0"/>
              <w:jc w:val="left"/>
              <w:rPr/>
            </w:pPr>
            <w:r>
              <w:rPr/>
            </w:r>
          </w:p>
        </w:tc>
        <w:tc>
          <w:tcPr>
            <w:tcW w:w="7617" w:type="dxa"/>
            <w:vMerge w:val="continue"/>
            <w:tcBorders>
              <w:right w:val="single" w:sz="6" w:space="0" w:color="000000"/>
            </w:tcBorders>
            <w:tcMar>
              <w:right w:w="40" w:type="dxa"/>
            </w:tcMar>
            <w:vAlign w:val="center"/>
          </w:tcPr>
          <w:p>
            <w:pPr>
              <w:pStyle w:val="Normal"/>
              <w:bidi w:val="0"/>
              <w:jc w:val="left"/>
              <w:rPr/>
            </w:pPr>
            <w:r>
              <w:rPr/>
            </w:r>
          </w:p>
        </w:tc>
      </w:tr>
      <w:tr>
        <w:trPr/>
        <w:tc>
          <w:tcPr>
            <w:tcW w:w="2468"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617"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tc>
      </w:tr>
      <w:tr>
        <w:trPr/>
        <w:tc>
          <w:tcPr>
            <w:tcW w:w="2468"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17"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w:hAnsi="arial"/>
                <w:b/>
                <w:sz w:val="18"/>
              </w:rPr>
              <w:t>Founder and Chairman,</w:t>
            </w:r>
            <w:r>
              <w:rPr>
                <w:rFonts w:ascii="arial" w:hAnsi="arial"/>
                <w:sz w:val="18"/>
              </w:rPr>
              <w:t xml:space="preserve"> Park House Dallas, a private social club (2015 – Present)</w:t>
            </w:r>
          </w:p>
          <w:p>
            <w:pPr>
              <w:pStyle w:val="TableContents"/>
              <w:bidi w:val="0"/>
              <w:spacing w:before="0" w:after="0"/>
              <w:jc w:val="left"/>
              <w:rPr/>
            </w:pPr>
            <w:r>
              <w:rPr/>
              <w:t>•   </w:t>
            </w:r>
            <w:r>
              <w:rPr>
                <w:rFonts w:ascii="arial" w:hAnsi="arial"/>
                <w:b/>
                <w:sz w:val="18"/>
              </w:rPr>
              <w:t>Senior Advisor,</w:t>
            </w:r>
            <w:r>
              <w:rPr>
                <w:rFonts w:ascii="arial" w:hAnsi="arial"/>
                <w:sz w:val="18"/>
              </w:rPr>
              <w:t xml:space="preserve"> TPG Global (2017 – Present)</w:t>
            </w:r>
          </w:p>
          <w:p>
            <w:pPr>
              <w:pStyle w:val="TableContents"/>
              <w:bidi w:val="0"/>
              <w:spacing w:before="0" w:after="0"/>
              <w:jc w:val="left"/>
              <w:rPr/>
            </w:pPr>
            <w:r>
              <w:rPr/>
              <w:t>•   </w:t>
            </w:r>
            <w:r>
              <w:rPr>
                <w:rFonts w:ascii="arial" w:hAnsi="arial"/>
                <w:b/>
                <w:sz w:val="18"/>
              </w:rPr>
              <w:t xml:space="preserve">President and CEO, </w:t>
            </w:r>
            <w:r>
              <w:rPr>
                <w:rFonts w:ascii="arial" w:hAnsi="arial"/>
                <w:sz w:val="18"/>
              </w:rPr>
              <w:t>Belmond Ltd. (formerly Orient-Express Hotels) (2012 – 2015)</w:t>
            </w:r>
          </w:p>
          <w:p>
            <w:pPr>
              <w:pStyle w:val="TableContents"/>
              <w:bidi w:val="0"/>
              <w:spacing w:before="0" w:after="0"/>
              <w:jc w:val="left"/>
              <w:rPr/>
            </w:pPr>
            <w:r>
              <w:rPr/>
              <w:t>•   </w:t>
            </w:r>
            <w:r>
              <w:rPr>
                <w:rFonts w:ascii="arial" w:hAnsi="arial"/>
                <w:b/>
                <w:sz w:val="18"/>
              </w:rPr>
              <w:t xml:space="preserve">President and CEO, </w:t>
            </w:r>
            <w:r>
              <w:rPr>
                <w:rFonts w:ascii="arial" w:hAnsi="arial"/>
                <w:sz w:val="18"/>
              </w:rPr>
              <w:t>Rosewood Hotels &amp; Resorts. (2003 – 2011)</w:t>
            </w:r>
          </w:p>
          <w:p>
            <w:pPr>
              <w:pStyle w:val="TableContents"/>
              <w:bidi w:val="0"/>
              <w:spacing w:before="0" w:after="0"/>
              <w:jc w:val="left"/>
              <w:rPr/>
            </w:pPr>
            <w:r>
              <w:rPr/>
              <w:t>•   </w:t>
            </w:r>
            <w:r>
              <w:rPr>
                <w:rFonts w:ascii="arial" w:hAnsi="arial"/>
                <w:b/>
                <w:sz w:val="18"/>
              </w:rPr>
              <w:t xml:space="preserve">Managing Director of Acquisitions and Asset Management, </w:t>
            </w:r>
            <w:r>
              <w:rPr>
                <w:rFonts w:ascii="arial" w:hAnsi="arial"/>
                <w:sz w:val="18"/>
              </w:rPr>
              <w:t>Maritz, Wolff, &amp; Co. (1996 – 2003)</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Board Experience</w:t>
            </w:r>
          </w:p>
          <w:p>
            <w:pPr>
              <w:pStyle w:val="TableContents"/>
              <w:bidi w:val="0"/>
              <w:spacing w:before="0" w:after="0"/>
              <w:jc w:val="left"/>
              <w:rPr/>
            </w:pPr>
            <w:r>
              <w:rPr/>
              <w:t>•   </w:t>
            </w:r>
            <w:r>
              <w:rPr>
                <w:rFonts w:ascii="arial" w:hAnsi="arial"/>
                <w:sz w:val="18"/>
              </w:rPr>
              <w:t>Cedar Fair Entertainment (2010 – 2020)</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2"/>
        <w:gridCol w:w="120"/>
        <w:gridCol w:w="7623"/>
      </w:tblGrid>
      <w:tr>
        <w:trPr/>
        <w:tc>
          <w:tcPr>
            <w:tcW w:w="24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3" w:type="dxa"/>
            <w:tcBorders/>
            <w:vAlign w:val="center"/>
          </w:tcPr>
          <w:p>
            <w:pPr>
              <w:pStyle w:val="TableContents"/>
              <w:bidi w:val="0"/>
              <w:spacing w:before="0" w:after="283"/>
              <w:jc w:val="left"/>
              <w:rPr>
                <w:sz w:val="4"/>
                <w:szCs w:val="4"/>
              </w:rPr>
            </w:pPr>
            <w:r>
              <w:rPr>
                <w:sz w:val="4"/>
                <w:szCs w:val="4"/>
              </w:rPr>
            </w:r>
          </w:p>
        </w:tc>
      </w:tr>
      <w:tr>
        <w:trPr/>
        <w:tc>
          <w:tcPr>
            <w:tcW w:w="2462" w:type="dxa"/>
            <w:vMerge w:val="restart"/>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541145" cy="189928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541145" cy="1899285"/>
                          </a:xfrm>
                          <a:prstGeom prst="rect">
                            <a:avLst/>
                          </a:prstGeom>
                        </pic:spPr>
                      </pic:pic>
                    </a:graphicData>
                  </a:graphic>
                </wp:inline>
              </w:drawing>
            </w:r>
            <w:r>
              <w:rPr/>
              <w:t xml:space="preserve">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23"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 xml:space="preserve">WENDI STURGIS | Independent Director </w:t>
            </w:r>
          </w:p>
          <w:p>
            <w:pPr>
              <w:pStyle w:val="TableContents"/>
              <w:bidi w:val="0"/>
              <w:spacing w:before="0" w:after="20"/>
              <w:jc w:val="left"/>
              <w:rPr/>
            </w:pPr>
            <w:r>
              <w:rPr/>
              <w:t> </w:t>
            </w:r>
          </w:p>
        </w:tc>
      </w:tr>
      <w:tr>
        <w:trPr/>
        <w:tc>
          <w:tcPr>
            <w:tcW w:w="2462" w:type="dxa"/>
            <w:vMerge w:val="continue"/>
            <w:tcBorders>
              <w:top w:val="single" w:sz="6" w:space="0" w:color="000000"/>
              <w:left w:val="single" w:sz="6" w:space="0" w:color="000000"/>
              <w:right w:val="single" w:sz="6" w:space="0" w:color="000000"/>
            </w:tcBorders>
            <w:tcMar>
              <w:top w:w="28" w:type="dxa"/>
              <w:left w:w="160"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623"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•   </w:t>
            </w:r>
            <w:r>
              <w:rPr>
                <w:rFonts w:ascii="arial" w:hAnsi="arial"/>
                <w:b/>
                <w:sz w:val="18"/>
              </w:rPr>
              <w:t xml:space="preserve">Innovative brand-builder and customer engagement leader. </w:t>
            </w:r>
            <w:r>
              <w:rPr>
                <w:rFonts w:ascii="arial" w:hAnsi="arial"/>
                <w:sz w:val="18"/>
              </w:rPr>
              <w:t>Ms. Sturgis has over two decades years of executive-level experience in the technology sector. As Chief Executive Officer at cleverbridge GmbH, a growth engine for global technology companies, Ms. Sturgis led multiple strategic initiatives, including the launch of CleverPartners to accelerate B2B partner revenue and performance and CleverAutomations to retain and expand customer base revenues. As Chief Client Officer of Yext, a digital presence platform, she was responsible for all aspects of post-sale customer relationships, delivering a &gt;90% retention rate. Her knowledge of the consumer informs our Board of Directors’ oversight of Sabre’s go-to-market strategy and customer satisfaction and retention efforts.</w:t>
            </w:r>
          </w:p>
          <w:p>
            <w:pPr>
              <w:pStyle w:val="TableContents"/>
              <w:bidi w:val="0"/>
              <w:spacing w:before="0" w:after="20"/>
              <w:jc w:val="left"/>
              <w:rPr/>
            </w:pPr>
            <w:r>
              <w:rPr/>
              <w:t>•   </w:t>
            </w:r>
            <w:r>
              <w:rPr>
                <w:rFonts w:ascii="arial" w:hAnsi="arial"/>
                <w:b/>
                <w:sz w:val="18"/>
              </w:rPr>
              <w:t>Significant transactional experience.</w:t>
            </w:r>
            <w:r>
              <w:rPr>
                <w:rFonts w:ascii="arial" w:hAnsi="arial"/>
                <w:sz w:val="18"/>
              </w:rPr>
              <w:t xml:space="preserve"> In 2022, as a member of the board of Kustomer, a customer engagement and experience platform, Ms. Sturgis oversaw its sale to Meta Platforms for $1 billion. As a member of the board and audit committee of a SPAC, she oversaw a 2021 business combination that took Nerdy, an online learning technology platform, public at a valuation of $1.7 billion, and as a member of another SPAC board, oversaw the 2021 business combination that took Vacasa public at an initial valuation of $4.4 billion. </w:t>
            </w:r>
          </w:p>
        </w:tc>
      </w:tr>
      <w:tr>
        <w:trPr/>
        <w:tc>
          <w:tcPr>
            <w:tcW w:w="246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b/>
                <w:sz w:val="17"/>
              </w:rPr>
              <w:t>Director since</w:t>
            </w:r>
            <w:r>
              <w:rPr>
                <w:rFonts w:ascii="arial" w:hAnsi="arial"/>
                <w:i/>
                <w:sz w:val="17"/>
              </w:rPr>
              <w:t xml:space="preserve">: </w:t>
            </w:r>
            <w:r>
              <w:rPr>
                <w:rFonts w:ascii="arial" w:hAnsi="arial"/>
                <w:sz w:val="17"/>
              </w:rPr>
              <w:t>2021</w:t>
            </w:r>
          </w:p>
        </w:tc>
        <w:tc>
          <w:tcPr>
            <w:tcW w:w="120" w:type="dxa"/>
            <w:vMerge w:val="restart"/>
            <w:tcBorders/>
            <w:vAlign w:val="center"/>
          </w:tcPr>
          <w:p>
            <w:pPr>
              <w:pStyle w:val="TableContents"/>
              <w:bidi w:val="0"/>
              <w:spacing w:before="0" w:after="283"/>
              <w:jc w:val="left"/>
              <w:rPr/>
            </w:pPr>
            <w:r>
              <w:rPr/>
              <w:t>  </w:t>
            </w:r>
          </w:p>
        </w:tc>
        <w:tc>
          <w:tcPr>
            <w:tcW w:w="7623" w:type="dxa"/>
            <w:vMerge w:val="restart"/>
            <w:tcBorders>
              <w:right w:val="single" w:sz="6" w:space="0" w:color="000000"/>
            </w:tcBorders>
            <w:tcMar>
              <w:right w:w="40" w:type="dxa"/>
            </w:tcMar>
            <w:vAlign w:val="center"/>
          </w:tcPr>
          <w:p>
            <w:pPr>
              <w:pStyle w:val="TableContents"/>
              <w:bidi w:val="0"/>
              <w:spacing w:before="0" w:after="20"/>
              <w:jc w:val="left"/>
              <w:rPr/>
            </w:pPr>
            <w:r>
              <w:rPr/>
              <w:t>•   </w:t>
            </w:r>
            <w:r>
              <w:rPr>
                <w:rFonts w:ascii="arial" w:hAnsi="arial"/>
                <w:b/>
                <w:sz w:val="18"/>
              </w:rPr>
              <w:t xml:space="preserve">Over 20 years of experience in the technology industry. </w:t>
            </w:r>
            <w:r>
              <w:rPr>
                <w:rFonts w:ascii="arial" w:hAnsi="arial"/>
                <w:sz w:val="18"/>
              </w:rPr>
              <w:t>While at Yahoo!, Ms. Sturgis was responsible for all aspects of account management including search, display, video, local, and mobile advertising, and as Vice President of North America Account Management, she oversaw a 900-person organization that produced $1.4 billion in revenue. Additionally, at Yext, she helped the company grow from a small start-up to one of the most successful enterprise software customer success teams in the world. Ms. Sturgis’ broad experience in the technology sector gives her strong insights into Sabre’s strategic growth prospects in the global travel technology space. She has also served in advisory roles to world-class start-ups including Salesloft, Lyte, Comparably, Violet Grey, and Quantam Metric. In 2013, Ms. Sturgis was recognized for her leadership in innovation on Forbes’ “40 Women to Watch Over 40” list.</w:t>
            </w:r>
          </w:p>
        </w:tc>
      </w:tr>
      <w:tr>
        <w:trPr/>
        <w:tc>
          <w:tcPr>
            <w:tcW w:w="246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CEO, cleverbridge GmbH</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23" w:type="dxa"/>
            <w:vMerge w:val="continue"/>
            <w:tcBorders>
              <w:right w:val="single" w:sz="6" w:space="0" w:color="000000"/>
            </w:tcBorders>
            <w:tcMar>
              <w:right w:w="40" w:type="dxa"/>
            </w:tcMar>
            <w:vAlign w:val="center"/>
          </w:tcPr>
          <w:p>
            <w:pPr>
              <w:pStyle w:val="Normal"/>
              <w:bidi w:val="0"/>
              <w:jc w:val="left"/>
              <w:rPr/>
            </w:pPr>
            <w:r>
              <w:rPr/>
            </w:r>
          </w:p>
        </w:tc>
      </w:tr>
      <w:tr>
        <w:trPr/>
        <w:tc>
          <w:tcPr>
            <w:tcW w:w="246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b/>
                <w:sz w:val="17"/>
              </w:rPr>
              <w:t xml:space="preserve">Age: </w:t>
            </w:r>
            <w:r>
              <w:rPr>
                <w:rFonts w:ascii="arial" w:hAnsi="arial"/>
                <w:sz w:val="17"/>
              </w:rPr>
              <w:t>58</w:t>
            </w:r>
          </w:p>
        </w:tc>
        <w:tc>
          <w:tcPr>
            <w:tcW w:w="120" w:type="dxa"/>
            <w:vMerge w:val="continue"/>
            <w:tcBorders/>
            <w:vAlign w:val="center"/>
          </w:tcPr>
          <w:p>
            <w:pPr>
              <w:pStyle w:val="Normal"/>
              <w:bidi w:val="0"/>
              <w:jc w:val="left"/>
              <w:rPr/>
            </w:pPr>
            <w:r>
              <w:rPr/>
            </w:r>
          </w:p>
        </w:tc>
        <w:tc>
          <w:tcPr>
            <w:tcW w:w="7623" w:type="dxa"/>
            <w:vMerge w:val="continue"/>
            <w:tcBorders>
              <w:right w:val="single" w:sz="6" w:space="0" w:color="000000"/>
            </w:tcBorders>
            <w:tcMar>
              <w:right w:w="40" w:type="dxa"/>
            </w:tcMar>
            <w:vAlign w:val="center"/>
          </w:tcPr>
          <w:p>
            <w:pPr>
              <w:pStyle w:val="Normal"/>
              <w:bidi w:val="0"/>
              <w:jc w:val="left"/>
              <w:rPr/>
            </w:pPr>
            <w:r>
              <w:rPr/>
            </w:r>
          </w:p>
        </w:tc>
      </w:tr>
      <w:tr>
        <w:trPr/>
        <w:tc>
          <w:tcPr>
            <w:tcW w:w="246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Board Committees</w:t>
            </w:r>
          </w:p>
          <w:p>
            <w:pPr>
              <w:pStyle w:val="TableContents"/>
              <w:bidi w:val="0"/>
              <w:spacing w:before="0" w:after="0"/>
              <w:jc w:val="left"/>
              <w:rPr/>
            </w:pPr>
            <w:r>
              <w:rPr/>
              <w:t>•   </w:t>
            </w:r>
            <w:r>
              <w:rPr>
                <w:rFonts w:ascii="arial" w:hAnsi="arial"/>
                <w:sz w:val="18"/>
              </w:rPr>
              <w:t>Compensation</w:t>
            </w:r>
          </w:p>
          <w:p>
            <w:pPr>
              <w:pStyle w:val="TableContents"/>
              <w:bidi w:val="0"/>
              <w:spacing w:before="0" w:after="20"/>
              <w:jc w:val="left"/>
              <w:rPr/>
            </w:pPr>
            <w:r>
              <w:rPr/>
              <w:t>•   </w:t>
            </w:r>
            <w:r>
              <w:rPr>
                <w:rFonts w:ascii="arial" w:hAnsi="arial"/>
                <w:sz w:val="18"/>
              </w:rPr>
              <w:t>Nominating and Governance</w:t>
            </w:r>
          </w:p>
        </w:tc>
        <w:tc>
          <w:tcPr>
            <w:tcW w:w="120" w:type="dxa"/>
            <w:vMerge w:val="continue"/>
            <w:tcBorders/>
            <w:vAlign w:val="center"/>
          </w:tcPr>
          <w:p>
            <w:pPr>
              <w:pStyle w:val="Normal"/>
              <w:bidi w:val="0"/>
              <w:jc w:val="left"/>
              <w:rPr/>
            </w:pPr>
            <w:r>
              <w:rPr/>
            </w:r>
          </w:p>
        </w:tc>
        <w:tc>
          <w:tcPr>
            <w:tcW w:w="7623" w:type="dxa"/>
            <w:vMerge w:val="continue"/>
            <w:tcBorders>
              <w:right w:val="single" w:sz="6" w:space="0" w:color="000000"/>
            </w:tcBorders>
            <w:tcMar>
              <w:right w:w="40" w:type="dxa"/>
            </w:tcMar>
            <w:vAlign w:val="center"/>
          </w:tcPr>
          <w:p>
            <w:pPr>
              <w:pStyle w:val="Normal"/>
              <w:bidi w:val="0"/>
              <w:jc w:val="left"/>
              <w:rPr/>
            </w:pPr>
            <w:r>
              <w:rPr/>
            </w:r>
          </w:p>
        </w:tc>
      </w:tr>
      <w:tr>
        <w:trPr/>
        <w:tc>
          <w:tcPr>
            <w:tcW w:w="246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Skills and Qualifications</w:t>
            </w:r>
          </w:p>
          <w:p>
            <w:pPr>
              <w:pStyle w:val="TableContents"/>
              <w:bidi w:val="0"/>
              <w:spacing w:before="0" w:after="0"/>
              <w:jc w:val="left"/>
              <w:rPr/>
            </w:pPr>
            <w:r>
              <w:rPr/>
              <w:t>•   </w:t>
            </w:r>
            <w:r>
              <w:rPr>
                <w:rFonts w:ascii="arial" w:hAnsi="arial"/>
                <w:sz w:val="18"/>
              </w:rPr>
              <w:t>International</w:t>
            </w:r>
          </w:p>
          <w:p>
            <w:pPr>
              <w:pStyle w:val="TableContents"/>
              <w:bidi w:val="0"/>
              <w:spacing w:before="0" w:after="0"/>
              <w:jc w:val="left"/>
              <w:rPr/>
            </w:pPr>
            <w:r>
              <w:rPr/>
              <w:t>•   </w:t>
            </w:r>
            <w:r>
              <w:rPr>
                <w:rFonts w:ascii="arial" w:hAnsi="arial"/>
                <w:sz w:val="18"/>
              </w:rPr>
              <w:t>B2B Services</w:t>
            </w:r>
          </w:p>
          <w:p>
            <w:pPr>
              <w:pStyle w:val="TableContents"/>
              <w:bidi w:val="0"/>
              <w:spacing w:before="0" w:after="0"/>
              <w:jc w:val="left"/>
              <w:rPr/>
            </w:pPr>
            <w:r>
              <w:rPr/>
              <w:t>•   </w:t>
            </w:r>
            <w:r>
              <w:rPr>
                <w:rFonts w:ascii="arial" w:hAnsi="arial"/>
                <w:sz w:val="18"/>
              </w:rPr>
              <w:t>ESG</w:t>
            </w:r>
          </w:p>
          <w:p>
            <w:pPr>
              <w:pStyle w:val="TableContents"/>
              <w:bidi w:val="0"/>
              <w:spacing w:before="0" w:after="0"/>
              <w:jc w:val="left"/>
              <w:rPr/>
            </w:pPr>
            <w:r>
              <w:rPr/>
              <w:t>•   </w:t>
            </w:r>
            <w:r>
              <w:rPr>
                <w:rFonts w:ascii="arial" w:hAnsi="arial"/>
                <w:sz w:val="18"/>
              </w:rPr>
              <w:t>Marketing/Sales</w:t>
            </w:r>
          </w:p>
          <w:p>
            <w:pPr>
              <w:pStyle w:val="TableContents"/>
              <w:bidi w:val="0"/>
              <w:spacing w:before="0" w:after="20"/>
              <w:jc w:val="left"/>
              <w:rPr/>
            </w:pPr>
            <w:r>
              <w:rPr/>
              <w:t>•   </w:t>
            </w:r>
            <w:r>
              <w:rPr>
                <w:rFonts w:ascii="arial" w:hAnsi="arial"/>
                <w:sz w:val="18"/>
              </w:rPr>
              <w:t>Technology</w:t>
            </w:r>
          </w:p>
        </w:tc>
        <w:tc>
          <w:tcPr>
            <w:tcW w:w="120" w:type="dxa"/>
            <w:vMerge w:val="continue"/>
            <w:tcBorders/>
            <w:vAlign w:val="center"/>
          </w:tcPr>
          <w:p>
            <w:pPr>
              <w:pStyle w:val="Normal"/>
              <w:bidi w:val="0"/>
              <w:jc w:val="left"/>
              <w:rPr/>
            </w:pPr>
            <w:r>
              <w:rPr/>
            </w:r>
          </w:p>
        </w:tc>
        <w:tc>
          <w:tcPr>
            <w:tcW w:w="7623" w:type="dxa"/>
            <w:vMerge w:val="continue"/>
            <w:tcBorders>
              <w:right w:val="single" w:sz="6" w:space="0" w:color="000000"/>
            </w:tcBorders>
            <w:tcMar>
              <w:right w:w="40" w:type="dxa"/>
            </w:tcMar>
            <w:vAlign w:val="center"/>
          </w:tcPr>
          <w:p>
            <w:pPr>
              <w:pStyle w:val="Normal"/>
              <w:bidi w:val="0"/>
              <w:jc w:val="left"/>
              <w:rPr/>
            </w:pPr>
            <w:r>
              <w:rPr/>
            </w:r>
          </w:p>
        </w:tc>
      </w:tr>
      <w:tr>
        <w:trPr/>
        <w:tc>
          <w:tcPr>
            <w:tcW w:w="246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r>
              <w:rPr>
                <w:rFonts w:ascii="arial" w:hAnsi="arial"/>
                <w:sz w:val="18"/>
              </w:rPr>
              <w:t>Risk and Strategy</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623"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tc>
      </w:tr>
      <w:tr>
        <w:trPr/>
        <w:tc>
          <w:tcPr>
            <w:tcW w:w="2462"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23"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w:hAnsi="arial"/>
                <w:b/>
                <w:sz w:val="18"/>
              </w:rPr>
              <w:t>CEO,</w:t>
            </w:r>
            <w:r>
              <w:rPr>
                <w:rFonts w:ascii="arial" w:hAnsi="arial"/>
                <w:sz w:val="18"/>
              </w:rPr>
              <w:t xml:space="preserve"> cleverbridge GmbH (2021 – Present)</w:t>
            </w:r>
          </w:p>
          <w:p>
            <w:pPr>
              <w:pStyle w:val="TableContents"/>
              <w:bidi w:val="0"/>
              <w:spacing w:before="0" w:after="0"/>
              <w:jc w:val="left"/>
              <w:rPr/>
            </w:pPr>
            <w:r>
              <w:rPr/>
              <w:t>•   </w:t>
            </w:r>
            <w:r>
              <w:rPr>
                <w:rFonts w:ascii="arial" w:hAnsi="arial"/>
                <w:b/>
                <w:sz w:val="18"/>
              </w:rPr>
              <w:t xml:space="preserve">President, </w:t>
            </w:r>
            <w:r>
              <w:rPr>
                <w:rFonts w:ascii="arial" w:hAnsi="arial"/>
                <w:sz w:val="18"/>
              </w:rPr>
              <w:t>Lyte, a ticketing sales platform (2021)</w:t>
            </w:r>
          </w:p>
          <w:p>
            <w:pPr>
              <w:pStyle w:val="TableContents"/>
              <w:bidi w:val="0"/>
              <w:spacing w:before="0" w:after="0"/>
              <w:jc w:val="left"/>
              <w:rPr/>
            </w:pPr>
            <w:r>
              <w:rPr/>
              <w:t>•   </w:t>
            </w:r>
            <w:r>
              <w:rPr>
                <w:rFonts w:ascii="arial" w:hAnsi="arial"/>
                <w:b/>
                <w:sz w:val="18"/>
              </w:rPr>
              <w:t xml:space="preserve">Various leadership roles, </w:t>
            </w:r>
            <w:r>
              <w:rPr>
                <w:rFonts w:ascii="arial" w:hAnsi="arial"/>
                <w:sz w:val="18"/>
              </w:rPr>
              <w:t>Yext, Inc. (2011 – 2022)</w:t>
            </w:r>
          </w:p>
          <w:p>
            <w:pPr>
              <w:pStyle w:val="TableContents"/>
              <w:bidi w:val="0"/>
              <w:spacing w:before="0" w:after="0"/>
              <w:jc w:val="left"/>
              <w:rPr/>
            </w:pPr>
            <w:r>
              <w:rPr/>
              <w:t>•   </w:t>
            </w:r>
            <w:r>
              <w:rPr>
                <w:rFonts w:ascii="arial" w:hAnsi="arial"/>
                <w:sz w:val="18"/>
              </w:rPr>
              <w:t>Strategic Advisor (2020 – 2022)</w:t>
            </w:r>
          </w:p>
          <w:p>
            <w:pPr>
              <w:pStyle w:val="TableContents"/>
              <w:bidi w:val="0"/>
              <w:spacing w:before="0" w:after="0"/>
              <w:jc w:val="left"/>
              <w:rPr/>
            </w:pPr>
            <w:r>
              <w:rPr/>
              <w:t>•   </w:t>
            </w:r>
            <w:r>
              <w:rPr>
                <w:rFonts w:ascii="arial" w:hAnsi="arial"/>
                <w:sz w:val="18"/>
              </w:rPr>
              <w:t>CEO, Europe (2019 – 2020)</w:t>
            </w:r>
          </w:p>
          <w:p>
            <w:pPr>
              <w:pStyle w:val="TableContents"/>
              <w:bidi w:val="0"/>
              <w:spacing w:before="0" w:after="0"/>
              <w:jc w:val="left"/>
              <w:rPr/>
            </w:pPr>
            <w:r>
              <w:rPr/>
              <w:t>•   </w:t>
            </w:r>
            <w:r>
              <w:rPr>
                <w:rFonts w:ascii="arial" w:hAnsi="arial"/>
                <w:sz w:val="18"/>
              </w:rPr>
              <w:t>Chief Client Officer (2017 – 2019)</w:t>
            </w:r>
          </w:p>
          <w:p>
            <w:pPr>
              <w:pStyle w:val="TableContents"/>
              <w:bidi w:val="0"/>
              <w:spacing w:before="0" w:after="0"/>
              <w:jc w:val="left"/>
              <w:rPr/>
            </w:pPr>
            <w:r>
              <w:rPr/>
              <w:t>•   </w:t>
            </w:r>
            <w:r>
              <w:rPr>
                <w:rFonts w:ascii="arial" w:hAnsi="arial"/>
                <w:sz w:val="18"/>
              </w:rPr>
              <w:t>Senior Vice President of Sales and Services (2011 – 2017)</w:t>
            </w:r>
          </w:p>
          <w:p>
            <w:pPr>
              <w:pStyle w:val="TableContents"/>
              <w:bidi w:val="0"/>
              <w:spacing w:before="0" w:after="0"/>
              <w:jc w:val="left"/>
              <w:rPr/>
            </w:pPr>
            <w:r>
              <w:rPr/>
              <w:t>•   </w:t>
            </w:r>
            <w:r>
              <w:rPr>
                <w:rFonts w:ascii="arial" w:hAnsi="arial"/>
                <w:b/>
                <w:sz w:val="18"/>
              </w:rPr>
              <w:t xml:space="preserve">Various leadership roles, </w:t>
            </w:r>
            <w:r>
              <w:rPr>
                <w:rFonts w:ascii="arial" w:hAnsi="arial"/>
                <w:sz w:val="18"/>
              </w:rPr>
              <w:t>Yahoo!</w:t>
            </w:r>
          </w:p>
          <w:p>
            <w:pPr>
              <w:pStyle w:val="TableContents"/>
              <w:bidi w:val="0"/>
              <w:spacing w:before="0" w:after="0"/>
              <w:jc w:val="left"/>
              <w:rPr/>
            </w:pPr>
            <w:r>
              <w:rPr/>
              <w:t>•   </w:t>
            </w:r>
            <w:r>
              <w:rPr>
                <w:rFonts w:ascii="arial" w:hAnsi="arial"/>
                <w:sz w:val="18"/>
              </w:rPr>
              <w:t>Vice President, North America Account Management, (2010 – 2011)</w:t>
            </w:r>
          </w:p>
          <w:p>
            <w:pPr>
              <w:pStyle w:val="TableContents"/>
              <w:bidi w:val="0"/>
              <w:spacing w:before="0" w:after="0"/>
              <w:jc w:val="left"/>
              <w:rPr/>
            </w:pPr>
            <w:r>
              <w:rPr/>
              <w:t>•   </w:t>
            </w:r>
            <w:r>
              <w:rPr>
                <w:rFonts w:ascii="arial" w:hAnsi="arial"/>
                <w:sz w:val="18"/>
              </w:rPr>
              <w:t>Vice President, Partner Management Group (2007 – 2010)</w:t>
            </w:r>
          </w:p>
          <w:p>
            <w:pPr>
              <w:pStyle w:val="TableContents"/>
              <w:bidi w:val="0"/>
              <w:spacing w:before="0" w:after="0"/>
              <w:jc w:val="left"/>
              <w:rPr/>
            </w:pPr>
            <w:r>
              <w:rPr/>
              <w:t>•   </w:t>
            </w:r>
            <w:r>
              <w:rPr>
                <w:rFonts w:ascii="arial" w:hAnsi="arial"/>
                <w:b/>
                <w:sz w:val="18"/>
              </w:rPr>
              <w:t>Regional Vice President,</w:t>
            </w:r>
            <w:r>
              <w:rPr>
                <w:rFonts w:ascii="arial" w:hAnsi="arial"/>
                <w:sz w:val="18"/>
              </w:rPr>
              <w:t xml:space="preserve"> Oracle (2005 – 2006)</w:t>
            </w:r>
          </w:p>
          <w:p>
            <w:pPr>
              <w:pStyle w:val="TableContents"/>
              <w:bidi w:val="0"/>
              <w:spacing w:before="0" w:after="0"/>
              <w:jc w:val="left"/>
              <w:rPr/>
            </w:pPr>
            <w:r>
              <w:rPr/>
              <w:t>•   </w:t>
            </w:r>
            <w:r>
              <w:rPr>
                <w:rFonts w:ascii="arial" w:hAnsi="arial"/>
                <w:b/>
                <w:sz w:val="18"/>
              </w:rPr>
              <w:t>Senior Manager, Media and Entertainment,</w:t>
            </w:r>
            <w:r>
              <w:rPr>
                <w:rFonts w:ascii="arial" w:hAnsi="arial"/>
                <w:sz w:val="18"/>
              </w:rPr>
              <w:t xml:space="preserve"> Price Waterhouse (1990 – 1998)</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Experience</w:t>
            </w:r>
          </w:p>
          <w:p>
            <w:pPr>
              <w:pStyle w:val="TableContents"/>
              <w:bidi w:val="0"/>
              <w:spacing w:before="0" w:after="0"/>
              <w:jc w:val="left"/>
              <w:rPr/>
            </w:pPr>
            <w:r>
              <w:rPr/>
              <w:t>•   </w:t>
            </w:r>
            <w:r>
              <w:rPr>
                <w:rFonts w:ascii="arial" w:hAnsi="arial"/>
                <w:sz w:val="18"/>
              </w:rPr>
              <w:t>The Container Store Group, Inc. (2019 – 2025)</w:t>
            </w:r>
          </w:p>
          <w:p>
            <w:pPr>
              <w:pStyle w:val="TableContents"/>
              <w:bidi w:val="0"/>
              <w:spacing w:before="0" w:after="0"/>
              <w:jc w:val="left"/>
              <w:rPr/>
            </w:pPr>
            <w:r>
              <w:rPr/>
              <w:t>•   </w:t>
            </w:r>
            <w:r>
              <w:rPr>
                <w:rFonts w:ascii="arial" w:hAnsi="arial"/>
                <w:sz w:val="18"/>
              </w:rPr>
              <w:t>TPG Pace Solutions Corporation (2020 – 2021)</w:t>
            </w:r>
          </w:p>
          <w:p>
            <w:pPr>
              <w:pStyle w:val="TableContents"/>
              <w:bidi w:val="0"/>
              <w:spacing w:before="0" w:after="0"/>
              <w:jc w:val="left"/>
              <w:rPr/>
            </w:pPr>
            <w:r>
              <w:rPr/>
              <w:t>•   </w:t>
            </w:r>
            <w:r>
              <w:rPr>
                <w:rFonts w:ascii="arial" w:hAnsi="arial"/>
                <w:sz w:val="18"/>
              </w:rPr>
              <w:t>Pace II, TPG Pace Solutions Corporation (2020 – 2021)</w:t>
            </w:r>
          </w:p>
          <w:p>
            <w:pPr>
              <w:pStyle w:val="TableContents"/>
              <w:bidi w:val="0"/>
              <w:spacing w:before="0" w:after="20"/>
              <w:jc w:val="left"/>
              <w:rPr/>
            </w:pPr>
            <w:r>
              <w:rPr/>
              <w:t>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2"/>
        <w:gridCol w:w="120"/>
        <w:gridCol w:w="7633"/>
      </w:tblGrid>
      <w:tr>
        <w:trPr/>
        <w:tc>
          <w:tcPr>
            <w:tcW w:w="24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33" w:type="dxa"/>
            <w:tcBorders/>
            <w:vAlign w:val="center"/>
          </w:tcPr>
          <w:p>
            <w:pPr>
              <w:pStyle w:val="TableContents"/>
              <w:bidi w:val="0"/>
              <w:spacing w:before="0" w:after="283"/>
              <w:jc w:val="left"/>
              <w:rPr>
                <w:sz w:val="4"/>
                <w:szCs w:val="4"/>
              </w:rPr>
            </w:pPr>
            <w:r>
              <w:rPr>
                <w:sz w:val="4"/>
                <w:szCs w:val="4"/>
              </w:rPr>
            </w:r>
          </w:p>
        </w:tc>
      </w:tr>
      <w:tr>
        <w:trPr/>
        <w:tc>
          <w:tcPr>
            <w:tcW w:w="2452" w:type="dxa"/>
            <w:vMerge w:val="restart"/>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541145" cy="175831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541145" cy="1758315"/>
                          </a:xfrm>
                          <a:prstGeom prst="rect">
                            <a:avLst/>
                          </a:prstGeom>
                        </pic:spPr>
                      </pic:pic>
                    </a:graphicData>
                  </a:graphic>
                </wp:inline>
              </w:drawing>
            </w:r>
            <w:r>
              <w:rPr/>
              <w:t xml:space="preserve">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633"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center"/>
              <w:rPr>
                <w:rFonts w:ascii="arial" w:hAnsi="arial"/>
                <w:b/>
                <w:sz w:val="18"/>
              </w:rPr>
            </w:pPr>
            <w:r>
              <w:rPr>
                <w:rFonts w:ascii="arial" w:hAnsi="arial"/>
                <w:b/>
                <w:sz w:val="18"/>
              </w:rPr>
              <w:t>ASHAN WILLY | Candidate for Independent Director</w:t>
            </w:r>
          </w:p>
          <w:p>
            <w:pPr>
              <w:pStyle w:val="TableContents"/>
              <w:bidi w:val="0"/>
              <w:spacing w:before="0" w:after="20"/>
              <w:jc w:val="left"/>
              <w:rPr/>
            </w:pPr>
            <w:r>
              <w:rPr/>
              <w:t> </w:t>
            </w:r>
          </w:p>
        </w:tc>
      </w:tr>
      <w:tr>
        <w:trPr/>
        <w:tc>
          <w:tcPr>
            <w:tcW w:w="2452" w:type="dxa"/>
            <w:vMerge w:val="continue"/>
            <w:tcBorders>
              <w:top w:val="single" w:sz="6" w:space="0" w:color="000000"/>
              <w:left w:val="single" w:sz="6" w:space="0" w:color="000000"/>
              <w:right w:val="single" w:sz="6" w:space="0" w:color="000000"/>
            </w:tcBorders>
            <w:tcMar>
              <w:top w:w="28" w:type="dxa"/>
              <w:left w:w="160"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633" w:type="dxa"/>
            <w:tcBorders>
              <w:right w:val="single" w:sz="6" w:space="0" w:color="000000"/>
            </w:tcBorders>
            <w:tcMar>
              <w:right w:w="40" w:type="dxa"/>
            </w:tcMar>
            <w:vAlign w:val="center"/>
          </w:tcPr>
          <w:p>
            <w:pPr>
              <w:pStyle w:val="TableContents"/>
              <w:bidi w:val="0"/>
              <w:spacing w:before="0" w:after="0"/>
              <w:jc w:val="left"/>
              <w:rPr>
                <w:rFonts w:ascii="arial" w:hAnsi="arial"/>
                <w:b/>
                <w:sz w:val="18"/>
              </w:rPr>
            </w:pPr>
            <w:r>
              <w:rPr>
                <w:rFonts w:ascii="arial" w:hAnsi="arial"/>
                <w:b/>
                <w:sz w:val="18"/>
              </w:rPr>
              <w:t>Relevant Expertise</w:t>
            </w:r>
          </w:p>
          <w:p>
            <w:pPr>
              <w:pStyle w:val="TableContents"/>
              <w:bidi w:val="0"/>
              <w:spacing w:before="0" w:after="0"/>
              <w:jc w:val="left"/>
              <w:rPr/>
            </w:pPr>
            <w:r>
              <w:rPr/>
              <w:t>•   </w:t>
            </w:r>
            <w:r>
              <w:rPr>
                <w:rFonts w:ascii="arial" w:hAnsi="arial"/>
                <w:b/>
                <w:sz w:val="18"/>
              </w:rPr>
              <w:t>SaaS company leader.</w:t>
            </w:r>
            <w:r>
              <w:rPr>
                <w:rFonts w:ascii="arial" w:hAnsi="arial"/>
                <w:sz w:val="18"/>
              </w:rPr>
              <w:t xml:space="preserve"> Since 2023, Mr. Willy has served as CEO of New Relic, Inc., a SaaS company that delivers a software platform for customers to collect telemetry data and derive insights from that data in a unified front end application. In his role, he is responsible for leading the company into the future in support of its customers, users, and their success.</w:t>
            </w:r>
          </w:p>
          <w:p>
            <w:pPr>
              <w:pStyle w:val="TableContents"/>
              <w:bidi w:val="0"/>
              <w:spacing w:before="0" w:after="20"/>
              <w:jc w:val="left"/>
              <w:rPr/>
            </w:pPr>
            <w:r>
              <w:rPr/>
              <w:t>•   </w:t>
            </w:r>
            <w:r>
              <w:rPr>
                <w:rFonts w:ascii="arial" w:hAnsi="arial"/>
                <w:b/>
                <w:sz w:val="18"/>
              </w:rPr>
              <w:t>Broad</w:t>
            </w:r>
            <w:r>
              <w:rPr>
                <w:rFonts w:ascii="arial" w:hAnsi="arial"/>
                <w:sz w:val="18"/>
              </w:rPr>
              <w:t xml:space="preserve"> </w:t>
            </w:r>
            <w:r>
              <w:rPr>
                <w:rFonts w:ascii="arial" w:hAnsi="arial"/>
                <w:b/>
                <w:sz w:val="18"/>
              </w:rPr>
              <w:t>leadership experience.</w:t>
            </w:r>
            <w:r>
              <w:rPr>
                <w:rFonts w:ascii="arial" w:hAnsi="arial"/>
                <w:sz w:val="18"/>
              </w:rPr>
              <w:t xml:space="preserve"> Mr. Willy has significant leadership experience in sales, channel development, engineering, product management, customer success, and worldwide go-to-market strategy across global markets. As CEO of Proofpoint, he directed a global workforce of over 4,000 employees focused on defending organizations from advance threats and compliance risks by protecting their people, and in turn, safeguarding their data, business, and reputation.</w:t>
            </w:r>
          </w:p>
        </w:tc>
      </w:tr>
      <w:tr>
        <w:trPr/>
        <w:tc>
          <w:tcPr>
            <w:tcW w:w="245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b/>
                <w:sz w:val="17"/>
              </w:rPr>
              <w:t xml:space="preserve">Director since: </w:t>
            </w:r>
            <w:r>
              <w:rPr>
                <w:rFonts w:ascii="arial" w:hAnsi="arial"/>
                <w:sz w:val="17"/>
              </w:rPr>
              <w:t>2023</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7633" w:type="dxa"/>
            <w:vMerge w:val="restart"/>
            <w:tcBorders>
              <w:right w:val="single" w:sz="6" w:space="0" w:color="000000"/>
            </w:tcBorders>
            <w:tcMar>
              <w:right w:w="40" w:type="dxa"/>
            </w:tcMar>
            <w:vAlign w:val="center"/>
          </w:tcPr>
          <w:p>
            <w:pPr>
              <w:pStyle w:val="TableContents"/>
              <w:bidi w:val="0"/>
              <w:spacing w:before="0" w:after="0"/>
              <w:jc w:val="left"/>
              <w:rPr/>
            </w:pPr>
            <w:r>
              <w:rPr/>
              <w:t>•   </w:t>
            </w:r>
            <w:r>
              <w:rPr>
                <w:rFonts w:ascii="arial" w:hAnsi="arial"/>
                <w:b/>
                <w:sz w:val="18"/>
              </w:rPr>
              <w:t xml:space="preserve">Cybersecurity and cloud responsibilities. </w:t>
            </w:r>
            <w:r>
              <w:rPr>
                <w:rFonts w:ascii="arial" w:hAnsi="arial"/>
                <w:sz w:val="18"/>
              </w:rPr>
              <w:t>Before serving as Proofpoint’s CEO, he was General Manager of Security Product and Services Group. In this role, he was responsible for the strategy, research and development, and go-to-market of Proofpoint’s cloud-based core product lines including email, threat intelligence and detection, authentication, and response. Additionally, he was responsible for Premium and Professional Services across all product lines.</w:t>
            </w:r>
          </w:p>
        </w:tc>
      </w:tr>
      <w:tr>
        <w:trPr/>
        <w:tc>
          <w:tcPr>
            <w:tcW w:w="245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Principal Occupation</w:t>
            </w:r>
          </w:p>
          <w:p>
            <w:pPr>
              <w:pStyle w:val="TableContents"/>
              <w:bidi w:val="0"/>
              <w:spacing w:before="0" w:after="0"/>
              <w:jc w:val="left"/>
              <w:rPr>
                <w:rFonts w:ascii="arial" w:hAnsi="arial"/>
                <w:i/>
                <w:sz w:val="17"/>
              </w:rPr>
            </w:pPr>
            <w:r>
              <w:rPr>
                <w:rFonts w:ascii="arial" w:hAnsi="arial"/>
                <w:i/>
                <w:sz w:val="17"/>
              </w:rPr>
              <w:t>CEO of New Relic, Inc.</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633" w:type="dxa"/>
            <w:vMerge w:val="continue"/>
            <w:tcBorders>
              <w:right w:val="single" w:sz="6" w:space="0" w:color="000000"/>
            </w:tcBorders>
            <w:tcMar>
              <w:right w:w="40" w:type="dxa"/>
            </w:tcMar>
            <w:vAlign w:val="center"/>
          </w:tcPr>
          <w:p>
            <w:pPr>
              <w:pStyle w:val="Normal"/>
              <w:bidi w:val="0"/>
              <w:jc w:val="left"/>
              <w:rPr/>
            </w:pPr>
            <w:r>
              <w:rPr/>
            </w:r>
          </w:p>
        </w:tc>
      </w:tr>
      <w:tr>
        <w:trPr/>
        <w:tc>
          <w:tcPr>
            <w:tcW w:w="245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b/>
                <w:sz w:val="17"/>
              </w:rPr>
              <w:t xml:space="preserve">Age: </w:t>
            </w:r>
            <w:r>
              <w:rPr>
                <w:rFonts w:ascii="arial" w:hAnsi="arial"/>
                <w:sz w:val="17"/>
              </w:rPr>
              <w:t>53</w:t>
            </w:r>
          </w:p>
        </w:tc>
        <w:tc>
          <w:tcPr>
            <w:tcW w:w="120" w:type="dxa"/>
            <w:vMerge w:val="continue"/>
            <w:tcBorders/>
            <w:vAlign w:val="center"/>
          </w:tcPr>
          <w:p>
            <w:pPr>
              <w:pStyle w:val="Normal"/>
              <w:bidi w:val="0"/>
              <w:jc w:val="left"/>
              <w:rPr/>
            </w:pPr>
            <w:r>
              <w:rPr/>
            </w:r>
          </w:p>
        </w:tc>
        <w:tc>
          <w:tcPr>
            <w:tcW w:w="7633" w:type="dxa"/>
            <w:vMerge w:val="continue"/>
            <w:tcBorders>
              <w:right w:val="single" w:sz="6" w:space="0" w:color="000000"/>
            </w:tcBorders>
            <w:tcMar>
              <w:right w:w="40" w:type="dxa"/>
            </w:tcMar>
            <w:vAlign w:val="center"/>
          </w:tcPr>
          <w:p>
            <w:pPr>
              <w:pStyle w:val="Normal"/>
              <w:bidi w:val="0"/>
              <w:jc w:val="left"/>
              <w:rPr/>
            </w:pPr>
            <w:r>
              <w:rPr/>
            </w:r>
          </w:p>
        </w:tc>
      </w:tr>
      <w:tr>
        <w:trPr/>
        <w:tc>
          <w:tcPr>
            <w:tcW w:w="245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7"/>
              </w:rPr>
            </w:pPr>
            <w:r>
              <w:rPr>
                <w:rFonts w:ascii="arial" w:hAnsi="arial"/>
                <w:b/>
                <w:sz w:val="17"/>
              </w:rPr>
              <w:t>Skills and Qualifications</w:t>
            </w:r>
          </w:p>
        </w:tc>
        <w:tc>
          <w:tcPr>
            <w:tcW w:w="120" w:type="dxa"/>
            <w:vMerge w:val="continue"/>
            <w:tcBorders/>
            <w:vAlign w:val="center"/>
          </w:tcPr>
          <w:p>
            <w:pPr>
              <w:pStyle w:val="Normal"/>
              <w:bidi w:val="0"/>
              <w:jc w:val="left"/>
              <w:rPr/>
            </w:pPr>
            <w:r>
              <w:rPr/>
            </w:r>
          </w:p>
        </w:tc>
        <w:tc>
          <w:tcPr>
            <w:tcW w:w="7633" w:type="dxa"/>
            <w:vMerge w:val="continue"/>
            <w:tcBorders>
              <w:right w:val="single" w:sz="6" w:space="0" w:color="000000"/>
            </w:tcBorders>
            <w:tcMar>
              <w:right w:w="40" w:type="dxa"/>
            </w:tcMar>
            <w:vAlign w:val="center"/>
          </w:tcPr>
          <w:p>
            <w:pPr>
              <w:pStyle w:val="Normal"/>
              <w:bidi w:val="0"/>
              <w:jc w:val="left"/>
              <w:rPr/>
            </w:pPr>
            <w:r>
              <w:rPr/>
            </w:r>
          </w:p>
        </w:tc>
      </w:tr>
      <w:tr>
        <w:trPr/>
        <w:tc>
          <w:tcPr>
            <w:tcW w:w="2452" w:type="dxa"/>
            <w:tcBorders>
              <w:left w:val="single" w:sz="6" w:space="0" w:color="000000"/>
              <w:right w:val="single" w:sz="6" w:space="0" w:color="000000"/>
            </w:tcBorders>
            <w:tcMar>
              <w:left w:w="160" w:type="dxa"/>
              <w:right w:w="28" w:type="dxa"/>
            </w:tcMar>
            <w:vAlign w:val="center"/>
          </w:tcPr>
          <w:p>
            <w:pPr>
              <w:pStyle w:val="TableContents"/>
              <w:bidi w:val="0"/>
              <w:spacing w:before="0" w:after="0"/>
              <w:jc w:val="left"/>
              <w:rPr/>
            </w:pPr>
            <w:r>
              <w:rPr/>
              <w:t>•   </w:t>
            </w:r>
            <w:r>
              <w:rPr>
                <w:rFonts w:ascii="arial" w:hAnsi="arial"/>
                <w:sz w:val="18"/>
              </w:rPr>
              <w:t>International</w:t>
            </w:r>
          </w:p>
          <w:p>
            <w:pPr>
              <w:pStyle w:val="TableContents"/>
              <w:bidi w:val="0"/>
              <w:spacing w:before="0" w:after="0"/>
              <w:jc w:val="left"/>
              <w:rPr/>
            </w:pPr>
            <w:r>
              <w:rPr/>
              <w:t>•   </w:t>
            </w:r>
            <w:r>
              <w:rPr>
                <w:rFonts w:ascii="arial" w:hAnsi="arial"/>
                <w:sz w:val="18"/>
              </w:rPr>
              <w:t>B2B Services</w:t>
            </w:r>
          </w:p>
          <w:p>
            <w:pPr>
              <w:pStyle w:val="TableContents"/>
              <w:bidi w:val="0"/>
              <w:spacing w:before="0" w:after="0"/>
              <w:jc w:val="left"/>
              <w:rPr/>
            </w:pPr>
            <w:r>
              <w:rPr/>
              <w:t>•   </w:t>
            </w:r>
            <w:r>
              <w:rPr>
                <w:rFonts w:ascii="arial" w:hAnsi="arial"/>
                <w:sz w:val="18"/>
              </w:rPr>
              <w:t>Marketing/Sales</w:t>
            </w:r>
          </w:p>
          <w:p>
            <w:pPr>
              <w:pStyle w:val="TableContents"/>
              <w:bidi w:val="0"/>
              <w:spacing w:before="0" w:after="0"/>
              <w:jc w:val="left"/>
              <w:rPr/>
            </w:pPr>
            <w:r>
              <w:rPr/>
              <w:t>•   </w:t>
            </w:r>
            <w:r>
              <w:rPr>
                <w:rFonts w:ascii="arial" w:hAnsi="arial"/>
                <w:sz w:val="18"/>
              </w:rPr>
              <w:t>Technology</w:t>
            </w:r>
          </w:p>
          <w:p>
            <w:pPr>
              <w:pStyle w:val="TableContents"/>
              <w:bidi w:val="0"/>
              <w:spacing w:before="0" w:after="0"/>
              <w:jc w:val="left"/>
              <w:rPr/>
            </w:pPr>
            <w:r>
              <w:rPr/>
              <w:t>•   </w:t>
            </w:r>
            <w:r>
              <w:rPr>
                <w:rFonts w:ascii="arial" w:hAnsi="arial"/>
                <w:sz w:val="18"/>
              </w:rPr>
              <w:t>Operations</w:t>
            </w:r>
          </w:p>
          <w:p>
            <w:pPr>
              <w:pStyle w:val="TableContents"/>
              <w:bidi w:val="0"/>
              <w:spacing w:before="0" w:after="20"/>
              <w:jc w:val="left"/>
              <w:rPr/>
            </w:pPr>
            <w:r>
              <w:rPr/>
              <w:t>•   </w:t>
            </w:r>
            <w:r>
              <w:rPr>
                <w:rFonts w:ascii="arial" w:hAnsi="arial"/>
                <w:sz w:val="18"/>
              </w:rPr>
              <w:t>Risk and Strategy</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7633"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rFonts w:ascii="arial" w:hAnsi="arial"/>
                <w:b/>
                <w:sz w:val="18"/>
              </w:rPr>
            </w:pPr>
            <w:r>
              <w:rPr>
                <w:rFonts w:ascii="arial" w:hAnsi="arial"/>
                <w:b/>
                <w:sz w:val="18"/>
              </w:rPr>
              <w:t>Business Experience Highlights</w:t>
            </w:r>
          </w:p>
          <w:p>
            <w:pPr>
              <w:pStyle w:val="TableContents"/>
              <w:bidi w:val="0"/>
              <w:spacing w:before="0" w:after="0"/>
              <w:jc w:val="left"/>
              <w:rPr/>
            </w:pPr>
            <w:r>
              <w:rPr/>
              <w:t>•   </w:t>
            </w:r>
            <w:r>
              <w:rPr>
                <w:rFonts w:ascii="arial" w:hAnsi="arial"/>
                <w:b/>
                <w:sz w:val="18"/>
              </w:rPr>
              <w:t>CEO,</w:t>
            </w:r>
            <w:r>
              <w:rPr>
                <w:rFonts w:ascii="arial" w:hAnsi="arial"/>
                <w:sz w:val="18"/>
              </w:rPr>
              <w:t xml:space="preserve"> New Relic, Inc. (2023 – Present)</w:t>
            </w:r>
          </w:p>
          <w:p>
            <w:pPr>
              <w:pStyle w:val="TableContents"/>
              <w:bidi w:val="0"/>
              <w:spacing w:before="0" w:after="0"/>
              <w:jc w:val="left"/>
              <w:rPr/>
            </w:pPr>
            <w:r>
              <w:rPr/>
              <w:t>•   </w:t>
            </w:r>
            <w:r>
              <w:rPr>
                <w:rFonts w:ascii="arial" w:hAnsi="arial"/>
                <w:b/>
                <w:sz w:val="18"/>
              </w:rPr>
              <w:t xml:space="preserve">Various leadership roles, </w:t>
            </w:r>
            <w:r>
              <w:rPr>
                <w:rFonts w:ascii="arial" w:hAnsi="arial"/>
                <w:sz w:val="18"/>
              </w:rPr>
              <w:t>Proofpoint, Inc. (2016 – 2023)</w:t>
            </w:r>
          </w:p>
          <w:p>
            <w:pPr>
              <w:pStyle w:val="TableContents"/>
              <w:bidi w:val="0"/>
              <w:spacing w:before="0" w:after="0"/>
              <w:jc w:val="left"/>
              <w:rPr/>
            </w:pPr>
            <w:r>
              <w:rPr/>
              <w:t>•   </w:t>
            </w:r>
            <w:r>
              <w:rPr>
                <w:rFonts w:ascii="arial" w:hAnsi="arial"/>
                <w:sz w:val="18"/>
              </w:rPr>
              <w:t>CEO (2022 – 2023)</w:t>
            </w:r>
          </w:p>
          <w:p>
            <w:pPr>
              <w:pStyle w:val="TableContents"/>
              <w:bidi w:val="0"/>
              <w:spacing w:before="0" w:after="20"/>
              <w:jc w:val="left"/>
              <w:rPr/>
            </w:pPr>
            <w:r>
              <w:rPr/>
              <w:t>•   </w:t>
            </w:r>
            <w:r>
              <w:rPr>
                <w:rFonts w:ascii="arial" w:hAnsi="arial"/>
                <w:sz w:val="18"/>
              </w:rPr>
              <w:t>Executive Vice President, General Manager, Security Product and Services Group (2020 – 2022)</w:t>
            </w:r>
          </w:p>
        </w:tc>
      </w:tr>
      <w:tr>
        <w:trPr/>
        <w:tc>
          <w:tcPr>
            <w:tcW w:w="2452"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633"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w:hAnsi="arial"/>
                <w:sz w:val="18"/>
              </w:rPr>
              <w:t>Senior Vice President, Global Customer Success and Worldwide Systems Engineering (2016 – 2020)</w:t>
            </w:r>
          </w:p>
          <w:p>
            <w:pPr>
              <w:pStyle w:val="TableContents"/>
              <w:bidi w:val="0"/>
              <w:spacing w:before="0" w:after="0"/>
              <w:jc w:val="left"/>
              <w:rPr/>
            </w:pPr>
            <w:r>
              <w:rPr/>
              <w:t>•   </w:t>
            </w:r>
            <w:r>
              <w:rPr>
                <w:rFonts w:ascii="arial" w:hAnsi="arial"/>
                <w:b/>
                <w:sz w:val="18"/>
              </w:rPr>
              <w:t xml:space="preserve">Various leadership roles, </w:t>
            </w:r>
            <w:r>
              <w:rPr>
                <w:rFonts w:ascii="arial" w:hAnsi="arial"/>
                <w:sz w:val="18"/>
              </w:rPr>
              <w:t>Polycom (2012 – 2016)</w:t>
            </w:r>
          </w:p>
          <w:p>
            <w:pPr>
              <w:pStyle w:val="TableContents"/>
              <w:bidi w:val="0"/>
              <w:spacing w:before="0" w:after="0"/>
              <w:jc w:val="left"/>
              <w:rPr/>
            </w:pPr>
            <w:r>
              <w:rPr/>
              <w:t>•   </w:t>
            </w:r>
            <w:r>
              <w:rPr>
                <w:rFonts w:ascii="arial" w:hAnsi="arial"/>
                <w:sz w:val="18"/>
              </w:rPr>
              <w:t>Senior Vice President, Product Management, Alliances and Worldwide Systems Engineering (2013 – 2016)</w:t>
            </w:r>
          </w:p>
          <w:p>
            <w:pPr>
              <w:pStyle w:val="TableContents"/>
              <w:bidi w:val="0"/>
              <w:spacing w:before="0" w:after="0"/>
              <w:jc w:val="left"/>
              <w:rPr/>
            </w:pPr>
            <w:r>
              <w:rPr/>
              <w:t>•   </w:t>
            </w:r>
            <w:r>
              <w:rPr>
                <w:rFonts w:ascii="arial" w:hAnsi="arial"/>
                <w:sz w:val="18"/>
              </w:rPr>
              <w:t>Vice President, Worldwide Systems Engineering (2012 – 2013)</w:t>
            </w:r>
          </w:p>
          <w:p>
            <w:pPr>
              <w:pStyle w:val="TableContents"/>
              <w:bidi w:val="0"/>
              <w:spacing w:before="0" w:after="0"/>
              <w:jc w:val="left"/>
              <w:rPr/>
            </w:pPr>
            <w:r>
              <w:rPr/>
              <w:t>•   </w:t>
            </w:r>
            <w:r>
              <w:rPr>
                <w:rFonts w:ascii="arial" w:hAnsi="arial"/>
                <w:b/>
                <w:sz w:val="18"/>
              </w:rPr>
              <w:t>Vice President, Systems Engineers, Worldwide General Business,</w:t>
            </w:r>
            <w:r>
              <w:rPr>
                <w:rFonts w:ascii="arial" w:hAnsi="arial"/>
                <w:sz w:val="18"/>
              </w:rPr>
              <w:t xml:space="preserve"> Juniper Networks (2011 – 2012)</w:t>
            </w:r>
          </w:p>
          <w:p>
            <w:pPr>
              <w:pStyle w:val="TableContents"/>
              <w:bidi w:val="0"/>
              <w:spacing w:before="0" w:after="0"/>
              <w:jc w:val="left"/>
              <w:rPr/>
            </w:pPr>
            <w:r>
              <w:rPr/>
              <w:t>•   </w:t>
            </w:r>
            <w:r>
              <w:rPr>
                <w:rFonts w:ascii="arial" w:hAnsi="arial"/>
                <w:b/>
                <w:sz w:val="18"/>
              </w:rPr>
              <w:t>Various roles,</w:t>
            </w:r>
            <w:r>
              <w:rPr>
                <w:rFonts w:ascii="arial" w:hAnsi="arial"/>
                <w:sz w:val="18"/>
              </w:rPr>
              <w:t xml:space="preserve"> WebEx (Cisco Systems) (1996 – 2011)</w:t>
            </w:r>
          </w:p>
          <w:p>
            <w:pPr>
              <w:pStyle w:val="TableContents"/>
              <w:bidi w:val="0"/>
              <w:spacing w:before="0" w:after="20"/>
              <w:jc w:val="left"/>
              <w:rPr/>
            </w:pPr>
            <w:r>
              <w:rPr/>
              <w:t> </w:t>
            </w:r>
          </w:p>
        </w:tc>
      </w:tr>
    </w:tbl>
    <w:p>
      <w:pPr>
        <w:pStyle w:val="TextBody"/>
        <w:bidi w:val="0"/>
        <w:spacing w:before="240" w:after="0"/>
        <w:jc w:val="left"/>
        <w:rPr>
          <w:rFonts w:ascii="arial" w:hAnsi="arial"/>
          <w:b/>
          <w:sz w:val="22"/>
        </w:rPr>
      </w:pPr>
      <w:r>
        <w:rPr>
          <w:rFonts w:ascii="arial" w:hAnsi="arial"/>
          <w:b/>
          <w:sz w:val="22"/>
        </w:rPr>
        <w:t xml:space="preserve">The Board of Directors unanimously recommends a vote FOR the election of the ten nominees for director.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33" w:name="tx888712_31"/>
      <w:bookmarkEnd w:id="33"/>
      <w:r>
        <w:rPr>
          <w:rFonts w:ascii="arial" w:hAnsi="arial"/>
          <w:b/>
          <w:color w:val="CF0A2C"/>
          <w:sz w:val="28"/>
        </w:rPr>
        <w:t xml:space="preserve">Director Compensation Program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i/>
          <w:sz w:val="22"/>
        </w:rPr>
      </w:pPr>
      <w:r>
        <w:rPr>
          <w:rFonts w:ascii="arial" w:hAnsi="arial"/>
          <w:i/>
          <w:sz w:val="22"/>
        </w:rPr>
        <w:t xml:space="preserve">2024 Compensation </w:t>
      </w:r>
    </w:p>
    <w:p>
      <w:pPr>
        <w:pStyle w:val="TextBody"/>
        <w:bidi w:val="0"/>
        <w:spacing w:before="120" w:after="0"/>
        <w:jc w:val="left"/>
        <w:rPr>
          <w:rFonts w:ascii="arial" w:hAnsi="arial"/>
          <w:sz w:val="22"/>
        </w:rPr>
      </w:pPr>
      <w:r>
        <w:rPr>
          <w:rFonts w:ascii="arial" w:hAnsi="arial"/>
          <w:sz w:val="22"/>
        </w:rPr>
        <w:t xml:space="preserve">Our Board of Directors, based on recommendations by the Compensation Committee, has adopted a formal compensation program for the non-employee members of our Board of Directors. This compensation program is designed to pay directors an appropriate amount for their services required as a director, while also seeking to align their interests with the long-term interests of our stockholders. When assessing the director compensation program, the Compensation Committee, with the assistance of its compensation consultant, compares the design and the compensation elements of the program to that of our compensation peer group. For information regarding our compensation peer group, see “Compensation Discussion and Analysis—Competitive Positioning.” </w:t>
      </w:r>
    </w:p>
    <w:p>
      <w:pPr>
        <w:pStyle w:val="TextBody"/>
        <w:bidi w:val="0"/>
        <w:spacing w:before="240" w:after="0"/>
        <w:jc w:val="left"/>
        <w:rPr>
          <w:rFonts w:ascii="arial" w:hAnsi="arial"/>
          <w:sz w:val="22"/>
        </w:rPr>
      </w:pPr>
      <w:r>
        <w:rPr>
          <w:rFonts w:ascii="arial" w:hAnsi="arial"/>
          <w:sz w:val="22"/>
        </w:rPr>
        <w:t xml:space="preserve">For 2024, this compensation program consisted of the following elements: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01"/>
        <w:gridCol w:w="60"/>
        <w:gridCol w:w="2944"/>
      </w:tblGrid>
      <w:tr>
        <w:trPr/>
        <w:tc>
          <w:tcPr>
            <w:tcW w:w="7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666666" w:val="clear"/>
            <w:vAlign w:val="center"/>
          </w:tcPr>
          <w:p>
            <w:pPr>
              <w:pStyle w:val="TableContents"/>
              <w:bidi w:val="0"/>
              <w:spacing w:before="0" w:after="283"/>
              <w:jc w:val="left"/>
              <w:rPr>
                <w:color w:val="FFFFFF"/>
              </w:rPr>
            </w:pPr>
            <w:r>
              <w:rPr>
                <w:color w:val="FFFFFF"/>
              </w:rPr>
              <w:t>  </w:t>
            </w:r>
            <w:r>
              <w:rPr>
                <w:b/>
                <w:color w:val="FFFFFF"/>
              </w:rPr>
              <w:t>Type of Compensation</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944" w:type="dxa"/>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Dollar Value of</w:t>
            </w:r>
          </w:p>
          <w:p>
            <w:pPr>
              <w:pStyle w:val="TableContents"/>
              <w:bidi w:val="0"/>
              <w:spacing w:before="0" w:after="20"/>
              <w:jc w:val="center"/>
              <w:rPr>
                <w:rFonts w:ascii="arial" w:hAnsi="arial"/>
                <w:b/>
                <w:color w:val="FFFFFF"/>
                <w:sz w:val="18"/>
              </w:rPr>
            </w:pPr>
            <w:r>
              <w:rPr>
                <w:rFonts w:ascii="arial" w:hAnsi="arial"/>
                <w:b/>
                <w:color w:val="FFFFFF"/>
                <w:sz w:val="18"/>
              </w:rPr>
              <w:t>Compensation Element</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$90,000,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Annual grant of restricted stock unit awards (vests in full on first anniversary of date of grant)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0"/>
              <w:jc w:val="left"/>
              <w:rPr>
                <w:rFonts w:ascii="arial" w:hAnsi="arial"/>
                <w:sz w:val="20"/>
              </w:rPr>
            </w:pPr>
            <w:r>
              <w:rPr>
                <w:rFonts w:ascii="arial" w:hAnsi="arial"/>
                <w:sz w:val="20"/>
              </w:rPr>
              <w:t>$160,000 value, awarded on</w:t>
            </w:r>
          </w:p>
          <w:p>
            <w:pPr>
              <w:pStyle w:val="TableContents"/>
              <w:bidi w:val="0"/>
              <w:spacing w:before="0" w:after="20"/>
              <w:jc w:val="left"/>
              <w:rPr>
                <w:rFonts w:ascii="arial" w:hAnsi="arial"/>
                <w:sz w:val="20"/>
              </w:rPr>
            </w:pPr>
            <w:r>
              <w:rPr>
                <w:rFonts w:ascii="arial" w:hAnsi="arial"/>
                <w:sz w:val="20"/>
              </w:rPr>
              <w:t>the date of the annual meeting</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01" w:type="dxa"/>
            <w:tcBorders/>
            <w:vAlign w:val="center"/>
          </w:tcPr>
          <w:p>
            <w:pPr>
              <w:pStyle w:val="TableContents"/>
              <w:bidi w:val="0"/>
              <w:spacing w:before="0" w:after="0"/>
              <w:jc w:val="left"/>
              <w:rPr/>
            </w:pPr>
            <w:r>
              <w:rPr/>
              <w:t> </w:t>
            </w:r>
            <w:r>
              <w:rPr>
                <w:rFonts w:ascii="arial" w:hAnsi="arial"/>
                <w:sz w:val="20"/>
              </w:rPr>
              <w:t>Audit Committee chair annual cash retainer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944" w:type="dxa"/>
            <w:tcBorders/>
            <w:vAlign w:val="center"/>
          </w:tcPr>
          <w:p>
            <w:pPr>
              <w:pStyle w:val="TableContents"/>
              <w:bidi w:val="0"/>
              <w:spacing w:before="0" w:after="283"/>
              <w:jc w:val="left"/>
              <w:rPr/>
            </w:pPr>
            <w:r>
              <w:rPr/>
              <w:t>additional $30,000, paid quarterly</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01" w:type="dxa"/>
            <w:tcBorders/>
            <w:vAlign w:val="center"/>
          </w:tcPr>
          <w:p>
            <w:pPr>
              <w:pStyle w:val="TableContents"/>
              <w:bidi w:val="0"/>
              <w:spacing w:before="0" w:after="0"/>
              <w:jc w:val="left"/>
              <w:rPr/>
            </w:pPr>
            <w:r>
              <w:rPr/>
              <w:t> </w:t>
            </w:r>
            <w:r>
              <w:rPr>
                <w:rFonts w:ascii="arial" w:hAnsi="arial"/>
                <w:sz w:val="20"/>
              </w:rPr>
              <w:t>Audit Committee member annual cash retainer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944" w:type="dxa"/>
            <w:tcBorders/>
            <w:vAlign w:val="center"/>
          </w:tcPr>
          <w:p>
            <w:pPr>
              <w:pStyle w:val="TableContents"/>
              <w:bidi w:val="0"/>
              <w:spacing w:before="0" w:after="283"/>
              <w:jc w:val="left"/>
              <w:rPr/>
            </w:pPr>
            <w:r>
              <w:rPr/>
              <w:t>additional $15,000,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Compensation Committee chair 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additional $20,000,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Compensation Committee member 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additional $10,000, paid quarterly</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01" w:type="dxa"/>
            <w:tcBorders/>
            <w:vAlign w:val="center"/>
          </w:tcPr>
          <w:p>
            <w:pPr>
              <w:pStyle w:val="TableContents"/>
              <w:bidi w:val="0"/>
              <w:spacing w:before="0" w:after="0"/>
              <w:jc w:val="left"/>
              <w:rPr/>
            </w:pPr>
            <w:r>
              <w:rPr/>
              <w:t> </w:t>
            </w:r>
            <w:r>
              <w:rPr>
                <w:rFonts w:ascii="arial" w:hAnsi="arial"/>
                <w:sz w:val="20"/>
              </w:rPr>
              <w:t>Nominating and Governance Committee chair annual cash retainer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944" w:type="dxa"/>
            <w:tcBorders/>
            <w:vAlign w:val="center"/>
          </w:tcPr>
          <w:p>
            <w:pPr>
              <w:pStyle w:val="TableContents"/>
              <w:bidi w:val="0"/>
              <w:spacing w:before="0" w:after="283"/>
              <w:jc w:val="left"/>
              <w:rPr/>
            </w:pPr>
            <w:r>
              <w:rPr/>
              <w:t>additional $15,000, paid quarterly</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7201" w:type="dxa"/>
            <w:tcBorders/>
            <w:vAlign w:val="center"/>
          </w:tcPr>
          <w:p>
            <w:pPr>
              <w:pStyle w:val="TableContents"/>
              <w:bidi w:val="0"/>
              <w:spacing w:before="0" w:after="0"/>
              <w:jc w:val="left"/>
              <w:rPr/>
            </w:pPr>
            <w:r>
              <w:rPr/>
              <w:t> </w:t>
            </w:r>
            <w:r>
              <w:rPr>
                <w:rFonts w:ascii="arial" w:hAnsi="arial"/>
                <w:sz w:val="20"/>
              </w:rPr>
              <w:t>Nominating and Governance Committee member annual cash retainer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944" w:type="dxa"/>
            <w:tcBorders/>
            <w:vAlign w:val="center"/>
          </w:tcPr>
          <w:p>
            <w:pPr>
              <w:pStyle w:val="TableContents"/>
              <w:bidi w:val="0"/>
              <w:spacing w:before="0" w:after="283"/>
              <w:jc w:val="left"/>
              <w:rPr/>
            </w:pPr>
            <w:r>
              <w:rPr/>
              <w:t>additional $10,000,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Technology Committee chair 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additional $15,000, paid quarterly</w:t>
            </w:r>
          </w:p>
        </w:tc>
      </w:tr>
      <w:tr>
        <w:trPr/>
        <w:tc>
          <w:tcPr>
            <w:tcW w:w="7201" w:type="dxa"/>
            <w:tcBorders/>
            <w:shd w:fill="E5E5E5" w:val="clear"/>
            <w:vAlign w:val="center"/>
          </w:tcPr>
          <w:p>
            <w:pPr>
              <w:pStyle w:val="TableContents"/>
              <w:bidi w:val="0"/>
              <w:spacing w:before="0" w:after="283"/>
              <w:jc w:val="left"/>
              <w:rPr>
                <w:sz w:val="4"/>
                <w:szCs w:val="4"/>
              </w:rPr>
            </w:pPr>
            <w:r>
              <w:rPr>
                <w:sz w:val="4"/>
                <w:szCs w:val="4"/>
              </w:rPr>
            </w:r>
          </w:p>
        </w:tc>
        <w:tc>
          <w:tcPr>
            <w:tcW w:w="3004"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201" w:type="dxa"/>
            <w:tcBorders/>
            <w:shd w:fill="E5E5E5" w:val="clear"/>
            <w:vAlign w:val="center"/>
          </w:tcPr>
          <w:p>
            <w:pPr>
              <w:pStyle w:val="TableContents"/>
              <w:bidi w:val="0"/>
              <w:spacing w:before="0" w:after="0"/>
              <w:jc w:val="left"/>
              <w:rPr/>
            </w:pPr>
            <w:r>
              <w:rPr/>
              <w:t> </w:t>
            </w:r>
            <w:r>
              <w:rPr>
                <w:rFonts w:ascii="arial" w:hAnsi="arial"/>
                <w:sz w:val="20"/>
              </w:rPr>
              <w:t>Technology Committee member annual cash retainer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44" w:type="dxa"/>
            <w:tcBorders/>
            <w:shd w:fill="E5E5E5" w:val="clear"/>
            <w:vAlign w:val="center"/>
          </w:tcPr>
          <w:p>
            <w:pPr>
              <w:pStyle w:val="TableContents"/>
              <w:bidi w:val="0"/>
              <w:spacing w:before="0" w:after="283"/>
              <w:jc w:val="left"/>
              <w:rPr/>
            </w:pPr>
            <w:r>
              <w:rPr/>
              <w:t>additional $10,000, paid quarterly</w:t>
            </w:r>
          </w:p>
        </w:tc>
      </w:tr>
    </w:tbl>
    <w:p>
      <w:pPr>
        <w:pStyle w:val="TextBody"/>
        <w:bidi w:val="0"/>
        <w:spacing w:before="240" w:after="0"/>
        <w:jc w:val="left"/>
        <w:rPr>
          <w:rFonts w:ascii="arial" w:hAnsi="arial"/>
          <w:sz w:val="22"/>
        </w:rPr>
      </w:pPr>
      <w:r>
        <w:rPr>
          <w:rFonts w:ascii="arial" w:hAnsi="arial"/>
          <w:sz w:val="22"/>
        </w:rPr>
        <w:t xml:space="preserve">In addition, the non-employee members of our Board of Directors were also eligible to receive an equity award equal to the amount of the annual grant upon joining the Board of Directors, which award vests in full on the first anniversary of the date of grant. Newly appointed directors are not eligible to receive an additional annual grant in the year of their appointment if they are appointed before the date of the annual grant. </w:t>
      </w:r>
    </w:p>
    <w:p>
      <w:pPr>
        <w:pStyle w:val="TextBody"/>
        <w:bidi w:val="0"/>
        <w:spacing w:before="240" w:after="0"/>
        <w:jc w:val="left"/>
        <w:rPr>
          <w:rFonts w:ascii="arial" w:hAnsi="arial"/>
          <w:sz w:val="22"/>
        </w:rPr>
      </w:pPr>
      <w:r>
        <w:rPr>
          <w:rFonts w:ascii="arial" w:hAnsi="arial"/>
          <w:sz w:val="22"/>
        </w:rPr>
        <w:t xml:space="preserve">Our non-executive Chair of the Board receives an annual cash retainer of $160,000, payable quarterly, for service as non-executive Chair of the Board </w:t>
      </w:r>
    </w:p>
    <w:p>
      <w:pPr>
        <w:pStyle w:val="TextBody"/>
        <w:bidi w:val="0"/>
        <w:spacing w:before="240" w:after="0"/>
        <w:jc w:val="left"/>
        <w:rPr>
          <w:rFonts w:ascii="arial" w:hAnsi="arial"/>
          <w:sz w:val="22"/>
        </w:rPr>
      </w:pPr>
      <w:r>
        <w:rPr>
          <w:rFonts w:ascii="arial" w:hAnsi="arial"/>
          <w:sz w:val="22"/>
        </w:rPr>
        <w:t xml:space="preserve">Awards granted to non-employee directors (i) from 2014 through May 2016 were pursuant to the 2014 Omnibus Incentive Compensation Plan (the “2014 Omnibus Plan”), (ii) from May 2016 to April 2019 were pursuant to the 2016 Omnibus Incentive Compensation Plan (the “2016 Omnibus Plan”), (iii) from April 2019 to March 2022 were pursuant to the 2019 Director Equity Compensation Plan (the “2019 Director Plan”), (iv) from April 2022 to March 2024 were pursuant to the 2022 Director Equity Compensation Plan (the “2022 Director Plan”), and (iv) from and after April 2024 were pursuant to the 2024 Director Equity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15"/>
        <w:gridCol w:w="60"/>
        <w:gridCol w:w="23"/>
        <w:gridCol w:w="60"/>
        <w:gridCol w:w="23"/>
        <w:gridCol w:w="60"/>
        <w:gridCol w:w="23"/>
        <w:gridCol w:w="60"/>
        <w:gridCol w:w="38"/>
      </w:tblGrid>
      <w:tr>
        <w:trPr/>
        <w:tc>
          <w:tcPr>
            <w:tcW w:w="3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Compensation Plan (the “2024 Director Plan”). Each of the 2014 Omnibus Plan, the 2016 Omnibus Plan, the 2019 Director Plan, the 2022 Director Plan, and the 2024 Director Plan was approved by stockholders. </w:t>
      </w:r>
    </w:p>
    <w:p>
      <w:pPr>
        <w:pStyle w:val="TextBody"/>
        <w:bidi w:val="0"/>
        <w:spacing w:before="360" w:after="0"/>
        <w:jc w:val="left"/>
        <w:rPr>
          <w:rFonts w:ascii="arial" w:hAnsi="arial"/>
          <w:i/>
          <w:sz w:val="22"/>
        </w:rPr>
      </w:pPr>
      <w:r>
        <w:rPr>
          <w:rFonts w:ascii="arial" w:hAnsi="arial"/>
          <w:i/>
          <w:sz w:val="22"/>
        </w:rPr>
        <w:t xml:space="preserve">Non-Employee Directors Compensation Deferral Plan </w:t>
      </w:r>
    </w:p>
    <w:p>
      <w:pPr>
        <w:pStyle w:val="TextBody"/>
        <w:bidi w:val="0"/>
        <w:spacing w:before="120" w:after="0"/>
        <w:jc w:val="left"/>
        <w:rPr>
          <w:rFonts w:ascii="arial" w:hAnsi="arial"/>
          <w:sz w:val="22"/>
        </w:rPr>
      </w:pPr>
      <w:r>
        <w:rPr>
          <w:rFonts w:ascii="arial" w:hAnsi="arial"/>
          <w:sz w:val="22"/>
        </w:rPr>
        <w:t xml:space="preserve">We maintain the Sabre Corporation Non-Employee Directors Compensation Deferral Plan (the “Director Deferral Plan”), a non-qualified deferred compensation plan that allows non-employee directors to defer receipt of all or a portion of the shares of our common stock subject to their restricted stock unit awards. Each participating non-employee director has a notional account established to reflect the vesting of his or her restricted stock unit awards and any associated notional dividend equivalents. Non-employee directors are fully vested in their accounts. Deferrals are distributed in the form of Sabre common stock after the director terminates his or her service on the Board of Directors or, if earlier, in the event of a change in control of Sabre. </w:t>
      </w:r>
    </w:p>
    <w:p>
      <w:pPr>
        <w:pStyle w:val="TextBody"/>
        <w:bidi w:val="0"/>
        <w:spacing w:before="360" w:after="0"/>
        <w:jc w:val="left"/>
        <w:rPr>
          <w:rFonts w:ascii="arial" w:hAnsi="arial"/>
          <w:i/>
          <w:sz w:val="22"/>
        </w:rPr>
      </w:pPr>
      <w:r>
        <w:rPr>
          <w:rFonts w:ascii="arial" w:hAnsi="arial"/>
          <w:i/>
          <w:sz w:val="22"/>
        </w:rPr>
        <w:t xml:space="preserve">2024 Director Compensation Table </w:t>
      </w:r>
    </w:p>
    <w:p>
      <w:pPr>
        <w:pStyle w:val="TextBody"/>
        <w:bidi w:val="0"/>
        <w:spacing w:before="120" w:after="0"/>
        <w:jc w:val="left"/>
        <w:rPr>
          <w:rFonts w:ascii="arial" w:hAnsi="arial"/>
          <w:sz w:val="22"/>
        </w:rPr>
      </w:pPr>
      <w:r>
        <w:rPr>
          <w:rFonts w:ascii="arial" w:hAnsi="arial"/>
          <w:sz w:val="22"/>
        </w:rPr>
        <w:t xml:space="preserve">The following table presents the total compensation for each person who served as a non-employee member of our Board of Directors during 2024. Mr. Ekert, who is our CEO and President, does not receive any compensation for his service as a director and is not included in this table. The compensation received by Mr. Ekert as an employee is presented in the “2024 Summary Compensation Table” below. </w:t>
      </w:r>
    </w:p>
    <w:p>
      <w:pPr>
        <w:pStyle w:val="TextBody"/>
        <w:bidi w:val="0"/>
        <w:spacing w:before="0" w:after="0"/>
        <w:jc w:val="left"/>
        <w:rPr/>
      </w:pPr>
      <w:r>
        <w:rPr/>
        <w:t> </w:t>
      </w:r>
    </w:p>
    <w:tbl>
      <w:tblPr>
        <w:tblW w:w="5159" w:type="dxa"/>
        <w:jc w:val="left"/>
        <w:tblInd w:w="0" w:type="dxa"/>
        <w:tblLayout w:type="fixed"/>
        <w:tblCellMar>
          <w:top w:w="0" w:type="dxa"/>
          <w:left w:w="0" w:type="dxa"/>
          <w:bottom w:w="0" w:type="dxa"/>
          <w:right w:w="0" w:type="dxa"/>
        </w:tblCellMar>
      </w:tblPr>
      <w:tblGrid>
        <w:gridCol w:w="1850"/>
        <w:gridCol w:w="60"/>
        <w:gridCol w:w="62"/>
        <w:gridCol w:w="146"/>
        <w:gridCol w:w="836"/>
        <w:gridCol w:w="24"/>
        <w:gridCol w:w="60"/>
        <w:gridCol w:w="60"/>
        <w:gridCol w:w="140"/>
        <w:gridCol w:w="800"/>
        <w:gridCol w:w="23"/>
        <w:gridCol w:w="60"/>
        <w:gridCol w:w="60"/>
        <w:gridCol w:w="140"/>
        <w:gridCol w:w="800"/>
        <w:gridCol w:w="38"/>
      </w:tblGrid>
      <w:tr>
        <w:trPr/>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666666" w:val="clear"/>
            <w:vAlign w:val="center"/>
          </w:tcPr>
          <w:p>
            <w:pPr>
              <w:pStyle w:val="TableContents"/>
              <w:bidi w:val="0"/>
              <w:spacing w:before="0" w:after="0"/>
              <w:jc w:val="left"/>
              <w:rPr>
                <w:rFonts w:ascii="arial" w:hAnsi="arial"/>
                <w:b/>
                <w:color w:val="FFFFFF"/>
                <w:sz w:val="18"/>
              </w:rPr>
            </w:pPr>
            <w:r>
              <w:rPr>
                <w:rFonts w:ascii="arial" w:hAnsi="arial"/>
                <w:b/>
                <w:color w:val="FFFFFF"/>
                <w:sz w:val="18"/>
              </w:rPr>
              <w:t>Director</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68" w:type="dxa"/>
            <w:gridSpan w:val="4"/>
            <w:tcBorders/>
            <w:shd w:fill="666666" w:val="clear"/>
            <w:vAlign w:val="center"/>
          </w:tcPr>
          <w:p>
            <w:pPr>
              <w:pStyle w:val="TableContents"/>
              <w:bidi w:val="0"/>
              <w:spacing w:before="0" w:after="283"/>
              <w:jc w:val="center"/>
              <w:rPr>
                <w:b/>
                <w:color w:val="FFFFFF"/>
              </w:rPr>
            </w:pPr>
            <w:r>
              <w:rPr>
                <w:b/>
                <w:color w:val="FFFFFF"/>
              </w:rPr>
              <w:t>Fees</w:t>
              <w:br/>
              <w:t>Earned or</w:t>
              <w:br/>
              <w:t>Paid in</w:t>
              <w:br/>
              <w:t>Cash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23" w:type="dxa"/>
            <w:gridSpan w:val="4"/>
            <w:tcBorders/>
            <w:shd w:fill="666666" w:val="clear"/>
            <w:vAlign w:val="center"/>
          </w:tcPr>
          <w:p>
            <w:pPr>
              <w:pStyle w:val="TableContents"/>
              <w:bidi w:val="0"/>
              <w:spacing w:before="0" w:after="283"/>
              <w:jc w:val="center"/>
              <w:rPr>
                <w:b/>
                <w:color w:val="FFFFFF"/>
              </w:rPr>
            </w:pPr>
            <w:r>
              <w:rPr>
                <w:b/>
                <w:color w:val="FFFFFF"/>
              </w:rPr>
              <w:t>Stock</w:t>
              <w:br/>
              <w:t>Awards</w:t>
              <w:br/>
              <w:t>($)(2)(3)</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38" w:type="dxa"/>
            <w:gridSpan w:val="4"/>
            <w:tcBorders/>
            <w:shd w:fill="666666" w:val="clear"/>
            <w:vAlign w:val="center"/>
          </w:tcPr>
          <w:p>
            <w:pPr>
              <w:pStyle w:val="TableContents"/>
              <w:bidi w:val="0"/>
              <w:spacing w:before="0" w:after="283"/>
              <w:jc w:val="center"/>
              <w:rPr>
                <w:b/>
                <w:color w:val="FFFFFF"/>
              </w:rPr>
            </w:pPr>
            <w:r>
              <w:rPr>
                <w:b/>
                <w:color w:val="FFFFFF"/>
              </w:rPr>
              <w:t>Total ($)</w:t>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George Bravante, Jr.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120,000</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160,000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280,000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Hervé Couturier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120,000</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160,000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280,000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Rachel Gonzalez(1)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14,204</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14,204</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Gail Mandel</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215,138</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160,000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375,138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Phyllis Newhouse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115,000</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160,000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275,000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Elaine Paul</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95,317</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160,000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255,317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Karl Peterson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96,648</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160,000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256,648</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Zane Rowe(1)</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14,849</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14,849</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Gregg Saretsky(1)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108,438</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160,000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268,438</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John Scott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836" w:type="dxa"/>
            <w:tcBorders/>
            <w:vAlign w:val="center"/>
          </w:tcPr>
          <w:p>
            <w:pPr>
              <w:pStyle w:val="TableContents"/>
              <w:bidi w:val="0"/>
              <w:spacing w:before="0" w:after="283"/>
              <w:jc w:val="right"/>
              <w:rPr/>
            </w:pPr>
            <w:r>
              <w:rPr/>
              <w:t>120,000</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160,000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280,000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12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8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Wendi Sturgis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w:t>
            </w:r>
          </w:p>
        </w:tc>
        <w:tc>
          <w:tcPr>
            <w:tcW w:w="836" w:type="dxa"/>
            <w:tcBorders/>
            <w:shd w:fill="E5E5E5" w:val="clear"/>
            <w:vAlign w:val="center"/>
          </w:tcPr>
          <w:p>
            <w:pPr>
              <w:pStyle w:val="TableContents"/>
              <w:bidi w:val="0"/>
              <w:spacing w:before="0" w:after="283"/>
              <w:jc w:val="right"/>
              <w:rPr/>
            </w:pPr>
            <w:r>
              <w:rPr/>
              <w:t>110,000</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160,000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270,000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0"/>
              <w:jc w:val="left"/>
              <w:rPr>
                <w:rFonts w:ascii="arial" w:hAnsi="arial"/>
                <w:sz w:val="18"/>
              </w:rPr>
            </w:pPr>
            <w:r>
              <w:rPr>
                <w:rFonts w:ascii="arial" w:hAnsi="arial"/>
                <w:sz w:val="18"/>
              </w:rPr>
              <w:t xml:space="preserve">Ms. Gonzalez and Mr. Rowe retired from the Board of Directors effective February 16, 2024, and Mr. Saretsky resigned from the Board of Directors effective August 12,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 the Stock Awards column represent the grant date fair value of the restricted stock unit award for shares of our common stock granted during 2024, computed in accordance with Financial Accounting Standard Board Accounting Standards Codification Topic 718 (“ASC Topic 718”), disregarding the impact of estimated forfeitures. The assumptions used in calculating the grant date fair value of these stock-based awards are set forth in Note 15, Equity-Based Awards, to the audited consolidated financial statements included in our Annual Report on Form 10-K for the year ended December 31, 2024. The amounts reported in this column reflect the accounting cost for these stock-based awards, and do not correspond to the actual economic value that may be received by the non-employee members of our Board of Directors from their awards.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6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81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1: ELECTION OF DIRECTORS 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left"/>
              <w:rPr>
                <w:rFonts w:ascii="arial" w:hAnsi="arial"/>
                <w:sz w:val="18"/>
              </w:rPr>
            </w:pPr>
            <w:r>
              <w:rPr>
                <w:rFonts w:ascii="arial" w:hAnsi="arial"/>
                <w:sz w:val="18"/>
              </w:rPr>
              <w:t xml:space="preserve">The following table sets forth information on the restricted stock unit awards for shares of our common stock granted in 2024 and the aggregate number of shares of our common stock subject to such outstanding restricted stock unit awards held at December 31, 2024 by the non-employee members of our Board of Directors. </w:t>
            </w:r>
          </w:p>
        </w:tc>
      </w:tr>
    </w:tbl>
    <w:p>
      <w:pPr>
        <w:pStyle w:val="TextBody"/>
        <w:bidi w:val="0"/>
        <w:spacing w:before="0" w:after="0"/>
        <w:jc w:val="left"/>
        <w:rPr/>
      </w:pPr>
      <w:r>
        <w:rPr/>
        <w:t> </w:t>
      </w:r>
    </w:p>
    <w:tbl>
      <w:tblPr>
        <w:tblW w:w="7428" w:type="dxa"/>
        <w:jc w:val="left"/>
        <w:tblInd w:w="0" w:type="dxa"/>
        <w:tblLayout w:type="fixed"/>
        <w:tblCellMar>
          <w:top w:w="0" w:type="dxa"/>
          <w:left w:w="0" w:type="dxa"/>
          <w:bottom w:w="0" w:type="dxa"/>
          <w:right w:w="0" w:type="dxa"/>
        </w:tblCellMar>
      </w:tblPr>
      <w:tblGrid>
        <w:gridCol w:w="1850"/>
        <w:gridCol w:w="60"/>
        <w:gridCol w:w="68"/>
        <w:gridCol w:w="68"/>
        <w:gridCol w:w="1252"/>
        <w:gridCol w:w="26"/>
        <w:gridCol w:w="60"/>
        <w:gridCol w:w="113"/>
        <w:gridCol w:w="113"/>
        <w:gridCol w:w="1289"/>
        <w:gridCol w:w="409"/>
        <w:gridCol w:w="60"/>
        <w:gridCol w:w="120"/>
        <w:gridCol w:w="120"/>
        <w:gridCol w:w="1360"/>
        <w:gridCol w:w="460"/>
      </w:tblGrid>
      <w:tr>
        <w:trPr/>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666666" w:val="clear"/>
            <w:vAlign w:val="center"/>
          </w:tcPr>
          <w:p>
            <w:pPr>
              <w:pStyle w:val="TableContents"/>
              <w:bidi w:val="0"/>
              <w:spacing w:before="0" w:after="283"/>
              <w:jc w:val="left"/>
              <w:rPr>
                <w:color w:val="FFFFFF"/>
              </w:rPr>
            </w:pPr>
            <w:r>
              <w:rPr>
                <w:color w:val="FFFFFF"/>
              </w:rPr>
              <w:t>  </w:t>
            </w:r>
            <w:r>
              <w:rPr>
                <w:b/>
                <w:color w:val="FFFFFF"/>
              </w:rPr>
              <w:t>Director</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14"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Grant Date 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24"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Restricted Stock </w:t>
              <w:br/>
              <w:t>Units Awarded in</w:t>
              <w:br/>
              <w:t>2024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06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Restricted Stock</w:t>
            </w:r>
          </w:p>
          <w:p>
            <w:pPr>
              <w:pStyle w:val="TableContents"/>
              <w:bidi w:val="0"/>
              <w:spacing w:before="0" w:after="20"/>
              <w:jc w:val="center"/>
              <w:rPr>
                <w:rFonts w:ascii="arial" w:hAnsi="arial"/>
                <w:b/>
                <w:color w:val="FFFFFF"/>
                <w:sz w:val="18"/>
              </w:rPr>
            </w:pPr>
            <w:r>
              <w:rPr>
                <w:rFonts w:ascii="arial" w:hAnsi="arial"/>
                <w:b/>
                <w:color w:val="FFFFFF"/>
                <w:sz w:val="18"/>
              </w:rPr>
              <w:t>Units Held at</w:t>
              <w:br/>
              <w:t> December 31, 2024 (#)</w:t>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47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George Bravante, Jr.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1252" w:type="dxa"/>
            <w:tcBorders/>
            <w:shd w:fill="E5E5E5" w:val="clear"/>
            <w:vAlign w:val="center"/>
          </w:tcPr>
          <w:p>
            <w:pPr>
              <w:pStyle w:val="TableContents"/>
              <w:bidi w:val="0"/>
              <w:spacing w:before="0" w:after="283"/>
              <w:jc w:val="right"/>
              <w:rPr/>
            </w:pPr>
            <w:r>
              <w:rPr/>
              <w:t>04/24/2024</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289" w:type="dxa"/>
            <w:tcBorders/>
            <w:shd w:fill="E5E5E5" w:val="clear"/>
            <w:vAlign w:val="center"/>
          </w:tcPr>
          <w:p>
            <w:pPr>
              <w:pStyle w:val="TableContents"/>
              <w:bidi w:val="0"/>
              <w:spacing w:before="0" w:after="283"/>
              <w:jc w:val="right"/>
              <w:rPr/>
            </w:pPr>
            <w:r>
              <w:rPr/>
              <w:t>57,971</w:t>
            </w:r>
          </w:p>
        </w:tc>
        <w:tc>
          <w:tcPr>
            <w:tcW w:w="409"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60" w:type="dxa"/>
            <w:tcBorders/>
            <w:shd w:fill="E5E5E5" w:val="clear"/>
            <w:vAlign w:val="center"/>
          </w:tcPr>
          <w:p>
            <w:pPr>
              <w:pStyle w:val="TableContents"/>
              <w:bidi w:val="0"/>
              <w:spacing w:before="0" w:after="283"/>
              <w:jc w:val="right"/>
              <w:rPr/>
            </w:pPr>
            <w:r>
              <w:rPr/>
              <w:t>57,971</w:t>
            </w:r>
          </w:p>
        </w:tc>
        <w:tc>
          <w:tcPr>
            <w:tcW w:w="460" w:type="dxa"/>
            <w:tcBorders/>
            <w:shd w:fill="E5E5E5" w:val="clear"/>
            <w:vAlign w:val="center"/>
          </w:tcPr>
          <w:p>
            <w:pPr>
              <w:pStyle w:val="TableContents"/>
              <w:bidi w:val="0"/>
              <w:spacing w:before="0" w:after="283"/>
              <w:jc w:val="left"/>
              <w:rPr/>
            </w:pPr>
            <w:r>
              <w:rPr/>
              <w:t>(a) </w:t>
            </w:r>
          </w:p>
        </w:tc>
      </w:tr>
      <w:tr>
        <w:trPr/>
        <w:tc>
          <w:tcPr>
            <w:tcW w:w="1850" w:type="dxa"/>
            <w:tcBorders/>
            <w:vAlign w:val="center"/>
          </w:tcPr>
          <w:p>
            <w:pPr>
              <w:pStyle w:val="TableContents"/>
              <w:bidi w:val="0"/>
              <w:spacing w:before="0" w:after="283"/>
              <w:jc w:val="left"/>
              <w:rPr/>
            </w:pPr>
            <w:r>
              <w:rPr/>
              <w:t> </w:t>
            </w:r>
          </w:p>
        </w:tc>
        <w:tc>
          <w:tcPr>
            <w:tcW w:w="147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Hervé Couturier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04/24/2024</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57,971</w:t>
            </w:r>
          </w:p>
        </w:tc>
        <w:tc>
          <w:tcPr>
            <w:tcW w:w="40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57,971</w:t>
            </w:r>
          </w:p>
        </w:tc>
        <w:tc>
          <w:tcPr>
            <w:tcW w:w="460"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47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Gail Mandel</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1252" w:type="dxa"/>
            <w:tcBorders/>
            <w:shd w:fill="E5E5E5" w:val="clear"/>
            <w:vAlign w:val="center"/>
          </w:tcPr>
          <w:p>
            <w:pPr>
              <w:pStyle w:val="TableContents"/>
              <w:bidi w:val="0"/>
              <w:spacing w:before="0" w:after="283"/>
              <w:jc w:val="right"/>
              <w:rPr/>
            </w:pPr>
            <w:r>
              <w:rPr/>
              <w:t>04/24/2024</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289" w:type="dxa"/>
            <w:tcBorders/>
            <w:shd w:fill="E5E5E5" w:val="clear"/>
            <w:vAlign w:val="center"/>
          </w:tcPr>
          <w:p>
            <w:pPr>
              <w:pStyle w:val="TableContents"/>
              <w:bidi w:val="0"/>
              <w:spacing w:before="0" w:after="283"/>
              <w:jc w:val="right"/>
              <w:rPr/>
            </w:pPr>
            <w:r>
              <w:rPr/>
              <w:t>57,971</w:t>
            </w:r>
          </w:p>
        </w:tc>
        <w:tc>
          <w:tcPr>
            <w:tcW w:w="409" w:type="dxa"/>
            <w:tcBorders/>
            <w:shd w:fill="E5E5E5" w:val="clear"/>
            <w:vAlign w:val="center"/>
          </w:tcPr>
          <w:p>
            <w:pPr>
              <w:pStyle w:val="TableContents"/>
              <w:bidi w:val="0"/>
              <w:spacing w:before="0" w:after="283"/>
              <w:jc w:val="left"/>
              <w:rPr/>
            </w:pPr>
            <w:r>
              <w:rPr/>
              <w:t>(a)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60" w:type="dxa"/>
            <w:tcBorders/>
            <w:shd w:fill="E5E5E5" w:val="clear"/>
            <w:vAlign w:val="center"/>
          </w:tcPr>
          <w:p>
            <w:pPr>
              <w:pStyle w:val="TableContents"/>
              <w:bidi w:val="0"/>
              <w:spacing w:before="0" w:after="283"/>
              <w:jc w:val="right"/>
              <w:rPr/>
            </w:pPr>
            <w:r>
              <w:rPr/>
              <w:t>57,971</w:t>
            </w:r>
          </w:p>
        </w:tc>
        <w:tc>
          <w:tcPr>
            <w:tcW w:w="460" w:type="dxa"/>
            <w:tcBorders/>
            <w:shd w:fill="E5E5E5" w:val="clear"/>
            <w:vAlign w:val="center"/>
          </w:tcPr>
          <w:p>
            <w:pPr>
              <w:pStyle w:val="TableContents"/>
              <w:bidi w:val="0"/>
              <w:spacing w:before="0" w:after="283"/>
              <w:jc w:val="left"/>
              <w:rPr/>
            </w:pPr>
            <w:r>
              <w:rPr/>
              <w:t>(a) </w:t>
            </w:r>
          </w:p>
        </w:tc>
      </w:tr>
      <w:tr>
        <w:trPr/>
        <w:tc>
          <w:tcPr>
            <w:tcW w:w="1850" w:type="dxa"/>
            <w:tcBorders/>
            <w:vAlign w:val="center"/>
          </w:tcPr>
          <w:p>
            <w:pPr>
              <w:pStyle w:val="TableContents"/>
              <w:bidi w:val="0"/>
              <w:spacing w:before="0" w:after="283"/>
              <w:jc w:val="left"/>
              <w:rPr/>
            </w:pPr>
            <w:r>
              <w:rPr/>
              <w:t> </w:t>
            </w:r>
          </w:p>
        </w:tc>
        <w:tc>
          <w:tcPr>
            <w:tcW w:w="147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Phyllis Newhouse</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04/24/2024</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57,971</w:t>
            </w:r>
          </w:p>
        </w:tc>
        <w:tc>
          <w:tcPr>
            <w:tcW w:w="40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61,203</w:t>
            </w:r>
          </w:p>
        </w:tc>
        <w:tc>
          <w:tcPr>
            <w:tcW w:w="460"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E5E5E5" w:val="clear"/>
            <w:vAlign w:val="center"/>
          </w:tcPr>
          <w:p>
            <w:pPr>
              <w:pStyle w:val="TableContents"/>
              <w:bidi w:val="0"/>
              <w:spacing w:before="0" w:after="283"/>
              <w:jc w:val="left"/>
              <w:rPr>
                <w:sz w:val="4"/>
                <w:szCs w:val="4"/>
              </w:rPr>
            </w:pPr>
            <w:r>
              <w:rPr>
                <w:sz w:val="4"/>
                <w:szCs w:val="4"/>
              </w:rPr>
            </w:r>
          </w:p>
        </w:tc>
        <w:tc>
          <w:tcPr>
            <w:tcW w:w="147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Elaine Paul</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1252" w:type="dxa"/>
            <w:tcBorders/>
            <w:shd w:fill="E5E5E5" w:val="clear"/>
            <w:vAlign w:val="center"/>
          </w:tcPr>
          <w:p>
            <w:pPr>
              <w:pStyle w:val="TableContents"/>
              <w:bidi w:val="0"/>
              <w:spacing w:before="0" w:after="283"/>
              <w:jc w:val="right"/>
              <w:rPr/>
            </w:pPr>
            <w:r>
              <w:rPr/>
              <w:t>02/16/2024</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289" w:type="dxa"/>
            <w:tcBorders/>
            <w:shd w:fill="E5E5E5" w:val="clear"/>
            <w:vAlign w:val="center"/>
          </w:tcPr>
          <w:p>
            <w:pPr>
              <w:pStyle w:val="TableContents"/>
              <w:bidi w:val="0"/>
              <w:spacing w:before="0" w:after="283"/>
              <w:jc w:val="right"/>
              <w:rPr/>
            </w:pPr>
            <w:r>
              <w:rPr/>
              <w:t>54,054</w:t>
            </w:r>
          </w:p>
        </w:tc>
        <w:tc>
          <w:tcPr>
            <w:tcW w:w="409"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60" w:type="dxa"/>
            <w:tcBorders/>
            <w:shd w:fill="E5E5E5" w:val="clear"/>
            <w:vAlign w:val="center"/>
          </w:tcPr>
          <w:p>
            <w:pPr>
              <w:pStyle w:val="TableContents"/>
              <w:bidi w:val="0"/>
              <w:spacing w:before="0" w:after="283"/>
              <w:jc w:val="right"/>
              <w:rPr/>
            </w:pPr>
            <w:r>
              <w:rPr/>
              <w:t>54,054</w:t>
            </w:r>
          </w:p>
        </w:tc>
        <w:tc>
          <w:tcPr>
            <w:tcW w:w="460" w:type="dxa"/>
            <w:tcBorders/>
            <w:shd w:fill="E5E5E5"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4"/>
                <w:szCs w:val="4"/>
              </w:rPr>
            </w:pPr>
            <w:r>
              <w:rPr>
                <w:sz w:val="4"/>
                <w:szCs w:val="4"/>
              </w:rPr>
            </w:r>
          </w:p>
        </w:tc>
        <w:tc>
          <w:tcPr>
            <w:tcW w:w="147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Karl Peterson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04/24/2024</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57,971</w:t>
            </w:r>
          </w:p>
        </w:tc>
        <w:tc>
          <w:tcPr>
            <w:tcW w:w="409" w:type="dxa"/>
            <w:tcBorders/>
            <w:vAlign w:val="center"/>
          </w:tcPr>
          <w:p>
            <w:pPr>
              <w:pStyle w:val="TableContents"/>
              <w:bidi w:val="0"/>
              <w:spacing w:before="0" w:after="283"/>
              <w:jc w:val="left"/>
              <w:rPr/>
            </w:pPr>
            <w:r>
              <w:rPr/>
              <w:t>(a)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57,971</w:t>
            </w:r>
          </w:p>
        </w:tc>
        <w:tc>
          <w:tcPr>
            <w:tcW w:w="460" w:type="dxa"/>
            <w:tcBorders/>
            <w:vAlign w:val="center"/>
          </w:tcPr>
          <w:p>
            <w:pPr>
              <w:pStyle w:val="TableContents"/>
              <w:bidi w:val="0"/>
              <w:spacing w:before="0" w:after="283"/>
              <w:jc w:val="left"/>
              <w:rPr/>
            </w:pPr>
            <w:r>
              <w:rPr/>
              <w:t>(a) </w:t>
            </w:r>
          </w:p>
        </w:tc>
      </w:tr>
      <w:tr>
        <w:trPr/>
        <w:tc>
          <w:tcPr>
            <w:tcW w:w="1850" w:type="dxa"/>
            <w:tcBorders/>
            <w:shd w:fill="E5E5E5" w:val="clear"/>
            <w:vAlign w:val="center"/>
          </w:tcPr>
          <w:p>
            <w:pPr>
              <w:pStyle w:val="TableContents"/>
              <w:bidi w:val="0"/>
              <w:spacing w:before="0" w:after="283"/>
              <w:jc w:val="left"/>
              <w:rPr/>
            </w:pPr>
            <w:r>
              <w:rPr/>
              <w:t> </w:t>
            </w:r>
          </w:p>
        </w:tc>
        <w:tc>
          <w:tcPr>
            <w:tcW w:w="147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Gregg Saretsky</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1252" w:type="dxa"/>
            <w:tcBorders/>
            <w:shd w:fill="E5E5E5" w:val="clear"/>
            <w:vAlign w:val="center"/>
          </w:tcPr>
          <w:p>
            <w:pPr>
              <w:pStyle w:val="TableContents"/>
              <w:bidi w:val="0"/>
              <w:spacing w:before="0" w:after="283"/>
              <w:jc w:val="right"/>
              <w:rPr/>
            </w:pPr>
            <w:r>
              <w:rPr/>
              <w:t>04/24/2024</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289" w:type="dxa"/>
            <w:tcBorders/>
            <w:shd w:fill="E5E5E5" w:val="clear"/>
            <w:vAlign w:val="center"/>
          </w:tcPr>
          <w:p>
            <w:pPr>
              <w:pStyle w:val="TableContents"/>
              <w:bidi w:val="0"/>
              <w:spacing w:before="0" w:after="283"/>
              <w:jc w:val="right"/>
              <w:rPr/>
            </w:pPr>
            <w:r>
              <w:rPr/>
              <w:t>57,971</w:t>
            </w:r>
          </w:p>
        </w:tc>
        <w:tc>
          <w:tcPr>
            <w:tcW w:w="409" w:type="dxa"/>
            <w:tcBorders/>
            <w:shd w:fill="E5E5E5" w:val="clear"/>
            <w:vAlign w:val="center"/>
          </w:tcPr>
          <w:p>
            <w:pPr>
              <w:pStyle w:val="TableContents"/>
              <w:bidi w:val="0"/>
              <w:spacing w:before="0" w:after="283"/>
              <w:jc w:val="left"/>
              <w:rPr/>
            </w:pPr>
            <w:r>
              <w:rPr/>
              <w:t>(b)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60" w:type="dxa"/>
            <w:tcBorders/>
            <w:shd w:fill="E5E5E5" w:val="clear"/>
            <w:vAlign w:val="center"/>
          </w:tcPr>
          <w:p>
            <w:pPr>
              <w:pStyle w:val="TableContents"/>
              <w:bidi w:val="0"/>
              <w:spacing w:before="0" w:after="283"/>
              <w:jc w:val="right"/>
              <w:rPr/>
            </w:pPr>
            <w:r>
              <w:rPr/>
              <w:t>—</w:t>
            </w:r>
          </w:p>
        </w:tc>
        <w:tc>
          <w:tcPr>
            <w:tcW w:w="460" w:type="dxa"/>
            <w:tcBorders/>
            <w:shd w:fill="E5E5E5" w:val="clear"/>
            <w:vAlign w:val="center"/>
          </w:tcPr>
          <w:p>
            <w:pPr>
              <w:pStyle w:val="TableContents"/>
              <w:bidi w:val="0"/>
              <w:spacing w:before="0" w:after="283"/>
              <w:jc w:val="left"/>
              <w:rPr/>
            </w:pPr>
            <w:r>
              <w:rPr/>
              <w:t>(b) </w:t>
            </w:r>
          </w:p>
        </w:tc>
      </w:tr>
      <w:tr>
        <w:trPr/>
        <w:tc>
          <w:tcPr>
            <w:tcW w:w="1850" w:type="dxa"/>
            <w:tcBorders/>
            <w:vAlign w:val="center"/>
          </w:tcPr>
          <w:p>
            <w:pPr>
              <w:pStyle w:val="TableContents"/>
              <w:bidi w:val="0"/>
              <w:spacing w:before="0" w:after="283"/>
              <w:jc w:val="left"/>
              <w:rPr/>
            </w:pPr>
            <w:r>
              <w:rPr/>
              <w:t> </w:t>
            </w:r>
          </w:p>
        </w:tc>
        <w:tc>
          <w:tcPr>
            <w:tcW w:w="147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arial" w:hAnsi="arial"/>
                <w:sz w:val="20"/>
              </w:rPr>
            </w:pPr>
            <w:r>
              <w:rPr>
                <w:rFonts w:ascii="arial" w:hAnsi="arial"/>
                <w:sz w:val="20"/>
              </w:rPr>
              <w:t>John Scott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04/24/2024</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57,971</w:t>
            </w:r>
          </w:p>
        </w:tc>
        <w:tc>
          <w:tcPr>
            <w:tcW w:w="409" w:type="dxa"/>
            <w:tcBorders/>
            <w:vAlign w:val="center"/>
          </w:tcPr>
          <w:p>
            <w:pPr>
              <w:pStyle w:val="TableContents"/>
              <w:bidi w:val="0"/>
              <w:spacing w:before="0" w:after="283"/>
              <w:jc w:val="left"/>
              <w:rPr/>
            </w:pPr>
            <w:r>
              <w:rPr/>
              <w:t>(a)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57,971</w:t>
            </w:r>
          </w:p>
        </w:tc>
        <w:tc>
          <w:tcPr>
            <w:tcW w:w="460" w:type="dxa"/>
            <w:tcBorders/>
            <w:vAlign w:val="center"/>
          </w:tcPr>
          <w:p>
            <w:pPr>
              <w:pStyle w:val="TableContents"/>
              <w:bidi w:val="0"/>
              <w:spacing w:before="0" w:after="283"/>
              <w:jc w:val="left"/>
              <w:rPr/>
            </w:pPr>
            <w:r>
              <w:rPr/>
              <w:t>(a) </w:t>
            </w:r>
          </w:p>
        </w:tc>
      </w:tr>
      <w:tr>
        <w:trPr/>
        <w:tc>
          <w:tcPr>
            <w:tcW w:w="1850" w:type="dxa"/>
            <w:tcBorders/>
            <w:shd w:fill="E5E5E5" w:val="clear"/>
            <w:vAlign w:val="center"/>
          </w:tcPr>
          <w:p>
            <w:pPr>
              <w:pStyle w:val="TableContents"/>
              <w:bidi w:val="0"/>
              <w:spacing w:before="0" w:after="283"/>
              <w:jc w:val="left"/>
              <w:rPr/>
            </w:pPr>
            <w:r>
              <w:rPr/>
              <w:t> </w:t>
            </w:r>
          </w:p>
        </w:tc>
        <w:tc>
          <w:tcPr>
            <w:tcW w:w="147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8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850" w:type="dxa"/>
            <w:tcBorders/>
            <w:shd w:fill="E5E5E5" w:val="clear"/>
            <w:vAlign w:val="center"/>
          </w:tcPr>
          <w:p>
            <w:pPr>
              <w:pStyle w:val="TableContents"/>
              <w:bidi w:val="0"/>
              <w:spacing w:before="0" w:after="0"/>
              <w:jc w:val="left"/>
              <w:rPr>
                <w:rFonts w:ascii="arial" w:hAnsi="arial"/>
                <w:sz w:val="20"/>
              </w:rPr>
            </w:pPr>
            <w:r>
              <w:rPr>
                <w:rFonts w:ascii="arial" w:hAnsi="arial"/>
                <w:sz w:val="20"/>
              </w:rPr>
              <w:t>Wendi Sturgis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1252" w:type="dxa"/>
            <w:tcBorders/>
            <w:shd w:fill="E5E5E5" w:val="clear"/>
            <w:vAlign w:val="center"/>
          </w:tcPr>
          <w:p>
            <w:pPr>
              <w:pStyle w:val="TableContents"/>
              <w:bidi w:val="0"/>
              <w:spacing w:before="0" w:after="283"/>
              <w:jc w:val="right"/>
              <w:rPr/>
            </w:pPr>
            <w:r>
              <w:rPr/>
              <w:t>04/24/2024</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289" w:type="dxa"/>
            <w:tcBorders/>
            <w:shd w:fill="E5E5E5" w:val="clear"/>
            <w:vAlign w:val="center"/>
          </w:tcPr>
          <w:p>
            <w:pPr>
              <w:pStyle w:val="TableContents"/>
              <w:bidi w:val="0"/>
              <w:spacing w:before="0" w:after="283"/>
              <w:jc w:val="right"/>
              <w:rPr/>
            </w:pPr>
            <w:r>
              <w:rPr/>
              <w:t>57,971</w:t>
            </w:r>
          </w:p>
        </w:tc>
        <w:tc>
          <w:tcPr>
            <w:tcW w:w="409" w:type="dxa"/>
            <w:tcBorders/>
            <w:shd w:fill="E5E5E5" w:val="clear"/>
            <w:vAlign w:val="center"/>
          </w:tcPr>
          <w:p>
            <w:pPr>
              <w:pStyle w:val="TableContents"/>
              <w:bidi w:val="0"/>
              <w:spacing w:before="0" w:after="283"/>
              <w:jc w:val="left"/>
              <w:rPr/>
            </w:pPr>
            <w:r>
              <w:rPr/>
              <w:t>(a)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20" w:type="dxa"/>
            <w:tcBorders/>
            <w:shd w:fill="E5E5E5" w:val="clear"/>
            <w:vAlign w:val="center"/>
          </w:tcPr>
          <w:p>
            <w:pPr>
              <w:pStyle w:val="TableContents"/>
              <w:bidi w:val="0"/>
              <w:spacing w:before="0" w:after="283"/>
              <w:jc w:val="left"/>
              <w:rPr/>
            </w:pPr>
            <w:r>
              <w:rPr/>
              <w:t> </w:t>
            </w:r>
          </w:p>
        </w:tc>
        <w:tc>
          <w:tcPr>
            <w:tcW w:w="1360" w:type="dxa"/>
            <w:tcBorders/>
            <w:shd w:fill="E5E5E5" w:val="clear"/>
            <w:vAlign w:val="center"/>
          </w:tcPr>
          <w:p>
            <w:pPr>
              <w:pStyle w:val="TableContents"/>
              <w:bidi w:val="0"/>
              <w:spacing w:before="0" w:after="283"/>
              <w:jc w:val="right"/>
              <w:rPr/>
            </w:pPr>
            <w:r>
              <w:rPr/>
              <w:t>61,203</w:t>
            </w:r>
          </w:p>
        </w:tc>
        <w:tc>
          <w:tcPr>
            <w:tcW w:w="460" w:type="dxa"/>
            <w:tcBorders/>
            <w:shd w:fill="E5E5E5" w:val="clear"/>
            <w:vAlign w:val="center"/>
          </w:tcPr>
          <w:p>
            <w:pPr>
              <w:pStyle w:val="TableContents"/>
              <w:bidi w:val="0"/>
              <w:spacing w:before="0" w:after="283"/>
              <w:jc w:val="left"/>
              <w:rPr/>
            </w:pPr>
            <w:r>
              <w:rPr/>
              <w:t>(a)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2" w:type="dxa"/>
            <w:tcBorders/>
            <w:vAlign w:val="center"/>
          </w:tcPr>
          <w:p>
            <w:pPr>
              <w:pStyle w:val="TableContents"/>
              <w:bidi w:val="0"/>
              <w:spacing w:before="0" w:after="0"/>
              <w:jc w:val="left"/>
              <w:rPr>
                <w:rFonts w:ascii="arial" w:hAnsi="arial"/>
                <w:sz w:val="18"/>
              </w:rPr>
            </w:pPr>
            <w:r>
              <w:rPr>
                <w:rFonts w:ascii="arial" w:hAnsi="arial"/>
                <w:sz w:val="18"/>
              </w:rPr>
              <w:t xml:space="preserve">Per election made by the non-employee director under the Director Deferral Plan, receipt of this restricted stock unit award for shares of our common stock was deferred until the end of the respective board member’s service.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75"/>
        <w:gridCol w:w="290"/>
        <w:gridCol w:w="89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0"/>
              <w:jc w:val="left"/>
              <w:rPr>
                <w:rFonts w:ascii="arial" w:hAnsi="arial"/>
                <w:sz w:val="18"/>
              </w:rPr>
            </w:pPr>
            <w:r>
              <w:rPr>
                <w:rFonts w:ascii="arial" w:hAnsi="arial"/>
                <w:sz w:val="18"/>
              </w:rPr>
              <w:t xml:space="preserve">Due to his resignation from the Board of Directors in 2024, Mr. Saretsky’s award was forfeited prior to vesting. </w:t>
            </w:r>
          </w:p>
        </w:tc>
      </w:tr>
    </w:tbl>
    <w:p>
      <w:pPr>
        <w:pStyle w:val="TextBody"/>
        <w:bidi w:val="0"/>
        <w:spacing w:before="240" w:after="0"/>
        <w:jc w:val="left"/>
        <w:rPr>
          <w:rFonts w:ascii="arial" w:hAnsi="arial"/>
          <w:sz w:val="22"/>
        </w:rPr>
      </w:pPr>
      <w:r>
        <w:rPr>
          <w:rFonts w:ascii="arial" w:hAnsi="arial"/>
          <w:sz w:val="22"/>
        </w:rPr>
        <w:t xml:space="preserve">The non-employee members of our Board of Directors are reimbursed for their actual travel and other out-of-pocket expenses in connection with their service on our Board of Directors and Board committees, and are eligible to receive reimbursement for up to $5,000 annually for director education programs. Non-employee directors are not otherwise provided perquisites or retirement benefits. </w:t>
      </w:r>
    </w:p>
    <w:p>
      <w:pPr>
        <w:pStyle w:val="TextBody"/>
        <w:bidi w:val="0"/>
        <w:spacing w:before="360" w:after="0"/>
        <w:jc w:val="left"/>
        <w:rPr>
          <w:rFonts w:ascii="arial" w:hAnsi="arial"/>
          <w:i/>
          <w:sz w:val="22"/>
        </w:rPr>
      </w:pPr>
      <w:r>
        <w:rPr>
          <w:rFonts w:ascii="arial" w:hAnsi="arial"/>
          <w:i/>
          <w:sz w:val="22"/>
        </w:rPr>
        <w:t xml:space="preserve">2025 Compensation </w:t>
      </w:r>
    </w:p>
    <w:p>
      <w:pPr>
        <w:pStyle w:val="TextBody"/>
        <w:bidi w:val="0"/>
        <w:spacing w:before="120" w:after="0"/>
        <w:jc w:val="left"/>
        <w:rPr>
          <w:rFonts w:ascii="arial" w:hAnsi="arial"/>
          <w:sz w:val="22"/>
        </w:rPr>
      </w:pPr>
      <w:r>
        <w:rPr>
          <w:rFonts w:ascii="arial" w:hAnsi="arial"/>
          <w:sz w:val="22"/>
        </w:rPr>
        <w:t xml:space="preserve">In February 2025, the Compensation Committee, with the assistance of Korn Ferry, reviewed the compensation program for the non-employee members of our Board of Directors. In its assessment, the Compensation Committee compared the design and the compensation elements of the program to that of the directors’ compensation programs of our peer group. Based on its review, the Compensation Committee recommended that, and the Board of Directors approved effective February 5, 2025, an increase in the value of the annual grant of restricted stock unit awards from $160,000 to $200,000 and an increase in the annual cash retainer for the chair of the Technology Committee from $15,000 to $20,000.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37" w:type="dxa"/>
        <w:jc w:val="left"/>
        <w:tblInd w:w="0" w:type="dxa"/>
        <w:tblLayout w:type="fixed"/>
        <w:tblCellMar>
          <w:top w:w="0" w:type="dxa"/>
          <w:left w:w="0" w:type="dxa"/>
          <w:bottom w:w="0" w:type="dxa"/>
          <w:right w:w="0" w:type="dxa"/>
        </w:tblCellMar>
      </w:tblPr>
      <w:tblGrid>
        <w:gridCol w:w="5390"/>
        <w:gridCol w:w="60"/>
        <w:gridCol w:w="23"/>
        <w:gridCol w:w="60"/>
        <w:gridCol w:w="23"/>
        <w:gridCol w:w="60"/>
        <w:gridCol w:w="23"/>
        <w:gridCol w:w="60"/>
        <w:gridCol w:w="38"/>
      </w:tblGrid>
      <w:tr>
        <w:trPr/>
        <w:tc>
          <w:tcPr>
            <w:tcW w:w="5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9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2: RATIFICATION OF INDEPENDENT AUDITORS 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34" w:name="tx888712_32"/>
      <w:bookmarkEnd w:id="34"/>
      <w:r>
        <w:rPr>
          <w:rFonts w:ascii="arial" w:hAnsi="arial"/>
          <w:b/>
          <w:color w:val="CF0A2C"/>
          <w:sz w:val="44"/>
        </w:rPr>
        <w:t xml:space="preserve">PROPOSAL 2: RATIFICATION OF INDEPENDENT AUDITORS </w:t>
      </w:r>
    </w:p>
    <w:p>
      <w:pPr>
        <w:pStyle w:val="TextBody"/>
        <w:bidi w:val="0"/>
        <w:spacing w:before="120" w:after="0"/>
        <w:jc w:val="left"/>
        <w:rPr>
          <w:rFonts w:ascii="arial" w:hAnsi="arial"/>
          <w:sz w:val="22"/>
        </w:rPr>
      </w:pPr>
      <w:r>
        <w:rPr>
          <w:rFonts w:ascii="arial" w:hAnsi="arial"/>
          <w:sz w:val="22"/>
        </w:rPr>
        <w:t xml:space="preserve">The Audit Committee of the Board of Directors has selected Ernst &amp; Young LLP (“Ernst &amp; Young”) as the independent registered public accounting firm to audit our financial statements for the fiscal year ending December 31, 2025, and is requesting ratification by our stockholders. If our stockholders do not approve the selection of Ernst &amp; Young, the selection of other independent auditors for the fiscal year ending December 31, 2026 will be considered by the Audit Committee. </w:t>
      </w:r>
    </w:p>
    <w:p>
      <w:pPr>
        <w:pStyle w:val="TextBody"/>
        <w:bidi w:val="0"/>
        <w:spacing w:before="240" w:after="0"/>
        <w:jc w:val="left"/>
        <w:rPr>
          <w:rFonts w:ascii="arial" w:hAnsi="arial"/>
          <w:sz w:val="22"/>
        </w:rPr>
      </w:pPr>
      <w:r>
        <w:rPr>
          <w:rFonts w:ascii="arial" w:hAnsi="arial"/>
          <w:sz w:val="22"/>
        </w:rPr>
        <w:t xml:space="preserve">Representatives of Ernst &amp; Young are expected to be present at the Annual Meeting with the opportunity to make a statement if they desire to do so and to respond to questions. </w:t>
      </w:r>
    </w:p>
    <w:p>
      <w:pPr>
        <w:pStyle w:val="TextBody"/>
        <w:bidi w:val="0"/>
        <w:spacing w:before="360" w:after="0"/>
        <w:jc w:val="left"/>
        <w:rPr>
          <w:rFonts w:ascii="arial" w:hAnsi="arial"/>
          <w:b/>
          <w:color w:val="CF0A2C"/>
          <w:sz w:val="28"/>
        </w:rPr>
      </w:pPr>
      <w:bookmarkStart w:id="35" w:name="tx888712_33"/>
      <w:bookmarkEnd w:id="35"/>
      <w:r>
        <w:rPr>
          <w:rFonts w:ascii="arial" w:hAnsi="arial"/>
          <w:b/>
          <w:color w:val="CF0A2C"/>
          <w:sz w:val="28"/>
        </w:rPr>
        <w:t xml:space="preserve">Principal Accounting Firm Fees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Our aggregate fees (excluding value added taxes) with respect to the fiscal years ended December 31, 2024 and 2023 to our principal accounting firm, Ernst &amp; Young, were as follows (in thousands): </w:t>
      </w:r>
    </w:p>
    <w:p>
      <w:pPr>
        <w:pStyle w:val="TextBody"/>
        <w:bidi w:val="0"/>
        <w:spacing w:before="0" w:after="0"/>
        <w:jc w:val="left"/>
        <w:rPr/>
      </w:pPr>
      <w:r>
        <w:rPr/>
        <w:t> </w:t>
      </w:r>
    </w:p>
    <w:tbl>
      <w:tblPr>
        <w:tblW w:w="3626" w:type="dxa"/>
        <w:jc w:val="left"/>
        <w:tblInd w:w="0" w:type="dxa"/>
        <w:tblLayout w:type="fixed"/>
        <w:tblCellMar>
          <w:top w:w="0" w:type="dxa"/>
          <w:left w:w="0" w:type="dxa"/>
          <w:bottom w:w="0" w:type="dxa"/>
          <w:right w:w="0" w:type="dxa"/>
        </w:tblCellMar>
      </w:tblPr>
      <w:tblGrid>
        <w:gridCol w:w="1925"/>
        <w:gridCol w:w="60"/>
        <w:gridCol w:w="60"/>
        <w:gridCol w:w="140"/>
        <w:gridCol w:w="560"/>
        <w:gridCol w:w="23"/>
        <w:gridCol w:w="60"/>
        <w:gridCol w:w="60"/>
        <w:gridCol w:w="140"/>
        <w:gridCol w:w="560"/>
        <w:gridCol w:w="38"/>
      </w:tblGrid>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666666"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783" w:type="dxa"/>
            <w:gridSpan w:val="4"/>
            <w:tcBorders/>
            <w:shd w:fill="666666" w:val="clear"/>
            <w:vAlign w:val="center"/>
          </w:tcPr>
          <w:p>
            <w:pPr>
              <w:pStyle w:val="TableContents"/>
              <w:bidi w:val="0"/>
              <w:spacing w:before="0" w:after="283"/>
              <w:jc w:val="center"/>
              <w:rPr>
                <w:b/>
                <w:color w:val="FFFFFF"/>
              </w:rPr>
            </w:pPr>
            <w:r>
              <w:rPr>
                <w:b/>
                <w:color w:val="FFFFFF"/>
              </w:rPr>
              <w:t>2024</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798" w:type="dxa"/>
            <w:gridSpan w:val="4"/>
            <w:tcBorders/>
            <w:shd w:fill="666666" w:val="clear"/>
            <w:vAlign w:val="center"/>
          </w:tcPr>
          <w:p>
            <w:pPr>
              <w:pStyle w:val="TableContents"/>
              <w:bidi w:val="0"/>
              <w:spacing w:before="0" w:after="283"/>
              <w:jc w:val="center"/>
              <w:rPr>
                <w:b/>
                <w:color w:val="FFFFFF"/>
              </w:rPr>
            </w:pPr>
            <w:r>
              <w:rPr>
                <w:b/>
                <w:color w:val="FFFFFF"/>
              </w:rPr>
              <w:t>2023</w:t>
            </w:r>
          </w:p>
        </w:tc>
      </w:tr>
      <w:tr>
        <w:trPr/>
        <w:tc>
          <w:tcPr>
            <w:tcW w:w="1925" w:type="dxa"/>
            <w:tcBorders/>
            <w:shd w:fill="E5E5E5" w:val="clear"/>
            <w:vAlign w:val="center"/>
          </w:tcPr>
          <w:p>
            <w:pPr>
              <w:pStyle w:val="TableContents"/>
              <w:bidi w:val="0"/>
              <w:spacing w:before="0" w:after="283"/>
              <w:jc w:val="left"/>
              <w:rPr>
                <w:sz w:val="4"/>
                <w:szCs w:val="4"/>
              </w:rPr>
            </w:pPr>
            <w:r>
              <w:rPr>
                <w:sz w:val="4"/>
                <w:szCs w:val="4"/>
              </w:rPr>
            </w:r>
          </w:p>
        </w:tc>
        <w:tc>
          <w:tcPr>
            <w:tcW w:w="84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5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25" w:type="dxa"/>
            <w:tcBorders/>
            <w:shd w:fill="E5E5E5" w:val="clear"/>
            <w:vAlign w:val="center"/>
          </w:tcPr>
          <w:p>
            <w:pPr>
              <w:pStyle w:val="TableContents"/>
              <w:bidi w:val="0"/>
              <w:spacing w:before="0" w:after="0"/>
              <w:jc w:val="left"/>
              <w:rPr>
                <w:rFonts w:ascii="arial" w:hAnsi="arial"/>
                <w:sz w:val="20"/>
              </w:rPr>
            </w:pPr>
            <w:r>
              <w:rPr>
                <w:rFonts w:ascii="arial" w:hAnsi="arial"/>
                <w:sz w:val="20"/>
              </w:rPr>
              <w:t>Audit Fees(1)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560" w:type="dxa"/>
            <w:tcBorders/>
            <w:shd w:fill="E5E5E5" w:val="clear"/>
            <w:vAlign w:val="center"/>
          </w:tcPr>
          <w:p>
            <w:pPr>
              <w:pStyle w:val="TableContents"/>
              <w:bidi w:val="0"/>
              <w:spacing w:before="0" w:after="283"/>
              <w:jc w:val="right"/>
              <w:rPr/>
            </w:pPr>
            <w:r>
              <w:rPr/>
              <w:t>8,587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560" w:type="dxa"/>
            <w:tcBorders/>
            <w:shd w:fill="E5E5E5" w:val="clear"/>
            <w:vAlign w:val="center"/>
          </w:tcPr>
          <w:p>
            <w:pPr>
              <w:pStyle w:val="TableContents"/>
              <w:bidi w:val="0"/>
              <w:spacing w:before="0" w:after="283"/>
              <w:jc w:val="right"/>
              <w:rPr/>
            </w:pPr>
            <w:r>
              <w:rPr/>
              <w:t>8,334</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84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85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arial" w:hAnsi="arial"/>
                <w:sz w:val="20"/>
              </w:rPr>
            </w:pPr>
            <w:r>
              <w:rPr>
                <w:rFonts w:ascii="arial" w:hAnsi="arial"/>
                <w:sz w:val="20"/>
              </w:rPr>
              <w:t>Audit-Related Fees(2)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512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538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E5E5E5" w:val="clear"/>
            <w:vAlign w:val="center"/>
          </w:tcPr>
          <w:p>
            <w:pPr>
              <w:pStyle w:val="TableContents"/>
              <w:bidi w:val="0"/>
              <w:spacing w:before="0" w:after="283"/>
              <w:jc w:val="left"/>
              <w:rPr>
                <w:sz w:val="4"/>
                <w:szCs w:val="4"/>
              </w:rPr>
            </w:pPr>
            <w:r>
              <w:rPr>
                <w:sz w:val="4"/>
                <w:szCs w:val="4"/>
              </w:rPr>
            </w:r>
          </w:p>
        </w:tc>
        <w:tc>
          <w:tcPr>
            <w:tcW w:w="843"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5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925" w:type="dxa"/>
            <w:tcBorders/>
            <w:shd w:fill="E5E5E5" w:val="clear"/>
            <w:vAlign w:val="center"/>
          </w:tcPr>
          <w:p>
            <w:pPr>
              <w:pStyle w:val="TableContents"/>
              <w:bidi w:val="0"/>
              <w:spacing w:before="0" w:after="0"/>
              <w:jc w:val="left"/>
              <w:rPr>
                <w:rFonts w:ascii="arial" w:hAnsi="arial"/>
                <w:sz w:val="20"/>
              </w:rPr>
            </w:pPr>
            <w:r>
              <w:rPr>
                <w:rFonts w:ascii="arial" w:hAnsi="arial"/>
                <w:sz w:val="20"/>
              </w:rPr>
              <w:t>Tax Fees(3)</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560" w:type="dxa"/>
            <w:tcBorders/>
            <w:shd w:fill="E5E5E5" w:val="clear"/>
            <w:vAlign w:val="center"/>
          </w:tcPr>
          <w:p>
            <w:pPr>
              <w:pStyle w:val="TableContents"/>
              <w:bidi w:val="0"/>
              <w:spacing w:before="0" w:after="283"/>
              <w:jc w:val="right"/>
              <w:rPr/>
            </w:pPr>
            <w:r>
              <w:rPr/>
              <w:t>505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560" w:type="dxa"/>
            <w:tcBorders/>
            <w:shd w:fill="E5E5E5" w:val="clear"/>
            <w:vAlign w:val="center"/>
          </w:tcPr>
          <w:p>
            <w:pPr>
              <w:pStyle w:val="TableContents"/>
              <w:bidi w:val="0"/>
              <w:spacing w:before="0" w:after="283"/>
              <w:jc w:val="right"/>
              <w:rPr/>
            </w:pPr>
            <w:r>
              <w:rPr/>
              <w:t>724</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843"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858"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arial" w:hAnsi="arial"/>
                <w:sz w:val="20"/>
              </w:rPr>
            </w:pPr>
            <w:r>
              <w:rPr>
                <w:rFonts w:ascii="arial" w:hAnsi="arial"/>
                <w:sz w:val="20"/>
              </w:rPr>
              <w:t>All Other Fees(4)</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1,362</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arial" w:hAnsi="arial"/>
                <w:sz w:val="18"/>
              </w:rPr>
            </w:pPr>
            <w:r>
              <w:rPr>
                <w:rFonts w:ascii="arial" w:hAnsi="arial"/>
                <w:sz w:val="18"/>
              </w:rPr>
              <w:t xml:space="preserve">Audit fees consist of fees for the audit of our consolidated financial statements, the review of the unaudited interim financial statements included in our quarterly reports on Form 10-Q, and other professional services provided in connection with statutory and regulatory filings or which include services provided in connection with our filings with the SEC under the Securities Act of 1933, as amended (the “Securities Act”).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283"/>
              <w:jc w:val="left"/>
              <w:rPr/>
            </w:pPr>
            <w:r>
              <w:rPr/>
              <w:t>(2)</w:t>
            </w:r>
          </w:p>
        </w:tc>
        <w:tc>
          <w:tcPr>
            <w:tcW w:w="8990" w:type="dxa"/>
            <w:tcBorders/>
            <w:vAlign w:val="center"/>
          </w:tcPr>
          <w:p>
            <w:pPr>
              <w:pStyle w:val="TableContents"/>
              <w:bidi w:val="0"/>
              <w:spacing w:before="0" w:after="0"/>
              <w:jc w:val="left"/>
              <w:rPr>
                <w:rFonts w:ascii="arial" w:hAnsi="arial"/>
                <w:sz w:val="18"/>
              </w:rPr>
            </w:pPr>
            <w:r>
              <w:rPr>
                <w:rFonts w:ascii="arial" w:hAnsi="arial"/>
                <w:sz w:val="18"/>
              </w:rPr>
              <w:t xml:space="preserve">Audit-related fees consist primarily of service organization control examinations and other attestation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(3)</w:t>
            </w:r>
          </w:p>
        </w:tc>
        <w:tc>
          <w:tcPr>
            <w:tcW w:w="9905" w:type="dxa"/>
            <w:tcBorders/>
            <w:vAlign w:val="center"/>
          </w:tcPr>
          <w:p>
            <w:pPr>
              <w:pStyle w:val="TableContents"/>
              <w:bidi w:val="0"/>
              <w:spacing w:before="0" w:after="0"/>
              <w:jc w:val="left"/>
              <w:rPr>
                <w:rFonts w:ascii="arial" w:hAnsi="arial"/>
                <w:sz w:val="18"/>
              </w:rPr>
            </w:pPr>
            <w:r>
              <w:rPr>
                <w:rFonts w:ascii="arial" w:hAnsi="arial"/>
                <w:sz w:val="18"/>
              </w:rPr>
              <w:t xml:space="preserve">Tax fees comprise fees for a variety of permissible services relating to international tax compliance, tax planning, and tax advice.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305"/>
        <w:gridCol w:w="9605"/>
      </w:tblGrid>
      <w:tr>
        <w:trPr/>
        <w:tc>
          <w:tcPr>
            <w:tcW w:w="305" w:type="dxa"/>
            <w:tcBorders/>
            <w:vAlign w:val="center"/>
          </w:tcPr>
          <w:p>
            <w:pPr>
              <w:pStyle w:val="TableContents"/>
              <w:bidi w:val="0"/>
              <w:spacing w:before="0" w:after="283"/>
              <w:jc w:val="left"/>
              <w:rPr/>
            </w:pPr>
            <w:r>
              <w:rPr/>
              <w:t>(4)</w:t>
            </w:r>
          </w:p>
        </w:tc>
        <w:tc>
          <w:tcPr>
            <w:tcW w:w="9605" w:type="dxa"/>
            <w:tcBorders/>
            <w:vAlign w:val="center"/>
          </w:tcPr>
          <w:p>
            <w:pPr>
              <w:pStyle w:val="TableContents"/>
              <w:bidi w:val="0"/>
              <w:spacing w:before="0" w:after="0"/>
              <w:jc w:val="left"/>
              <w:rPr>
                <w:rFonts w:ascii="arial" w:hAnsi="arial"/>
                <w:sz w:val="18"/>
              </w:rPr>
            </w:pPr>
            <w:r>
              <w:rPr>
                <w:rFonts w:ascii="arial" w:hAnsi="arial"/>
                <w:sz w:val="18"/>
              </w:rPr>
              <w:t xml:space="preserve">All other fees were paid for advisory and other assessment services and an online technical accounting research tool. </w:t>
            </w:r>
          </w:p>
        </w:tc>
      </w:tr>
    </w:tbl>
    <w:p>
      <w:pPr>
        <w:pStyle w:val="TextBody"/>
        <w:bidi w:val="0"/>
        <w:spacing w:before="360" w:after="0"/>
        <w:jc w:val="left"/>
        <w:rPr>
          <w:rFonts w:ascii="arial" w:hAnsi="arial"/>
          <w:b/>
          <w:color w:val="CF0A2C"/>
          <w:sz w:val="28"/>
        </w:rPr>
      </w:pPr>
      <w:bookmarkStart w:id="36" w:name="tx888712_34"/>
      <w:bookmarkEnd w:id="36"/>
      <w:r>
        <w:rPr>
          <w:rFonts w:ascii="arial" w:hAnsi="arial"/>
          <w:b/>
          <w:color w:val="CF0A2C"/>
          <w:sz w:val="28"/>
        </w:rPr>
        <w:t xml:space="preserve">Audit Committee Approval of Audit and Non-Audit Services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All audit and non-audit services provided by Ernst &amp; Young to Sabre are pre-approved by the Audit Committee using the following procedures. At the first regularly scheduled meeting of the Audit Committee each year, the Audit Committee reviews a proposal, together with the related fees, to engage Ernst &amp; Young for audit services. In addition, also at the first regularly scheduled meeting of the year, our Audit Committee reviews non-audit services to be provided by Ernst &amp; Young during the year. At each subsequent in-person meeting, the Audit Committee reviews, if applicable, updated information regarding approved services and highlights any new audit and non-audit services to be provided by Ernst &amp; Young. All new non-audit services to be provided are described in individual requests for services. The Audit Committee reviews the individual requests for non-audit services and approves the services if acceptable to the Audit Committee.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3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9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539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2: RATIFICATION OF INDEPENDENT AUDITORS 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Predictable and recurring covered services and their related fee estimates or fee arrangements are considered for general pre-approval by the full Audit Committee on an annual basis at the first regularly scheduled meeting of the year, based on information that is sufficiently detailed to identify the scope of the services to be provided. General pre-approval of any covered services is effective for the applicable fiscal year. A covered service and its related fee estimate or fee arrangement that has not received general pre-approval must be pre-approved by the Audit Committee or the Chair of the Audit Committee. </w:t>
      </w:r>
    </w:p>
    <w:p>
      <w:pPr>
        <w:pStyle w:val="TextBody"/>
        <w:bidi w:val="0"/>
        <w:spacing w:before="240" w:after="0"/>
        <w:jc w:val="left"/>
        <w:rPr>
          <w:rFonts w:ascii="arial" w:hAnsi="arial"/>
          <w:sz w:val="22"/>
        </w:rPr>
      </w:pPr>
      <w:r>
        <w:rPr>
          <w:rFonts w:ascii="arial" w:hAnsi="arial"/>
          <w:sz w:val="22"/>
        </w:rPr>
        <w:t xml:space="preserve">In considering whether to pre-approve a covered service, the Audit Committee considers the nature and scope of the proposed service in light of applicable law, as well as the principles and other guidance enunciated by the SEC and the Public Company Accounting Oversight Board (“PCAOB”) with respect to auditor independence, including that an auditor cannot (1) function in the role of management, (2) audit his or her own work, or (3) serve in an advocacy role for his or her client. The Audit Committee also considers whether the independent auditors are best positioned to provide the most effective and efficient service, for reasons such as their familiarity with our business, people, culture, accounting systems, risk profile, and other factors, and whether the service might enhance our ability to manage or control risk, or improve audit quality. All these factors are considered as a whole, and no one factor is necessarily determinative. The Audit Committee is also mindful of the ratio of fees for audit to non-audit services in determining whether to grant pre-approval for any service, and considers whether the level of non-audit services, even if permissible under applicable law, is appropriate in light of the independence of the auditor. </w:t>
      </w:r>
    </w:p>
    <w:p>
      <w:pPr>
        <w:pStyle w:val="TextBody"/>
        <w:bidi w:val="0"/>
        <w:spacing w:before="240" w:after="0"/>
        <w:jc w:val="left"/>
        <w:rPr>
          <w:rFonts w:ascii="arial" w:hAnsi="arial"/>
          <w:sz w:val="22"/>
        </w:rPr>
      </w:pPr>
      <w:r>
        <w:rPr>
          <w:rFonts w:ascii="arial" w:hAnsi="arial"/>
          <w:sz w:val="22"/>
        </w:rPr>
        <w:t xml:space="preserve">To ensure prompt handling of unexpected matters, the Audit Committee has delegated to the Chair of the Audit Committee the authority to pre-approve any individual covered services that are not the subject of general pre-approval and for which the aggregate estimated fees do not exceed $250,000. Actions taken are reported to the Audit Committee at its next Committee meeting. All services and fees in 2024 were pre-approved by the Audit Committee or the Chair of the Audit Committee. </w:t>
      </w:r>
    </w:p>
    <w:p>
      <w:pPr>
        <w:pStyle w:val="TextBody"/>
        <w:bidi w:val="0"/>
        <w:spacing w:before="240" w:after="0"/>
        <w:jc w:val="left"/>
        <w:rPr>
          <w:rFonts w:ascii="arial" w:hAnsi="arial"/>
          <w:b/>
          <w:sz w:val="22"/>
        </w:rPr>
      </w:pPr>
      <w:r>
        <w:rPr>
          <w:rFonts w:ascii="arial" w:hAnsi="arial"/>
          <w:b/>
          <w:sz w:val="22"/>
        </w:rPr>
        <w:t xml:space="preserve">The Board of Directors unanimously recommends a vote FOR ratification of the appointment of Ernst &amp; Young LLP as our independent auditors for the fiscal year ending December 31, 2025. </w:t>
      </w:r>
    </w:p>
    <w:p>
      <w:pPr>
        <w:pStyle w:val="TextBody"/>
        <w:bidi w:val="0"/>
        <w:spacing w:before="360" w:after="0"/>
        <w:jc w:val="left"/>
        <w:rPr>
          <w:rFonts w:ascii="arial" w:hAnsi="arial"/>
          <w:b/>
          <w:color w:val="CF0A2C"/>
          <w:sz w:val="28"/>
        </w:rPr>
      </w:pPr>
      <w:bookmarkStart w:id="37" w:name="tx888712_35"/>
      <w:bookmarkEnd w:id="37"/>
      <w:r>
        <w:rPr>
          <w:rFonts w:ascii="arial" w:hAnsi="arial"/>
          <w:b/>
          <w:color w:val="CF0A2C"/>
          <w:sz w:val="28"/>
        </w:rPr>
        <w:t xml:space="preserve">Audit Committee Report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Audit Committee operates under a written charter adopted by the Board of Directors. In accordance with this charter, the Audit Committee assists the Board of Directors in fulfilling its oversight responsibility relating to the integrity of Sabre’s financial statements and internal control system. Management and the independent auditors are responsible for the planning and conduct of audits, as well as for any determination that Sabre’s financial statements are complete, accurate, and in accordance with accounting principles generally accepted in the United States of America (“GAAP”). The Audit Committee is responsible for the oversight of management and the independent auditors in connection with this process. </w:t>
      </w:r>
    </w:p>
    <w:p>
      <w:pPr>
        <w:pStyle w:val="TextBody"/>
        <w:bidi w:val="0"/>
        <w:spacing w:before="240" w:after="0"/>
        <w:jc w:val="left"/>
        <w:rPr>
          <w:rFonts w:ascii="arial" w:hAnsi="arial"/>
          <w:sz w:val="22"/>
        </w:rPr>
      </w:pPr>
      <w:r>
        <w:rPr>
          <w:rFonts w:ascii="arial" w:hAnsi="arial"/>
          <w:sz w:val="22"/>
        </w:rPr>
        <w:t xml:space="preserve">In addition, the Audit Committee is responsible for monitoring the independence of and the risk assessment procedures used by the independent auditors, selecting, and retaining the independent auditors, and overseeing compliance with various laws and regulations.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37" w:type="dxa"/>
        <w:jc w:val="left"/>
        <w:tblInd w:w="0" w:type="dxa"/>
        <w:tblLayout w:type="fixed"/>
        <w:tblCellMar>
          <w:top w:w="0" w:type="dxa"/>
          <w:left w:w="0" w:type="dxa"/>
          <w:bottom w:w="0" w:type="dxa"/>
          <w:right w:w="0" w:type="dxa"/>
        </w:tblCellMar>
      </w:tblPr>
      <w:tblGrid>
        <w:gridCol w:w="5390"/>
        <w:gridCol w:w="60"/>
        <w:gridCol w:w="23"/>
        <w:gridCol w:w="60"/>
        <w:gridCol w:w="23"/>
        <w:gridCol w:w="60"/>
        <w:gridCol w:w="23"/>
        <w:gridCol w:w="60"/>
        <w:gridCol w:w="38"/>
      </w:tblGrid>
      <w:tr>
        <w:trPr/>
        <w:tc>
          <w:tcPr>
            <w:tcW w:w="5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39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2: RATIFICATION OF INDEPENDENT AUDITORS 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In discharging its oversight responsibilities, the Audit Committee reviewed and discussed Sabre’s audited financial statements with management and Ernst &amp; Young, Sabre’s independent auditors. The Audit Committee also discussed with Ernst &amp; Young all communications required by the auditing standards of the PCAOB. </w:t>
      </w:r>
    </w:p>
    <w:p>
      <w:pPr>
        <w:pStyle w:val="TextBody"/>
        <w:bidi w:val="0"/>
        <w:spacing w:before="240" w:after="0"/>
        <w:jc w:val="left"/>
        <w:rPr>
          <w:rFonts w:ascii="arial" w:hAnsi="arial"/>
          <w:sz w:val="22"/>
        </w:rPr>
      </w:pPr>
      <w:r>
        <w:rPr>
          <w:rFonts w:ascii="arial" w:hAnsi="arial"/>
          <w:sz w:val="22"/>
        </w:rPr>
        <w:t xml:space="preserve">The Audit Committee received the written disclosures and letter from Ernst &amp; Young required by applicable requirements of the PCAOB regarding Ernst &amp; Young’s communications with the Audit Committee concerning independence and has discussed Ernst &amp; Young’s independence with them. </w:t>
      </w:r>
    </w:p>
    <w:p>
      <w:pPr>
        <w:pStyle w:val="TextBody"/>
        <w:bidi w:val="0"/>
        <w:spacing w:before="240" w:after="0"/>
        <w:jc w:val="left"/>
        <w:rPr>
          <w:rFonts w:ascii="arial" w:hAnsi="arial"/>
          <w:sz w:val="22"/>
        </w:rPr>
      </w:pPr>
      <w:r>
        <w:rPr>
          <w:rFonts w:ascii="arial" w:hAnsi="arial"/>
          <w:sz w:val="22"/>
        </w:rPr>
        <w:t xml:space="preserve">The Audit Committee has relied on management’s representation that the financial statements have been prepared in accordance with GAAP and on the opinion of Ernst &amp; Young included in their report on Sabre’s financial statements. </w:t>
      </w:r>
    </w:p>
    <w:p>
      <w:pPr>
        <w:pStyle w:val="TextBody"/>
        <w:bidi w:val="0"/>
        <w:spacing w:before="240" w:after="0"/>
        <w:jc w:val="left"/>
        <w:rPr>
          <w:rFonts w:ascii="arial" w:hAnsi="arial"/>
          <w:sz w:val="22"/>
        </w:rPr>
      </w:pPr>
      <w:r>
        <w:rPr>
          <w:rFonts w:ascii="arial" w:hAnsi="arial"/>
          <w:sz w:val="22"/>
        </w:rPr>
        <w:t xml:space="preserve">Based on the above-mentioned review and discussions with management and the auditors, the Audit Committee recommended to the Board of Directors that the audited financial statements be included in Sabre’s Annual Report on Form 10-K for the year ended December 31, 2024, for filing with the SEC. </w:t>
      </w:r>
    </w:p>
    <w:p>
      <w:pPr>
        <w:pStyle w:val="TextBody"/>
        <w:bidi w:val="0"/>
        <w:spacing w:before="240" w:after="0"/>
        <w:jc w:val="left"/>
        <w:rPr>
          <w:rFonts w:ascii="arial" w:hAnsi="arial"/>
          <w:sz w:val="22"/>
        </w:rPr>
      </w:pPr>
      <w:r>
        <w:rPr>
          <w:rFonts w:ascii="arial" w:hAnsi="arial"/>
          <w:sz w:val="22"/>
        </w:rPr>
        <w:t xml:space="preserve">AUDIT COMMITTEE OF </w:t>
      </w:r>
    </w:p>
    <w:p>
      <w:pPr>
        <w:pStyle w:val="TextBody"/>
        <w:bidi w:val="0"/>
        <w:spacing w:before="0" w:after="0"/>
        <w:jc w:val="left"/>
        <w:rPr>
          <w:rFonts w:ascii="arial" w:hAnsi="arial"/>
          <w:sz w:val="22"/>
        </w:rPr>
      </w:pPr>
      <w:r>
        <w:rPr>
          <w:rFonts w:ascii="arial" w:hAnsi="arial"/>
          <w:sz w:val="22"/>
        </w:rPr>
        <w:t xml:space="preserve">THE BOARD OF DIRECTORS </w:t>
      </w:r>
    </w:p>
    <w:p>
      <w:pPr>
        <w:pStyle w:val="TextBody"/>
        <w:bidi w:val="0"/>
        <w:spacing w:before="240" w:after="0"/>
        <w:jc w:val="left"/>
        <w:rPr>
          <w:rFonts w:ascii="arial" w:hAnsi="arial"/>
          <w:sz w:val="22"/>
        </w:rPr>
      </w:pPr>
      <w:r>
        <w:rPr>
          <w:rFonts w:ascii="arial" w:hAnsi="arial"/>
          <w:sz w:val="22"/>
        </w:rPr>
        <w:t xml:space="preserve">George Bravante, Jr., Chair </w:t>
      </w:r>
    </w:p>
    <w:p>
      <w:pPr>
        <w:pStyle w:val="TextBody"/>
        <w:bidi w:val="0"/>
        <w:spacing w:before="0" w:after="0"/>
        <w:jc w:val="left"/>
        <w:rPr>
          <w:rFonts w:ascii="arial" w:hAnsi="arial"/>
          <w:sz w:val="22"/>
        </w:rPr>
      </w:pPr>
      <w:r>
        <w:rPr>
          <w:rFonts w:ascii="arial" w:hAnsi="arial"/>
          <w:sz w:val="22"/>
        </w:rPr>
        <w:t xml:space="preserve">Hervé Couturier </w:t>
      </w:r>
    </w:p>
    <w:p>
      <w:pPr>
        <w:pStyle w:val="TextBody"/>
        <w:bidi w:val="0"/>
        <w:spacing w:before="0" w:after="0"/>
        <w:jc w:val="left"/>
        <w:rPr>
          <w:rFonts w:ascii="arial" w:hAnsi="arial"/>
          <w:sz w:val="22"/>
        </w:rPr>
      </w:pPr>
      <w:r>
        <w:rPr>
          <w:rFonts w:ascii="arial" w:hAnsi="arial"/>
          <w:sz w:val="22"/>
        </w:rPr>
        <w:t xml:space="preserve">Eric Kelly </w:t>
      </w:r>
    </w:p>
    <w:p>
      <w:pPr>
        <w:pStyle w:val="TextBody"/>
        <w:bidi w:val="0"/>
        <w:spacing w:before="0" w:after="0"/>
        <w:jc w:val="left"/>
        <w:rPr>
          <w:rFonts w:ascii="arial" w:hAnsi="arial"/>
          <w:sz w:val="22"/>
        </w:rPr>
      </w:pPr>
      <w:r>
        <w:rPr>
          <w:rFonts w:ascii="arial" w:hAnsi="arial"/>
          <w:sz w:val="22"/>
        </w:rPr>
        <w:t xml:space="preserve">Phyllis Newhouse </w:t>
      </w:r>
    </w:p>
    <w:p>
      <w:pPr>
        <w:pStyle w:val="TextBody"/>
        <w:bidi w:val="0"/>
        <w:spacing w:before="0" w:after="0"/>
        <w:jc w:val="left"/>
        <w:rPr>
          <w:rFonts w:ascii="arial" w:hAnsi="arial"/>
          <w:sz w:val="22"/>
        </w:rPr>
      </w:pPr>
      <w:r>
        <w:rPr>
          <w:rFonts w:ascii="arial" w:hAnsi="arial"/>
          <w:sz w:val="22"/>
        </w:rPr>
        <w:t xml:space="preserve">Elaine Paul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38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38" w:name="tx888712_36"/>
      <w:bookmarkEnd w:id="38"/>
      <w:r>
        <w:rPr>
          <w:rFonts w:ascii="arial" w:hAnsi="arial"/>
          <w:b/>
          <w:color w:val="CF0A2C"/>
          <w:sz w:val="44"/>
        </w:rPr>
        <w:t xml:space="preserve">PROPOSAL 3: APPROVAL OF THE SABRE CORPORATION 2025 OMNIBUS INCENTIVE COMPENSATION PLAN </w:t>
      </w:r>
    </w:p>
    <w:p>
      <w:pPr>
        <w:pStyle w:val="TextBody"/>
        <w:bidi w:val="0"/>
        <w:spacing w:before="240" w:after="0"/>
        <w:jc w:val="left"/>
        <w:rPr>
          <w:rFonts w:ascii="arial" w:hAnsi="arial"/>
          <w:sz w:val="22"/>
        </w:rPr>
      </w:pPr>
      <w:r>
        <w:rPr>
          <w:rFonts w:ascii="arial" w:hAnsi="arial"/>
          <w:sz w:val="22"/>
        </w:rPr>
        <w:t xml:space="preserve">In February 2025, our Board of Directors adopted the 2025 Omnibus Plan, subject to approval by our stockholders at the 2025 Annual Meeting. </w:t>
      </w:r>
    </w:p>
    <w:p>
      <w:pPr>
        <w:pStyle w:val="TextBody"/>
        <w:bidi w:val="0"/>
        <w:spacing w:before="240" w:after="0"/>
        <w:jc w:val="left"/>
        <w:rPr>
          <w:rFonts w:ascii="arial" w:hAnsi="arial"/>
          <w:sz w:val="22"/>
        </w:rPr>
      </w:pPr>
      <w:r>
        <w:rPr>
          <w:rFonts w:ascii="arial" w:hAnsi="arial"/>
          <w:sz w:val="22"/>
        </w:rPr>
        <w:t xml:space="preserve">We have the 2024 Omnibus Plan in place as of the date of this proxy statement, and as of December 31, 2024, there was a net of 4,994,363 shares of our common stock available for issuance under the 2024 Omnibus Plan, consisting of 14,192,959 shares available for issuance less 9,198,596 shares reserved for issuance for prior performance-based restricted stock unit awards. We expect to utilize an estimated 642,935 additional shares of common stock under the 2024 Omnibus Plan from January 1, 2025 through the date of the 2025 Annual Meeting. Subject to approval of the 2025 Omnibus Plan by stockholders, the 2025 Omnibus Plan will replace the 2024 Omnibus Plan for grants made after the 2025 Annual Meeting, which will also increase the number of shares authorized for issuance pursuant to our equity-based compensation plans. </w:t>
      </w:r>
    </w:p>
    <w:p>
      <w:pPr>
        <w:pStyle w:val="TextBody"/>
        <w:bidi w:val="0"/>
        <w:spacing w:before="240" w:after="0"/>
        <w:jc w:val="left"/>
        <w:rPr>
          <w:rFonts w:ascii="arial" w:hAnsi="arial"/>
          <w:sz w:val="22"/>
        </w:rPr>
      </w:pPr>
      <w:r>
        <w:rPr>
          <w:rFonts w:ascii="arial" w:hAnsi="arial"/>
          <w:sz w:val="22"/>
        </w:rPr>
        <w:t xml:space="preserve">The 2025 Omnibus Plan is a critical part of Sabre’s overall compensation program and is intended to promote the interests of Sabre and its stockholders by providing Sabre’s employees and other service providers, who are responsible for the management, growth, and protection of Sabre’s business, with incentives and rewards to encourage them to continue in the service of Sabre. The 2025 Omnibus Plan is designed to meet these objectives by providing participants with a proprietary interest aligned with the long-term growth, profitability, and financial success of Sabre. </w:t>
      </w:r>
    </w:p>
    <w:p>
      <w:pPr>
        <w:pStyle w:val="TextBody"/>
        <w:bidi w:val="0"/>
        <w:spacing w:before="240" w:after="0"/>
        <w:jc w:val="left"/>
        <w:rPr>
          <w:rFonts w:ascii="arial" w:hAnsi="arial"/>
          <w:sz w:val="22"/>
        </w:rPr>
      </w:pPr>
      <w:r>
        <w:rPr>
          <w:rFonts w:ascii="arial" w:hAnsi="arial"/>
          <w:sz w:val="22"/>
        </w:rPr>
        <w:t xml:space="preserve">As with the 2024 Omnibus Plan, our non-employee directors are not eligible to participate in the plan; instead, they participate in the 2024 Director Plan. </w:t>
      </w:r>
    </w:p>
    <w:p>
      <w:pPr>
        <w:pStyle w:val="TextBody"/>
        <w:bidi w:val="0"/>
        <w:spacing w:before="360" w:after="0"/>
        <w:jc w:val="left"/>
        <w:rPr>
          <w:rFonts w:ascii="arial" w:hAnsi="arial"/>
          <w:b/>
          <w:color w:val="CF0A2C"/>
          <w:sz w:val="28"/>
        </w:rPr>
      </w:pPr>
      <w:bookmarkStart w:id="39" w:name="tx888712_37"/>
      <w:bookmarkEnd w:id="39"/>
      <w:r>
        <w:rPr>
          <w:rFonts w:ascii="arial" w:hAnsi="arial"/>
          <w:b/>
          <w:color w:val="CF0A2C"/>
          <w:sz w:val="28"/>
        </w:rPr>
        <w:t xml:space="preserve">Alignment of 2025 Omnibus Plan with Stockholders’ Interests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2025 Omnibus Plan is designed to reinforce the alignment of our equity compensation opportunities for officers, employees, and other service providers with stockholders’ interests and, as highlighted below, includes a number of noteworthy provisions.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Discounted Stock Options</w:t>
            </w:r>
            <w:r>
              <w:rPr>
                <w:rFonts w:ascii="arial" w:hAnsi="arial"/>
                <w:sz w:val="22"/>
              </w:rPr>
              <w:t xml:space="preserve">. Stock options may not be granted with an exercise price lower than the fair market value of the underlying shares on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Re-pricings/Cash Buyouts without Stockholder Approval</w:t>
            </w:r>
            <w:r>
              <w:rPr>
                <w:rFonts w:ascii="arial" w:hAnsi="arial"/>
                <w:sz w:val="22"/>
              </w:rPr>
              <w:t xml:space="preserve">. The 2025 Omnibus Plan prohibits, without stockholder approval, a stock option or a stock appreciation right from being repurchased for cash at a time when the exercise or strike price, as applicable, is equal to or greater than the fair market value of the underlying shares. The 2025 Omnibus Plan also prohibits any stock option or stock appreciation right from being re-priced, replaced, re-granted through cancellation, or modified without stockholder approval if the effect would be to reduce the exercise or strike price, as applicable, for the shares underlying the option or stock appreciation right.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“Evergreen” Provision</w:t>
            </w:r>
            <w:r>
              <w:rPr>
                <w:rFonts w:ascii="arial" w:hAnsi="arial"/>
                <w:sz w:val="22"/>
              </w:rPr>
              <w:t xml:space="preserve">. There is no “evergreen” feature pursuant to which the shares available for issuance under the 2025 Omnibus Plan can be automatically replenished.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39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9710"/>
        <w:gridCol w:w="60"/>
        <w:gridCol w:w="23"/>
        <w:gridCol w:w="60"/>
        <w:gridCol w:w="23"/>
        <w:gridCol w:w="60"/>
        <w:gridCol w:w="23"/>
        <w:gridCol w:w="60"/>
        <w:gridCol w:w="38"/>
      </w:tblGrid>
      <w:tr>
        <w:trPr/>
        <w:tc>
          <w:tcPr>
            <w:tcW w:w="9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Transferability</w:t>
            </w:r>
            <w:r>
              <w:rPr>
                <w:rFonts w:ascii="arial" w:hAnsi="arial"/>
                <w:sz w:val="22"/>
              </w:rPr>
              <w:t xml:space="preserve">. Awards generally may not be transferred, except by will or the laws of descent and distribution or pursuant to a qualified domestic relations order, unless approved by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Automatic Grants</w:t>
            </w:r>
            <w:r>
              <w:rPr>
                <w:rFonts w:ascii="arial" w:hAnsi="arial"/>
                <w:sz w:val="22"/>
              </w:rPr>
              <w:t xml:space="preserve">. The 2025 Omnibus Plan does not provide for “reload” or other automatic grants to participants.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125"/>
        <w:gridCol w:w="60"/>
        <w:gridCol w:w="82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arial" w:hAnsi="arial"/>
                <w:sz w:val="22"/>
              </w:rPr>
            </w:pPr>
            <w:r>
              <w:rPr>
                <w:rFonts w:ascii="arial" w:hAnsi="arial"/>
                <w:i/>
                <w:sz w:val="22"/>
              </w:rPr>
              <w:t>No Tax Gross-ups</w:t>
            </w:r>
            <w:r>
              <w:rPr>
                <w:rFonts w:ascii="arial" w:hAnsi="arial"/>
                <w:sz w:val="22"/>
              </w:rPr>
              <w:t xml:space="preserve">. The 2025 Omnibus Plan does not provide for any tax gross-ups.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Compensation Recovery (“Clawback”)</w:t>
            </w:r>
            <w:r>
              <w:rPr>
                <w:rFonts w:ascii="arial" w:hAnsi="arial"/>
                <w:sz w:val="22"/>
              </w:rPr>
              <w:t xml:space="preserve">. The 2025 Omnibus Plan provides that Sabre is entitled, to the extent permitted or required by applicable law, Sabre policy (including the Sabre Corporation Clawback Policy), or the requirements of any national securities exchange on which Sabre’s shares are listed for trading, to claw back compensation paid by Sabre to a participant under the 2025 Omnibus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 xml:space="preserve">No Single Trigger Vesting Upon a Change in Control. </w:t>
            </w:r>
            <w:r>
              <w:rPr>
                <w:rFonts w:ascii="arial" w:hAnsi="arial"/>
                <w:sz w:val="22"/>
              </w:rPr>
              <w:t xml:space="preserve">The 2025 Omnibus Plan provides that all outstanding equity awards will become exercisable and/or vest in the event of a change in control of Sabre only if these awards are not assumed, continued, or substituted by the surviving corporation, or if the holder undergoes a qualifying termination of employment following a change in control of Sabre.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No Liberal Share Recycling</w:t>
            </w:r>
            <w:r>
              <w:rPr>
                <w:rFonts w:ascii="arial" w:hAnsi="arial"/>
                <w:sz w:val="22"/>
              </w:rPr>
              <w:t xml:space="preserve">. Shares of our common stock used to pay the exercise price (whether through actual or constructive transfer) or tax withholding requirements related to any award granted under the 2025 Omnibus Plan may not be regranted, issued, or transferred under the 2025 Omnibus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 xml:space="preserve">Minimum Vesting Period. </w:t>
            </w:r>
            <w:r>
              <w:rPr>
                <w:rFonts w:ascii="arial" w:hAnsi="arial"/>
                <w:sz w:val="22"/>
              </w:rPr>
              <w:t xml:space="preserve">95% of the shares of our common stock issued pursuant to an equity award granted under the 2025 Omnibus Plan will be subject to a minimum one-year vesting requirement. </w:t>
            </w:r>
          </w:p>
        </w:tc>
      </w:tr>
    </w:tbl>
    <w:p>
      <w:pPr>
        <w:pStyle w:val="TextBody"/>
        <w:bidi w:val="0"/>
        <w:spacing w:before="360" w:after="0"/>
        <w:jc w:val="left"/>
        <w:rPr>
          <w:rFonts w:ascii="arial" w:hAnsi="arial"/>
          <w:b/>
          <w:color w:val="CF0A2C"/>
          <w:sz w:val="28"/>
        </w:rPr>
      </w:pPr>
      <w:bookmarkStart w:id="40" w:name="tx888712_38"/>
      <w:bookmarkEnd w:id="40"/>
      <w:r>
        <w:rPr>
          <w:rFonts w:ascii="arial" w:hAnsi="arial"/>
          <w:b/>
          <w:color w:val="CF0A2C"/>
          <w:sz w:val="28"/>
        </w:rPr>
        <w:t xml:space="preserve">Key Data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following table includes information regarding outstanding equity awards, shares available for grants of future equity awards under the 2024 Omnibus Plan and the 2024 Director Plan, and the total weighted number of shares of our common stock outstanding as of December 31, 2024 (and without giving effect to approval of this Proposal 3): </w:t>
      </w:r>
    </w:p>
    <w:p>
      <w:pPr>
        <w:pStyle w:val="TextBody"/>
        <w:bidi w:val="0"/>
        <w:spacing w:before="0" w:after="0"/>
        <w:jc w:val="left"/>
        <w:rPr/>
      </w:pPr>
      <w:r>
        <w:rPr/>
        <w:t> </w:t>
      </w:r>
    </w:p>
    <w:tbl>
      <w:tblPr>
        <w:tblW w:w="8285" w:type="dxa"/>
        <w:jc w:val="left"/>
        <w:tblInd w:w="0" w:type="dxa"/>
        <w:tblLayout w:type="fixed"/>
        <w:tblCellMar>
          <w:top w:w="0" w:type="dxa"/>
          <w:left w:w="0" w:type="dxa"/>
          <w:bottom w:w="0" w:type="dxa"/>
          <w:right w:w="0" w:type="dxa"/>
        </w:tblCellMar>
      </w:tblPr>
      <w:tblGrid>
        <w:gridCol w:w="6440"/>
        <w:gridCol w:w="60"/>
        <w:gridCol w:w="60"/>
        <w:gridCol w:w="140"/>
        <w:gridCol w:w="1220"/>
        <w:gridCol w:w="365"/>
      </w:tblGrid>
      <w:tr>
        <w:trPr/>
        <w:tc>
          <w:tcPr>
            <w:tcW w:w="6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6440" w:type="dxa"/>
            <w:tcBorders/>
            <w:shd w:fill="E5E5E5" w:val="clear"/>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440" w:type="dxa"/>
            <w:tcBorders/>
            <w:shd w:fill="E5E5E5" w:val="clear"/>
            <w:vAlign w:val="center"/>
          </w:tcPr>
          <w:p>
            <w:pPr>
              <w:pStyle w:val="TableContents"/>
              <w:bidi w:val="0"/>
              <w:spacing w:before="0" w:after="0"/>
              <w:jc w:val="left"/>
              <w:rPr>
                <w:rFonts w:ascii="arial" w:hAnsi="arial"/>
                <w:sz w:val="20"/>
              </w:rPr>
            </w:pPr>
            <w:r>
              <w:rPr>
                <w:rFonts w:ascii="arial" w:hAnsi="arial"/>
                <w:sz w:val="20"/>
              </w:rPr>
              <w:t>Total shares underlying outstanding options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1,634,777</w:t>
            </w:r>
          </w:p>
        </w:tc>
        <w:tc>
          <w:tcPr>
            <w:tcW w:w="365" w:type="dxa"/>
            <w:tcBorders/>
            <w:shd w:fill="E5E5E5" w:val="clear"/>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arial" w:hAnsi="arial"/>
                <w:sz w:val="20"/>
              </w:rPr>
            </w:pPr>
            <w:r>
              <w:rPr>
                <w:rFonts w:ascii="arial" w:hAnsi="arial"/>
                <w:sz w:val="20"/>
              </w:rPr>
              <w:t>Weighted average exercise price of outstanding options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12.01</w:t>
            </w:r>
          </w:p>
        </w:tc>
        <w:tc>
          <w:tcPr>
            <w:tcW w:w="365" w:type="dxa"/>
            <w:tcBorders/>
            <w:vAlign w:val="center"/>
          </w:tcPr>
          <w:p>
            <w:pPr>
              <w:pStyle w:val="TableContents"/>
              <w:bidi w:val="0"/>
              <w:spacing w:before="0" w:after="283"/>
              <w:jc w:val="left"/>
              <w:rPr>
                <w:sz w:val="4"/>
                <w:szCs w:val="4"/>
              </w:rPr>
            </w:pPr>
            <w:r>
              <w:rPr>
                <w:sz w:val="4"/>
                <w:szCs w:val="4"/>
              </w:rPr>
            </w:r>
          </w:p>
        </w:tc>
      </w:tr>
      <w:tr>
        <w:trPr/>
        <w:tc>
          <w:tcPr>
            <w:tcW w:w="6440" w:type="dxa"/>
            <w:tcBorders/>
            <w:shd w:fill="E5E5E5" w:val="clear"/>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440" w:type="dxa"/>
            <w:tcBorders/>
            <w:shd w:fill="E5E5E5" w:val="clear"/>
            <w:vAlign w:val="center"/>
          </w:tcPr>
          <w:p>
            <w:pPr>
              <w:pStyle w:val="TableContents"/>
              <w:bidi w:val="0"/>
              <w:spacing w:before="0" w:after="0"/>
              <w:jc w:val="left"/>
              <w:rPr>
                <w:rFonts w:ascii="arial" w:hAnsi="arial"/>
                <w:sz w:val="20"/>
              </w:rPr>
            </w:pPr>
            <w:r>
              <w:rPr>
                <w:rFonts w:ascii="arial" w:hAnsi="arial"/>
                <w:sz w:val="20"/>
              </w:rPr>
              <w:t>Weighted average remaining contractual life of outstanding options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4.65 years</w:t>
            </w:r>
          </w:p>
        </w:tc>
        <w:tc>
          <w:tcPr>
            <w:tcW w:w="365" w:type="dxa"/>
            <w:tcBorders/>
            <w:shd w:fill="E5E5E5" w:val="clear"/>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arial" w:hAnsi="arial"/>
                <w:sz w:val="20"/>
              </w:rPr>
            </w:pPr>
            <w:r>
              <w:rPr>
                <w:rFonts w:ascii="arial" w:hAnsi="arial"/>
                <w:sz w:val="20"/>
              </w:rPr>
              <w:t>Total shares underlying outstanding unvested restricted stock unit awards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27,002,281</w:t>
            </w:r>
          </w:p>
        </w:tc>
        <w:tc>
          <w:tcPr>
            <w:tcW w:w="365" w:type="dxa"/>
            <w:tcBorders/>
            <w:vAlign w:val="center"/>
          </w:tcPr>
          <w:p>
            <w:pPr>
              <w:pStyle w:val="TableContents"/>
              <w:bidi w:val="0"/>
              <w:spacing w:before="0" w:after="283"/>
              <w:jc w:val="left"/>
              <w:rPr/>
            </w:pPr>
            <w:r>
              <w:rPr/>
              <w:t>(1) </w:t>
            </w:r>
          </w:p>
        </w:tc>
      </w:tr>
      <w:tr>
        <w:trPr/>
        <w:tc>
          <w:tcPr>
            <w:tcW w:w="6440" w:type="dxa"/>
            <w:tcBorders/>
            <w:shd w:fill="E5E5E5" w:val="clear"/>
            <w:vAlign w:val="center"/>
          </w:tcPr>
          <w:p>
            <w:pPr>
              <w:pStyle w:val="TableContents"/>
              <w:bidi w:val="0"/>
              <w:spacing w:before="0" w:after="283"/>
              <w:jc w:val="left"/>
              <w:rPr/>
            </w:pPr>
            <w:r>
              <w:rPr/>
              <w:t> </w:t>
            </w:r>
          </w:p>
        </w:tc>
        <w:tc>
          <w:tcPr>
            <w:tcW w:w="184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440" w:type="dxa"/>
            <w:tcBorders/>
            <w:shd w:fill="E5E5E5" w:val="clear"/>
            <w:vAlign w:val="center"/>
          </w:tcPr>
          <w:p>
            <w:pPr>
              <w:pStyle w:val="TableContents"/>
              <w:bidi w:val="0"/>
              <w:spacing w:before="0" w:after="0"/>
              <w:jc w:val="left"/>
              <w:rPr>
                <w:rFonts w:ascii="arial" w:hAnsi="arial"/>
                <w:sz w:val="20"/>
              </w:rPr>
            </w:pPr>
            <w:r>
              <w:rPr>
                <w:rFonts w:ascii="arial" w:hAnsi="arial"/>
                <w:sz w:val="20"/>
              </w:rPr>
              <w:t>Total shares available for grant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4,994,363</w:t>
            </w:r>
          </w:p>
        </w:tc>
        <w:tc>
          <w:tcPr>
            <w:tcW w:w="365" w:type="dxa"/>
            <w:tcBorders/>
            <w:shd w:fill="E5E5E5" w:val="clear"/>
            <w:vAlign w:val="center"/>
          </w:tcPr>
          <w:p>
            <w:pPr>
              <w:pStyle w:val="TableContents"/>
              <w:bidi w:val="0"/>
              <w:spacing w:before="0" w:after="283"/>
              <w:jc w:val="left"/>
              <w:rPr/>
            </w:pPr>
            <w:r>
              <w:rPr/>
              <w:t>(2) </w:t>
            </w:r>
          </w:p>
        </w:tc>
      </w:tr>
      <w:tr>
        <w:trPr/>
        <w:tc>
          <w:tcPr>
            <w:tcW w:w="6440" w:type="dxa"/>
            <w:tcBorders/>
            <w:vAlign w:val="center"/>
          </w:tcPr>
          <w:p>
            <w:pPr>
              <w:pStyle w:val="TableContents"/>
              <w:bidi w:val="0"/>
              <w:spacing w:before="0" w:after="283"/>
              <w:jc w:val="left"/>
              <w:rPr/>
            </w:pPr>
            <w:r>
              <w:rPr/>
              <w:t> </w:t>
            </w:r>
          </w:p>
        </w:tc>
        <w:tc>
          <w:tcPr>
            <w:tcW w:w="184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arial" w:hAnsi="arial"/>
                <w:sz w:val="20"/>
              </w:rPr>
            </w:pPr>
            <w:r>
              <w:rPr>
                <w:rFonts w:ascii="arial" w:hAnsi="arial"/>
                <w:sz w:val="20"/>
              </w:rPr>
              <w:t>Total shares available for grant as full-value awards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4,994,363</w:t>
            </w:r>
          </w:p>
        </w:tc>
        <w:tc>
          <w:tcPr>
            <w:tcW w:w="365" w:type="dxa"/>
            <w:tcBorders/>
            <w:vAlign w:val="center"/>
          </w:tcPr>
          <w:p>
            <w:pPr>
              <w:pStyle w:val="TableContents"/>
              <w:bidi w:val="0"/>
              <w:spacing w:before="0" w:after="283"/>
              <w:jc w:val="left"/>
              <w:rPr/>
            </w:pPr>
            <w:r>
              <w:rPr/>
              <w:t>(3) </w:t>
            </w:r>
          </w:p>
        </w:tc>
      </w:tr>
      <w:tr>
        <w:trPr/>
        <w:tc>
          <w:tcPr>
            <w:tcW w:w="6440" w:type="dxa"/>
            <w:tcBorders/>
            <w:shd w:fill="E5E5E5" w:val="clear"/>
            <w:vAlign w:val="center"/>
          </w:tcPr>
          <w:p>
            <w:pPr>
              <w:pStyle w:val="TableContents"/>
              <w:bidi w:val="0"/>
              <w:spacing w:before="0" w:after="283"/>
              <w:jc w:val="left"/>
              <w:rPr/>
            </w:pPr>
            <w:r>
              <w:rPr/>
              <w:t> </w:t>
            </w:r>
          </w:p>
        </w:tc>
        <w:tc>
          <w:tcPr>
            <w:tcW w:w="184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440" w:type="dxa"/>
            <w:tcBorders/>
            <w:shd w:fill="E5E5E5" w:val="clear"/>
            <w:vAlign w:val="center"/>
          </w:tcPr>
          <w:p>
            <w:pPr>
              <w:pStyle w:val="TableContents"/>
              <w:bidi w:val="0"/>
              <w:spacing w:before="0" w:after="0"/>
              <w:jc w:val="left"/>
              <w:rPr>
                <w:rFonts w:ascii="arial" w:hAnsi="arial"/>
                <w:sz w:val="20"/>
              </w:rPr>
            </w:pPr>
            <w:r>
              <w:rPr>
                <w:rFonts w:ascii="arial" w:hAnsi="arial"/>
                <w:sz w:val="20"/>
              </w:rPr>
              <w:t>Total weighted number of shares of common stock outstanding</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383,733,372</w:t>
            </w:r>
          </w:p>
        </w:tc>
        <w:tc>
          <w:tcPr>
            <w:tcW w:w="365" w:type="dxa"/>
            <w:tcBorders/>
            <w:shd w:fill="E5E5E5" w:val="clear"/>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283"/>
              <w:jc w:val="left"/>
              <w:rPr>
                <w:sz w:val="4"/>
                <w:szCs w:val="4"/>
              </w:rPr>
            </w:pPr>
            <w:r>
              <w:rPr>
                <w:sz w:val="4"/>
                <w:szCs w:val="4"/>
              </w:rPr>
            </w:r>
          </w:p>
        </w:tc>
        <w:tc>
          <w:tcPr>
            <w:tcW w:w="184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arial" w:hAnsi="arial"/>
                <w:sz w:val="20"/>
              </w:rPr>
            </w:pPr>
            <w:r>
              <w:rPr>
                <w:rFonts w:ascii="arial" w:hAnsi="arial"/>
                <w:sz w:val="20"/>
              </w:rPr>
              <w:t>Total warrants and convertible shares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56,593,091</w:t>
            </w:r>
          </w:p>
        </w:tc>
        <w:tc>
          <w:tcPr>
            <w:tcW w:w="365" w:type="dxa"/>
            <w:tcBorders/>
            <w:vAlign w:val="center"/>
          </w:tcPr>
          <w:p>
            <w:pPr>
              <w:pStyle w:val="TableContents"/>
              <w:bidi w:val="0"/>
              <w:spacing w:before="0" w:after="283"/>
              <w:jc w:val="left"/>
              <w:rPr/>
            </w:pPr>
            <w:r>
              <w:rPr/>
              <w:t>(4)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arial" w:hAnsi="arial"/>
                <w:sz w:val="18"/>
              </w:rPr>
            </w:pPr>
            <w:r>
              <w:rPr>
                <w:rFonts w:ascii="arial" w:hAnsi="arial"/>
                <w:sz w:val="18"/>
              </w:rPr>
              <w:t xml:space="preserve">Represents shares underlying outstanding unvested time-based restricted stock unit awards. As of December 31, 2024, there were also 9,198,596 shares underlying outstanding unvested performance-based restricted stock unit awards, assuming vesting at target levels.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arial" w:hAnsi="arial"/>
                <w:sz w:val="18"/>
              </w:rPr>
            </w:pPr>
            <w:r>
              <w:rPr>
                <w:rFonts w:ascii="arial" w:hAnsi="arial"/>
                <w:sz w:val="18"/>
              </w:rPr>
              <w:t xml:space="preserve">Total net shares available for grant under the 2024 Omnibus Plan as of December 31, 2024 were 4,994,363, which consists of 14,192,959 shares available for issuance less 9,198,596 shares reserved for issuance for prior performance-based restricted stock unit awards. Total shares available under the 2024 Director Plan as of December 31, 2024 were 1,541,943. Total shares projected to be available under the 2024 Omnibus Plan and under the 2024 Director Plan as of the 2025 Annual Meeting are projected to be 4,351,428 and 1,498,107.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0"/>
              <w:jc w:val="left"/>
              <w:rPr>
                <w:rFonts w:ascii="arial" w:hAnsi="arial"/>
                <w:sz w:val="18"/>
              </w:rPr>
            </w:pPr>
            <w:r>
              <w:rPr>
                <w:rFonts w:ascii="arial" w:hAnsi="arial"/>
                <w:sz w:val="18"/>
              </w:rPr>
              <w:t xml:space="preserve">Total shares available for grant as full-value awards under the 2024 Omnibus Plan and under the 2024 Director Plan as of the 2025 Annual Meeting are projected to be 4,351,428 and 1,498,107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0"/>
              <w:jc w:val="left"/>
              <w:rPr>
                <w:rFonts w:ascii="arial" w:hAnsi="arial"/>
                <w:sz w:val="18"/>
              </w:rPr>
            </w:pPr>
            <w:r>
              <w:rPr>
                <w:rFonts w:ascii="arial" w:hAnsi="arial"/>
                <w:sz w:val="18"/>
              </w:rPr>
              <w:t xml:space="preserve">This represents shares underlying our 2025 Exchangeable Notes and our 2026 Exchangeable Notes, calculated using the if-converted method. </w:t>
            </w:r>
          </w:p>
        </w:tc>
      </w:tr>
    </w:tbl>
    <w:p>
      <w:pPr>
        <w:pStyle w:val="TextBody"/>
        <w:bidi w:val="0"/>
        <w:spacing w:before="240" w:after="0"/>
        <w:jc w:val="left"/>
        <w:rPr>
          <w:rFonts w:ascii="arial" w:hAnsi="arial"/>
          <w:sz w:val="22"/>
        </w:rPr>
      </w:pPr>
      <w:r>
        <w:rPr>
          <w:rFonts w:ascii="arial" w:hAnsi="arial"/>
          <w:sz w:val="22"/>
        </w:rPr>
        <w:t xml:space="preserve">Based on our historical practice, the Board of Directors believes the shares available for grant under the 2025 Omnibus Plan will be sufficient to cover awards for approximately the next one to two years, depending on circumstances such as significant market value fluctuations, vesting levels of performance-based restricted stock unit awards, off-cycle awards, or acquisitions. Since our initial public offering in April 2014, we granted equity awards (gross equity grants, which do not reflect the impact of cancellations) representing a total of approximately 4,996,677 shares in 2014, 2,824,579 shares in 2015, 4,777,809 shares in 2016, 5,681,376 shares in 2017, 5,693,562 shares in 2018, 5,901,260 shares in 2019, 13,596,722 shares in 2020, 5,782,957 shares in 2021, 9,904,798 shares in 2022, 20,852,209 in 2023, and 23,563,403 in 2024. </w:t>
      </w:r>
    </w:p>
    <w:p>
      <w:pPr>
        <w:pStyle w:val="TextBody"/>
        <w:bidi w:val="0"/>
        <w:spacing w:before="360" w:after="0"/>
        <w:jc w:val="left"/>
        <w:rPr>
          <w:rFonts w:ascii="arial" w:hAnsi="arial"/>
          <w:b/>
          <w:color w:val="CF0A2C"/>
          <w:sz w:val="28"/>
        </w:rPr>
      </w:pPr>
      <w:bookmarkStart w:id="41" w:name="tx888712_39"/>
      <w:bookmarkEnd w:id="41"/>
      <w:r>
        <w:rPr>
          <w:rFonts w:ascii="arial" w:hAnsi="arial"/>
          <w:b/>
          <w:color w:val="CF0A2C"/>
          <w:sz w:val="28"/>
        </w:rPr>
        <w:t xml:space="preserve">Summary of Terms of the 2025 Omnibus Plan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principal features of the 2025 Omnibus Plan are described below. This summary is qualified in its entirety by reference to the full text of the 2025 Omnibus Plan, a copy of which is attached as </w:t>
      </w:r>
      <w:r>
        <w:rPr>
          <w:rFonts w:ascii="arial" w:hAnsi="arial"/>
          <w:sz w:val="22"/>
          <w:u w:val="single"/>
        </w:rPr>
        <w:t xml:space="preserve">Appendix A </w:t>
      </w:r>
      <w:r>
        <w:rPr>
          <w:rFonts w:ascii="arial" w:hAnsi="arial"/>
          <w:sz w:val="22"/>
        </w:rPr>
        <w:t xml:space="preserve">to this proxy statement and incorporated in this proxy statement by reference. Please refer to </w:t>
      </w:r>
      <w:r>
        <w:rPr>
          <w:rFonts w:ascii="arial" w:hAnsi="arial"/>
          <w:sz w:val="22"/>
          <w:u w:val="single"/>
        </w:rPr>
        <w:t>Appendix A</w:t>
      </w:r>
      <w:r>
        <w:rPr>
          <w:rFonts w:ascii="arial" w:hAnsi="arial"/>
          <w:sz w:val="22"/>
        </w:rPr>
        <w:t xml:space="preserve"> for more information. </w:t>
      </w:r>
    </w:p>
    <w:p>
      <w:pPr>
        <w:pStyle w:val="TextBody"/>
        <w:bidi w:val="0"/>
        <w:spacing w:before="360" w:after="0"/>
        <w:jc w:val="left"/>
        <w:rPr>
          <w:rFonts w:ascii="arial" w:hAnsi="arial"/>
          <w:i/>
          <w:sz w:val="22"/>
        </w:rPr>
      </w:pPr>
      <w:r>
        <w:rPr>
          <w:rFonts w:ascii="arial" w:hAnsi="arial"/>
          <w:i/>
          <w:sz w:val="22"/>
        </w:rPr>
        <w:t xml:space="preserve">Term </w:t>
      </w:r>
    </w:p>
    <w:p>
      <w:pPr>
        <w:pStyle w:val="TextBody"/>
        <w:bidi w:val="0"/>
        <w:spacing w:before="120" w:after="0"/>
        <w:jc w:val="left"/>
        <w:rPr>
          <w:rFonts w:ascii="arial" w:hAnsi="arial"/>
          <w:sz w:val="22"/>
        </w:rPr>
      </w:pPr>
      <w:r>
        <w:rPr>
          <w:rFonts w:ascii="arial" w:hAnsi="arial"/>
          <w:sz w:val="22"/>
        </w:rPr>
        <w:t xml:space="preserve">Awards under the 2025 Omnibus Plan may be granted for a term of ten years following the date that stockholders approve the 2025 Omnibus Plan at the 2025 Annual Meeting. </w:t>
      </w:r>
    </w:p>
    <w:p>
      <w:pPr>
        <w:pStyle w:val="TextBody"/>
        <w:bidi w:val="0"/>
        <w:spacing w:before="360" w:after="0"/>
        <w:jc w:val="left"/>
        <w:rPr>
          <w:rFonts w:ascii="arial" w:hAnsi="arial"/>
          <w:i/>
          <w:sz w:val="22"/>
        </w:rPr>
      </w:pPr>
      <w:r>
        <w:rPr>
          <w:rFonts w:ascii="arial" w:hAnsi="arial"/>
          <w:i/>
          <w:sz w:val="22"/>
        </w:rPr>
        <w:t xml:space="preserve">Administration </w:t>
      </w:r>
    </w:p>
    <w:p>
      <w:pPr>
        <w:pStyle w:val="TextBody"/>
        <w:bidi w:val="0"/>
        <w:spacing w:before="120" w:after="0"/>
        <w:jc w:val="left"/>
        <w:rPr>
          <w:rFonts w:ascii="arial" w:hAnsi="arial"/>
          <w:sz w:val="22"/>
        </w:rPr>
      </w:pPr>
      <w:r>
        <w:rPr>
          <w:rFonts w:ascii="arial" w:hAnsi="arial"/>
          <w:sz w:val="22"/>
        </w:rPr>
        <w:t xml:space="preserve">The 2025 Omnibus Plan is administered by our Board of Directors, the Compensation Committee of our Board of Directors, or such other committee as designated by our Board of Directors (the “Committee”). Among the Committee’s powers under the 2025 Omnibus Plan is the power to determine those participants who will be granted awards and the amount, type, and other terms and conditions of awards. The Committee may also prescribe agreements evidencing or settling the terms of any awards, and any amendments thereto; grant awards alone or in addition to, in tandem with, or in substitution or exchange for (subject to restrictions on re-pricing stock options and stock appreciation rights, as described below), any other award, any award granted under the Prior Plans or that of any business entity we are acquiring, or any other right of the plan participant to receive payment from us. </w:t>
      </w:r>
    </w:p>
    <w:p>
      <w:pPr>
        <w:pStyle w:val="TextBody"/>
        <w:bidi w:val="0"/>
        <w:spacing w:before="240" w:after="0"/>
        <w:jc w:val="left"/>
        <w:rPr/>
      </w:pPr>
      <w:r>
        <w:rPr/>
        <w:t>“</w:t>
      </w:r>
      <w:r>
        <w:rPr>
          <w:rFonts w:ascii="arial" w:hAnsi="arial"/>
          <w:sz w:val="22"/>
        </w:rPr>
        <w:t xml:space="preserve">Prior Plans” mean, for the purpose of the 2025 Omnibus Plan, the 2024 Omnibus Plan, the Sabre Corporation 2023 Omnibus Incentive Compensation Plan (the “2023 Omnibus Plan”), the Sabre Corporation 2021 Omnibus Incentive Compensation Plan (the “2021 Omnibus Plan”), the Sabre Corporation 2019 Omnibus Incentive Compensation Plan (the “2019 Omnibus Plan”), the Sabre Corporation 2016 Omnibus Incentive Compensation Plan (the “2016 Omnibus Plan”), the Sabre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9710"/>
        <w:gridCol w:w="60"/>
        <w:gridCol w:w="23"/>
        <w:gridCol w:w="60"/>
        <w:gridCol w:w="23"/>
        <w:gridCol w:w="60"/>
        <w:gridCol w:w="23"/>
        <w:gridCol w:w="60"/>
        <w:gridCol w:w="38"/>
      </w:tblGrid>
      <w:tr>
        <w:trPr/>
        <w:tc>
          <w:tcPr>
            <w:tcW w:w="9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Corporation 2014 Omnibus Incentive Compensation Plan (the “2014 Omnibus Plan”), the Sovereign Holdings, Inc. 2012 Management Equity Incentive Plan (the “Sovereign 2012 MEIP”), the Sovereign Holdings, Inc. 2007 Management Equity Incentive Plan (as amended in 2010), and the Sovereign Holdings, Inc. Stock Incentive Plan (the “Sovereign MEIP”). </w:t>
      </w:r>
    </w:p>
    <w:p>
      <w:pPr>
        <w:pStyle w:val="TextBody"/>
        <w:bidi w:val="0"/>
        <w:spacing w:before="240" w:after="0"/>
        <w:jc w:val="left"/>
        <w:rPr>
          <w:rFonts w:ascii="arial" w:hAnsi="arial"/>
          <w:sz w:val="22"/>
        </w:rPr>
      </w:pPr>
      <w:r>
        <w:rPr>
          <w:rFonts w:ascii="arial" w:hAnsi="arial"/>
          <w:sz w:val="22"/>
        </w:rPr>
        <w:t xml:space="preserve">The Committee may delegate its powers and responsibilities under the 2025 Omnibus Plan, in writing, to a sub-committee of our Board of Directors, or delegate certain administration powers (not including the grant of awards) over the plan to one or more of our officers or employees. </w:t>
      </w:r>
    </w:p>
    <w:p>
      <w:pPr>
        <w:pStyle w:val="TextBody"/>
        <w:bidi w:val="0"/>
        <w:spacing w:before="240" w:after="0"/>
        <w:jc w:val="left"/>
        <w:rPr>
          <w:rFonts w:ascii="arial" w:hAnsi="arial"/>
          <w:sz w:val="22"/>
        </w:rPr>
      </w:pPr>
      <w:r>
        <w:rPr>
          <w:rFonts w:ascii="arial" w:hAnsi="arial"/>
          <w:sz w:val="22"/>
        </w:rPr>
        <w:t xml:space="preserve">The Committee has discretionary authority to interpret and construe any and all provisions of the 2025 Omnibus Plan and the terms of any award (or award agreement) granted thereunder and to adopt and amend such rules and regulations for the administration of the 2025 Omnibus Plan as it deems appropriate. Decisions of the Committee will be final, binding, and conclusive on all parties. </w:t>
      </w:r>
    </w:p>
    <w:p>
      <w:pPr>
        <w:pStyle w:val="TextBody"/>
        <w:bidi w:val="0"/>
        <w:spacing w:before="240" w:after="0"/>
        <w:jc w:val="left"/>
        <w:rPr>
          <w:rFonts w:ascii="arial" w:hAnsi="arial"/>
          <w:sz w:val="22"/>
        </w:rPr>
      </w:pPr>
      <w:r>
        <w:rPr>
          <w:rFonts w:ascii="arial" w:hAnsi="arial"/>
          <w:sz w:val="22"/>
        </w:rPr>
        <w:t xml:space="preserve">On or after the date of grant of any award, the Committee may accelerate the date on which any award becomes vested, exercisable, or transferable, provided that 95% of the shares underlying any stock-settled award must have a vesting period of at least one year from the date of grant. The Committee may also extend the term of any such award (including the period following a termination of a participant’s employment during which any such award may remain outstanding); waive any conditions to the vesting, exercisability, or transferability of any such award; grant other awards in addition to, in tandem with, or in substitution or exchange for any award granted under the 2025 Omnibus Plan, any Prior Plan, or any equity compensation plan of any business entity we are acquiring (subject to restrictions on re-pricing stock options and stock appreciation rights, as described below); or provide for the payment of dividends or dividend equivalents with respect to any such award. The Committee does not have the authority and may not take any such action described in this section to the extent that the grant of such authority or the taking of such action would cause any tax to become due under Section 409A of the Internal Revenue Code of 1986, as amended (the “Code”). </w:t>
      </w:r>
    </w:p>
    <w:p>
      <w:pPr>
        <w:pStyle w:val="TextBody"/>
        <w:bidi w:val="0"/>
        <w:spacing w:before="240" w:after="0"/>
        <w:jc w:val="left"/>
        <w:rPr>
          <w:rFonts w:ascii="arial" w:hAnsi="arial"/>
          <w:sz w:val="22"/>
        </w:rPr>
      </w:pPr>
      <w:r>
        <w:rPr>
          <w:rFonts w:ascii="arial" w:hAnsi="arial"/>
          <w:sz w:val="22"/>
        </w:rPr>
        <w:t xml:space="preserve">We will not re-price any stock option or stock appreciation right without the approval of our stockholders. </w:t>
      </w:r>
    </w:p>
    <w:p>
      <w:pPr>
        <w:pStyle w:val="TextBody"/>
        <w:bidi w:val="0"/>
        <w:spacing w:before="360" w:after="0"/>
        <w:jc w:val="left"/>
        <w:rPr>
          <w:rFonts w:ascii="arial" w:hAnsi="arial"/>
          <w:i/>
          <w:sz w:val="22"/>
        </w:rPr>
      </w:pPr>
      <w:r>
        <w:rPr>
          <w:rFonts w:ascii="arial" w:hAnsi="arial"/>
          <w:i/>
          <w:sz w:val="22"/>
        </w:rPr>
        <w:t xml:space="preserve">Shares Available for Issuance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Available Shares</w:t>
            </w:r>
            <w:r>
              <w:rPr>
                <w:rFonts w:ascii="arial" w:hAnsi="arial"/>
                <w:sz w:val="22"/>
              </w:rPr>
              <w:t xml:space="preserve">. The aggregate number of shares of our common stock which may be issued under the 2025 Omnibus Plan may not exceed the sum of: </w:t>
            </w:r>
          </w:p>
        </w:tc>
      </w:tr>
    </w:tbl>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75"/>
        <w:gridCol w:w="290"/>
        <w:gridCol w:w="19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1970" w:type="dxa"/>
            <w:tcBorders/>
            <w:vAlign w:val="center"/>
          </w:tcPr>
          <w:p>
            <w:pPr>
              <w:pStyle w:val="TableContents"/>
              <w:bidi w:val="0"/>
              <w:spacing w:before="0" w:after="0"/>
              <w:jc w:val="left"/>
              <w:rPr>
                <w:rFonts w:ascii="arial" w:hAnsi="arial"/>
                <w:sz w:val="22"/>
              </w:rPr>
            </w:pPr>
            <w:r>
              <w:rPr>
                <w:rFonts w:ascii="arial" w:hAnsi="arial"/>
                <w:sz w:val="22"/>
              </w:rPr>
              <w:t xml:space="preserve">20,000,000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(2)</w:t>
            </w:r>
          </w:p>
        </w:tc>
        <w:tc>
          <w:tcPr>
            <w:tcW w:w="9842" w:type="dxa"/>
            <w:tcBorders/>
            <w:vAlign w:val="center"/>
          </w:tcPr>
          <w:p>
            <w:pPr>
              <w:pStyle w:val="TableContents"/>
              <w:bidi w:val="0"/>
              <w:spacing w:before="0" w:after="0"/>
              <w:jc w:val="left"/>
              <w:rPr>
                <w:rFonts w:ascii="arial" w:hAnsi="arial"/>
                <w:sz w:val="22"/>
              </w:rPr>
            </w:pPr>
            <w:r>
              <w:rPr>
                <w:rFonts w:ascii="arial" w:hAnsi="arial"/>
                <w:sz w:val="22"/>
              </w:rPr>
              <w:t xml:space="preserve">the number of shares that remain available for issuance under the Prior Plans as of April 23,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(3)</w:t>
            </w:r>
          </w:p>
        </w:tc>
        <w:tc>
          <w:tcPr>
            <w:tcW w:w="9889" w:type="dxa"/>
            <w:tcBorders/>
            <w:vAlign w:val="center"/>
          </w:tcPr>
          <w:p>
            <w:pPr>
              <w:pStyle w:val="TableContents"/>
              <w:bidi w:val="0"/>
              <w:spacing w:before="0" w:after="0"/>
              <w:jc w:val="left"/>
              <w:rPr>
                <w:rFonts w:ascii="arial" w:hAnsi="arial"/>
                <w:sz w:val="22"/>
              </w:rPr>
            </w:pPr>
            <w:r>
              <w:rPr>
                <w:rFonts w:ascii="arial" w:hAnsi="arial"/>
                <w:sz w:val="22"/>
              </w:rPr>
              <w:t xml:space="preserve">the number of shares subject to outstanding awards under the Prior Plans that may become available if the underlying awards expire, are forfeited, cancelled, or terminated, are settled for cash, or otherwise become available in accordance with the terms of such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Incentive Stock Options</w:t>
            </w:r>
            <w:r>
              <w:rPr>
                <w:rFonts w:ascii="arial" w:hAnsi="arial"/>
                <w:sz w:val="22"/>
              </w:rPr>
              <w:t xml:space="preserve">. The number of shares that may be covered by incentive stock options under the 2025 Omnibus Plan may not exceed 20,000,000 shares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shares to be delivered under the 2025 Omnibus Plan may be authorized and unissued shares or shares held in or acquired for our treasury, or both. </w:t>
            </w:r>
          </w:p>
        </w:tc>
      </w:tr>
    </w:tbl>
    <w:p>
      <w:pPr>
        <w:pStyle w:val="TextBody"/>
        <w:bidi w:val="0"/>
        <w:spacing w:before="0" w:after="0"/>
        <w:jc w:val="left"/>
        <w:rPr/>
      </w:pPr>
      <w:r>
        <w:rPr/>
        <w:t>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In general, if awards under the 2025 Omnibus Plan expire or are forfeited, cancelled, or terminated without the issuance of shares, or are settled for cash in lieu of shares, or are exchanged for an award not involving shares, the shares covered by such awards will again become available for the grant of awards under the 2025 Omnibus Plan. However, if the exercise price or tax withholding requirements related to any award under the 2025 Omnibus Plan are satisfied through our withholding of shares otherwise then deliverable in respect of an award or through actual or constructive transfer to us of shares already owned, the number of shares equal to such withheld or transferred shares, as applicable, will no longer be available for issuance under the 2025 Omnibus Plan. </w:t>
      </w:r>
    </w:p>
    <w:p>
      <w:pPr>
        <w:pStyle w:val="TextBody"/>
        <w:bidi w:val="0"/>
        <w:spacing w:before="240" w:after="0"/>
        <w:jc w:val="left"/>
        <w:rPr>
          <w:rFonts w:ascii="arial" w:hAnsi="arial"/>
          <w:sz w:val="22"/>
        </w:rPr>
      </w:pPr>
      <w:r>
        <w:rPr>
          <w:rFonts w:ascii="arial" w:hAnsi="arial"/>
          <w:sz w:val="22"/>
        </w:rPr>
        <w:t xml:space="preserve">Shares covered by awards granted pursuant to the 2025 Omnibus Plan in connection with the assumption, replacement, conversion, or adjustment of outstanding equity-based awards in the context of a corporate acquisition or merger will not count as issued under the 2025 Omnibus Plan. </w:t>
      </w:r>
    </w:p>
    <w:p>
      <w:pPr>
        <w:pStyle w:val="TextBody"/>
        <w:bidi w:val="0"/>
        <w:spacing w:before="360" w:after="0"/>
        <w:jc w:val="left"/>
        <w:rPr>
          <w:rFonts w:ascii="arial" w:hAnsi="arial"/>
          <w:i/>
          <w:sz w:val="22"/>
        </w:rPr>
      </w:pPr>
      <w:r>
        <w:rPr>
          <w:rFonts w:ascii="arial" w:hAnsi="arial"/>
          <w:i/>
          <w:sz w:val="22"/>
        </w:rPr>
        <w:t xml:space="preserve">Individual Participant Share Limits Per Fiscal Year under the 2025 Omnibus Plan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125"/>
        <w:gridCol w:w="60"/>
        <w:gridCol w:w="26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left"/>
              <w:rPr>
                <w:rFonts w:ascii="arial" w:hAnsi="arial"/>
                <w:sz w:val="22"/>
              </w:rPr>
            </w:pPr>
            <w:r>
              <w:rPr>
                <w:rFonts w:ascii="arial" w:hAnsi="arial"/>
                <w:i/>
                <w:sz w:val="22"/>
              </w:rPr>
              <w:t>Options</w:t>
            </w:r>
            <w:r>
              <w:rPr>
                <w:rFonts w:ascii="arial" w:hAnsi="arial"/>
                <w:sz w:val="22"/>
              </w:rPr>
              <w:t xml:space="preserve">. 3,000,000 shares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125"/>
        <w:gridCol w:w="60"/>
        <w:gridCol w:w="44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arial" w:hAnsi="arial"/>
                <w:sz w:val="22"/>
              </w:rPr>
            </w:pPr>
            <w:r>
              <w:rPr>
                <w:rFonts w:ascii="arial" w:hAnsi="arial"/>
                <w:i/>
                <w:sz w:val="22"/>
              </w:rPr>
              <w:t>Stock Appreciation Rights</w:t>
            </w:r>
            <w:r>
              <w:rPr>
                <w:rFonts w:ascii="arial" w:hAnsi="arial"/>
                <w:sz w:val="22"/>
              </w:rPr>
              <w:t xml:space="preserve">. 3,000,000 shares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125"/>
        <w:gridCol w:w="60"/>
        <w:gridCol w:w="46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arial" w:hAnsi="arial"/>
                <w:sz w:val="22"/>
              </w:rPr>
            </w:pPr>
            <w:r>
              <w:rPr>
                <w:rFonts w:ascii="arial" w:hAnsi="arial"/>
                <w:i/>
                <w:sz w:val="22"/>
              </w:rPr>
              <w:t>Other Stock-Based Awards</w:t>
            </w:r>
            <w:r>
              <w:rPr>
                <w:rFonts w:ascii="arial" w:hAnsi="arial"/>
                <w:sz w:val="22"/>
              </w:rPr>
              <w:t xml:space="preserve">. 3,000,000 shares </w:t>
            </w:r>
          </w:p>
        </w:tc>
      </w:tr>
    </w:tbl>
    <w:p>
      <w:pPr>
        <w:pStyle w:val="TextBody"/>
        <w:bidi w:val="0"/>
        <w:spacing w:before="360" w:after="0"/>
        <w:jc w:val="left"/>
        <w:rPr>
          <w:rFonts w:ascii="arial" w:hAnsi="arial"/>
          <w:i/>
          <w:sz w:val="22"/>
        </w:rPr>
      </w:pPr>
      <w:r>
        <w:rPr>
          <w:rFonts w:ascii="arial" w:hAnsi="arial"/>
          <w:i/>
          <w:sz w:val="22"/>
        </w:rPr>
        <w:t xml:space="preserve">Individual Limits on Cash Incentive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i/>
                <w:sz w:val="22"/>
              </w:rPr>
              <w:t>Cash Incentive Awards</w:t>
            </w:r>
            <w:r>
              <w:rPr>
                <w:rFonts w:ascii="arial" w:hAnsi="arial"/>
                <w:sz w:val="22"/>
              </w:rPr>
              <w:t xml:space="preserve">. The amount payable in respect of a cash incentive award granted to any participant in a single fiscal year that is subject to performance-based vesting may not exceed $5,000,000. </w:t>
            </w:r>
          </w:p>
        </w:tc>
      </w:tr>
    </w:tbl>
    <w:p>
      <w:pPr>
        <w:pStyle w:val="TextBody"/>
        <w:bidi w:val="0"/>
        <w:spacing w:before="360" w:after="0"/>
        <w:jc w:val="left"/>
        <w:rPr>
          <w:rFonts w:ascii="arial" w:hAnsi="arial"/>
          <w:i/>
          <w:sz w:val="22"/>
        </w:rPr>
      </w:pPr>
      <w:r>
        <w:rPr>
          <w:rFonts w:ascii="arial" w:hAnsi="arial"/>
          <w:i/>
          <w:sz w:val="22"/>
        </w:rPr>
        <w:t xml:space="preserve">Eligibility for Participation </w:t>
      </w:r>
    </w:p>
    <w:p>
      <w:pPr>
        <w:pStyle w:val="TextBody"/>
        <w:bidi w:val="0"/>
        <w:spacing w:before="120" w:after="0"/>
        <w:jc w:val="left"/>
        <w:rPr>
          <w:rFonts w:ascii="arial" w:hAnsi="arial"/>
          <w:sz w:val="22"/>
        </w:rPr>
      </w:pPr>
      <w:r>
        <w:rPr>
          <w:rFonts w:ascii="arial" w:hAnsi="arial"/>
          <w:sz w:val="22"/>
        </w:rPr>
        <w:t xml:space="preserve">The individuals eligible to receive awards under the 2025 Omnibus Plan are our employees (including prospective employees who have been offered employment) and other individual service providers and those of our subsidiaries, as selected by the Committee. </w:t>
      </w:r>
    </w:p>
    <w:p>
      <w:pPr>
        <w:pStyle w:val="TextBody"/>
        <w:bidi w:val="0"/>
        <w:spacing w:before="240" w:after="0"/>
        <w:jc w:val="left"/>
        <w:rPr>
          <w:rFonts w:ascii="arial" w:hAnsi="arial"/>
          <w:sz w:val="22"/>
        </w:rPr>
      </w:pPr>
      <w:r>
        <w:rPr>
          <w:rFonts w:ascii="arial" w:hAnsi="arial"/>
          <w:sz w:val="22"/>
        </w:rPr>
        <w:t xml:space="preserve">As of December 31, 2024, approximately 6,239 employees would be eligible to participate in the 2025 Omnibus Plan. During 2024, a total of approximately 712individuals received awards under the 2024 Omnibus Plan and its predecessor, the 2023 Omnibus Plan. </w:t>
      </w:r>
    </w:p>
    <w:p>
      <w:pPr>
        <w:pStyle w:val="TextBody"/>
        <w:bidi w:val="0"/>
        <w:spacing w:before="360" w:after="0"/>
        <w:jc w:val="left"/>
        <w:rPr>
          <w:rFonts w:ascii="arial" w:hAnsi="arial"/>
          <w:i/>
          <w:sz w:val="22"/>
        </w:rPr>
      </w:pPr>
      <w:r>
        <w:rPr>
          <w:rFonts w:ascii="arial" w:hAnsi="arial"/>
          <w:i/>
          <w:sz w:val="22"/>
        </w:rPr>
        <w:t xml:space="preserve">Cash Incentive Awards </w:t>
      </w:r>
    </w:p>
    <w:p>
      <w:pPr>
        <w:pStyle w:val="TextBody"/>
        <w:bidi w:val="0"/>
        <w:spacing w:before="120" w:after="0"/>
        <w:jc w:val="left"/>
        <w:rPr>
          <w:rFonts w:ascii="arial" w:hAnsi="arial"/>
          <w:sz w:val="22"/>
        </w:rPr>
      </w:pPr>
      <w:r>
        <w:rPr>
          <w:rFonts w:ascii="arial" w:hAnsi="arial"/>
          <w:sz w:val="22"/>
        </w:rPr>
        <w:t xml:space="preserve">The Committee may grant cash incentive awards. Cash incentive awards may be settled in cash or in other property, including shares of our common stock. </w:t>
      </w:r>
    </w:p>
    <w:p>
      <w:pPr>
        <w:pStyle w:val="TextBody"/>
        <w:bidi w:val="0"/>
        <w:spacing w:before="360" w:after="0"/>
        <w:jc w:val="left"/>
        <w:rPr>
          <w:rFonts w:ascii="arial" w:hAnsi="arial"/>
          <w:i/>
          <w:sz w:val="22"/>
        </w:rPr>
      </w:pPr>
      <w:r>
        <w:rPr>
          <w:rFonts w:ascii="arial" w:hAnsi="arial"/>
          <w:i/>
          <w:sz w:val="22"/>
        </w:rPr>
        <w:t xml:space="preserve">Stock Options and Stock Appreciation Rights </w:t>
      </w:r>
    </w:p>
    <w:p>
      <w:pPr>
        <w:pStyle w:val="TextBody"/>
        <w:bidi w:val="0"/>
        <w:spacing w:before="120" w:after="0"/>
        <w:jc w:val="left"/>
        <w:rPr>
          <w:rFonts w:ascii="arial" w:hAnsi="arial"/>
          <w:sz w:val="22"/>
        </w:rPr>
      </w:pPr>
      <w:r>
        <w:rPr>
          <w:rFonts w:ascii="arial" w:hAnsi="arial"/>
          <w:sz w:val="22"/>
        </w:rPr>
        <w:t xml:space="preserve">The Committee may grant non-qualified stock options and incentive stock options to purchase shares of our common stock. The Committee will determine the number of shares of our common stock subject to each option, the vesting schedule (provided that no option may be exercisable after the expiration of ten years after the date of grant), the method and procedure to exercise vested options, restrictions on transfer of options and any shares acquired pursuant to the exercise of an option, and the other terms of each option. The exercise price per share of common stock covered by any option may not be less than 100% of the fair market value of a share of common stock on the date of grant.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9710"/>
        <w:gridCol w:w="60"/>
        <w:gridCol w:w="23"/>
        <w:gridCol w:w="60"/>
        <w:gridCol w:w="23"/>
        <w:gridCol w:w="60"/>
        <w:gridCol w:w="23"/>
        <w:gridCol w:w="60"/>
        <w:gridCol w:w="38"/>
      </w:tblGrid>
      <w:tr>
        <w:trPr/>
        <w:tc>
          <w:tcPr>
            <w:tcW w:w="9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Additionally, with respect to “incentive stock options” (within the meaning of Section 422 of the Code), the aggregate fair market value of shares with respect to incentive stock options that are exercisable for the first time by a participant during any calendar year under the 2025 Omnibus Plan or any of our other stock option plans may not exceed $100,000. To the extent the fair market value of such shares exceeds $100,000, the incentive stock options granted to such participant, to the extent and in the order required by regulations, automatically will be deemed to be non-qualified stock options, but all other terms and provisions of such option will remain unchanged. No incentive stock option may be granted to a 10% stockholder unless the exercise price of the option is at least 110% of the fair market value of a share of our common stock at the time such incentive stock option is granted and such incentive stock option is not exercisable after the expiration of five years from the date such incentive stock option is granted. </w:t>
      </w:r>
    </w:p>
    <w:p>
      <w:pPr>
        <w:pStyle w:val="TextBody"/>
        <w:bidi w:val="0"/>
        <w:spacing w:before="360" w:after="0"/>
        <w:jc w:val="left"/>
        <w:rPr>
          <w:rFonts w:ascii="arial" w:hAnsi="arial"/>
          <w:i/>
          <w:sz w:val="22"/>
        </w:rPr>
      </w:pPr>
      <w:r>
        <w:rPr>
          <w:rFonts w:ascii="arial" w:hAnsi="arial"/>
          <w:i/>
          <w:sz w:val="22"/>
        </w:rPr>
        <w:t xml:space="preserve">Other Stock-Based Awards </w:t>
      </w:r>
    </w:p>
    <w:p>
      <w:pPr>
        <w:pStyle w:val="TextBody"/>
        <w:bidi w:val="0"/>
        <w:spacing w:before="120" w:after="0"/>
        <w:jc w:val="left"/>
        <w:rPr>
          <w:rFonts w:ascii="arial" w:hAnsi="arial"/>
          <w:sz w:val="22"/>
        </w:rPr>
      </w:pPr>
      <w:r>
        <w:rPr>
          <w:rFonts w:ascii="arial" w:hAnsi="arial"/>
          <w:sz w:val="22"/>
        </w:rPr>
        <w:t xml:space="preserve">The Committee may grant other stock, stock-based, or stock-related awards in such amounts and subject to such terms and conditions as determined by the Committee. Each such other stock-based award may (i) involve the transfer of actual shares of our common stock to the participant,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award must be denominated in, or must have a value determined by reference to, a number of shares of our common stock that is specified at the time of the grant of such award. </w:t>
      </w:r>
    </w:p>
    <w:p>
      <w:pPr>
        <w:pStyle w:val="TextBody"/>
        <w:bidi w:val="0"/>
        <w:spacing w:before="360" w:after="0"/>
        <w:jc w:val="left"/>
        <w:rPr>
          <w:rFonts w:ascii="arial" w:hAnsi="arial"/>
          <w:i/>
          <w:sz w:val="22"/>
        </w:rPr>
      </w:pPr>
      <w:r>
        <w:rPr>
          <w:rFonts w:ascii="arial" w:hAnsi="arial"/>
          <w:i/>
          <w:sz w:val="22"/>
        </w:rPr>
        <w:t xml:space="preserve">Performance-Based Compensation, Performance Goals and Measures </w:t>
      </w:r>
    </w:p>
    <w:p>
      <w:pPr>
        <w:pStyle w:val="TextBody"/>
        <w:bidi w:val="0"/>
        <w:spacing w:before="120" w:after="0"/>
        <w:jc w:val="left"/>
        <w:rPr>
          <w:rFonts w:ascii="arial" w:hAnsi="arial"/>
          <w:sz w:val="22"/>
        </w:rPr>
      </w:pPr>
      <w:r>
        <w:rPr>
          <w:rFonts w:ascii="arial" w:hAnsi="arial"/>
          <w:sz w:val="22"/>
        </w:rPr>
        <w:t xml:space="preserve">The Committee may grant performance-based compensation to a participant payable upon the attainment of specific performance goals. The performance goals may include any one or more of the following, including in combination: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improvements or attainment of working capital levels or debt reduction, or such other measures as the Committee may determine from time to time. </w:t>
      </w:r>
    </w:p>
    <w:p>
      <w:pPr>
        <w:pStyle w:val="TextBody"/>
        <w:bidi w:val="0"/>
        <w:spacing w:before="240" w:after="0"/>
        <w:jc w:val="left"/>
        <w:rPr>
          <w:rFonts w:ascii="arial" w:hAnsi="arial"/>
          <w:sz w:val="22"/>
        </w:rPr>
      </w:pPr>
      <w:r>
        <w:rPr>
          <w:rFonts w:ascii="arial" w:hAnsi="arial"/>
          <w:sz w:val="22"/>
        </w:rPr>
        <w:t xml:space="preserve">Performance goals may relate to individual performance, company performance, or business unit performance. </w:t>
      </w:r>
    </w:p>
    <w:p>
      <w:pPr>
        <w:pStyle w:val="TextBody"/>
        <w:bidi w:val="0"/>
        <w:spacing w:before="240" w:after="0"/>
        <w:jc w:val="left"/>
        <w:rPr>
          <w:rFonts w:ascii="arial" w:hAnsi="arial"/>
          <w:sz w:val="22"/>
        </w:rPr>
      </w:pPr>
      <w:r>
        <w:rPr>
          <w:rFonts w:ascii="arial" w:hAnsi="arial"/>
          <w:sz w:val="22"/>
        </w:rPr>
        <w:t xml:space="preserve">In addition, any performance measure may be used to measure the performance of Sabre or a subsidiary as a whole or any business unit of Sabre or a subsidiary or any combination thereof, as the Committee may deem appropriate, or any of the above performance measures as compared to the performance of a group of comparator companies, or a published or special index that the Committee deems appropriate.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Committee may, subject to the terms of the 2025 Omnibus Plan, amend previously granted awards whose grant, vesting, or payment is subject to performance-based measures. </w:t>
      </w:r>
    </w:p>
    <w:p>
      <w:pPr>
        <w:pStyle w:val="TextBody"/>
        <w:bidi w:val="0"/>
        <w:spacing w:before="360" w:after="0"/>
        <w:jc w:val="left"/>
        <w:rPr>
          <w:rFonts w:ascii="arial" w:hAnsi="arial"/>
          <w:i/>
          <w:sz w:val="22"/>
        </w:rPr>
      </w:pPr>
      <w:r>
        <w:rPr>
          <w:rFonts w:ascii="arial" w:hAnsi="arial"/>
          <w:i/>
          <w:sz w:val="22"/>
        </w:rPr>
        <w:t xml:space="preserve">Stockholder Rights </w:t>
      </w:r>
    </w:p>
    <w:p>
      <w:pPr>
        <w:pStyle w:val="TextBody"/>
        <w:bidi w:val="0"/>
        <w:spacing w:before="120" w:after="0"/>
        <w:jc w:val="left"/>
        <w:rPr>
          <w:rFonts w:ascii="arial" w:hAnsi="arial"/>
          <w:sz w:val="22"/>
        </w:rPr>
      </w:pPr>
      <w:r>
        <w:rPr>
          <w:rFonts w:ascii="arial" w:hAnsi="arial"/>
          <w:sz w:val="22"/>
        </w:rPr>
        <w:t xml:space="preserve">No person will have any rights as a stockholder with respect to any shares of our common stock covered by or relating to any award granted pursuant to the 2025 Omnibus Plan until the date of the issuance of such shares on our books and records. </w:t>
      </w:r>
    </w:p>
    <w:p>
      <w:pPr>
        <w:pStyle w:val="TextBody"/>
        <w:bidi w:val="0"/>
        <w:spacing w:before="360" w:after="0"/>
        <w:jc w:val="left"/>
        <w:rPr>
          <w:rFonts w:ascii="arial" w:hAnsi="arial"/>
          <w:i/>
          <w:sz w:val="22"/>
        </w:rPr>
      </w:pPr>
      <w:r>
        <w:rPr>
          <w:rFonts w:ascii="arial" w:hAnsi="arial"/>
          <w:i/>
          <w:sz w:val="22"/>
        </w:rPr>
        <w:t xml:space="preserve">Amendment and Termination </w:t>
      </w:r>
    </w:p>
    <w:p>
      <w:pPr>
        <w:pStyle w:val="TextBody"/>
        <w:bidi w:val="0"/>
        <w:spacing w:before="120" w:after="0"/>
        <w:jc w:val="left"/>
        <w:rPr>
          <w:rFonts w:ascii="arial" w:hAnsi="arial"/>
          <w:sz w:val="22"/>
        </w:rPr>
      </w:pPr>
      <w:r>
        <w:rPr>
          <w:rFonts w:ascii="arial" w:hAnsi="arial"/>
          <w:sz w:val="22"/>
        </w:rPr>
        <w:t xml:space="preserve">Notwithstanding any other provision of the 2025 Omnibus Plan, our Board of Directors may at any time suspend or discontinue the plan or revise or amend it in any respect whatsoever; provided, however, that to the extent that any applicable law, regulation, or rule of a national securities exchange requires stockholder approval for any such revision or amendment to be effective, such revision or amendment will not be effective without such approval. </w:t>
      </w:r>
    </w:p>
    <w:p>
      <w:pPr>
        <w:pStyle w:val="TextBody"/>
        <w:bidi w:val="0"/>
        <w:spacing w:before="360" w:after="0"/>
        <w:jc w:val="left"/>
        <w:rPr>
          <w:rFonts w:ascii="arial" w:hAnsi="arial"/>
          <w:i/>
          <w:sz w:val="22"/>
        </w:rPr>
      </w:pPr>
      <w:r>
        <w:rPr>
          <w:rFonts w:ascii="arial" w:hAnsi="arial"/>
          <w:i/>
          <w:sz w:val="22"/>
        </w:rPr>
        <w:t xml:space="preserve">Transferability </w:t>
      </w:r>
    </w:p>
    <w:p>
      <w:pPr>
        <w:pStyle w:val="TextBody"/>
        <w:bidi w:val="0"/>
        <w:spacing w:before="120" w:after="0"/>
        <w:jc w:val="left"/>
        <w:rPr>
          <w:rFonts w:ascii="arial" w:hAnsi="arial"/>
          <w:sz w:val="22"/>
        </w:rPr>
      </w:pPr>
      <w:r>
        <w:rPr>
          <w:rFonts w:ascii="arial" w:hAnsi="arial"/>
          <w:sz w:val="22"/>
        </w:rPr>
        <w:t xml:space="preserve">Awards granted under the 2025 Omnibus Plan are generally nontransferable (other than by will or the laws of descent and distribution), except that the Committee may provide for the transferability of non-qualified stock options subject to conditions and limitations as determined by the Committee; however, awards (other than incentive stock options and tandem stock appreciation rights) may be transferred during the lifetime of the participant, and may be exercised by these transferees during the lifetime of the participant, but only to the extent the transfers are permitted by the Committee. </w:t>
      </w:r>
    </w:p>
    <w:p>
      <w:pPr>
        <w:pStyle w:val="TextBody"/>
        <w:bidi w:val="0"/>
        <w:spacing w:before="360" w:after="0"/>
        <w:jc w:val="left"/>
        <w:rPr>
          <w:rFonts w:ascii="arial" w:hAnsi="arial"/>
          <w:i/>
          <w:sz w:val="22"/>
        </w:rPr>
      </w:pPr>
      <w:r>
        <w:rPr>
          <w:rFonts w:ascii="arial" w:hAnsi="arial"/>
          <w:i/>
          <w:sz w:val="22"/>
        </w:rPr>
        <w:t xml:space="preserve">Change in Control </w:t>
      </w:r>
    </w:p>
    <w:p>
      <w:pPr>
        <w:pStyle w:val="TextBody"/>
        <w:bidi w:val="0"/>
        <w:spacing w:before="120" w:after="0"/>
        <w:jc w:val="left"/>
        <w:rPr>
          <w:rFonts w:ascii="arial" w:hAnsi="arial"/>
          <w:sz w:val="22"/>
        </w:rPr>
      </w:pPr>
      <w:r>
        <w:rPr>
          <w:rFonts w:ascii="arial" w:hAnsi="arial"/>
          <w:sz w:val="22"/>
        </w:rPr>
        <w:t xml:space="preserve">Except as otherwise set forth in a participant’s award agreement, in the event (i) a participant has a qualifying termination of employment following a change in control of Sabre or (ii) of a change in control of Sabre in which outstanding awards are not assumed, continued, or substituted by the surviving corporation: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All deferral of settlement, forfeiture conditions, and other restrictions applicable to awards granted under the 2025 Omnibus Plan will lapse, and such awards will be deemed fully vested as of the time of the change-in-control transaction without regard to deferral and vesting conditions,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Any award carrying a right to exercise that was not previously exercisable and vested will become fully exercisable and vested as of the time of the change in control of Sabre. </w:t>
            </w:r>
          </w:p>
        </w:tc>
      </w:tr>
    </w:tbl>
    <w:p>
      <w:pPr>
        <w:pStyle w:val="TextBody"/>
        <w:bidi w:val="0"/>
        <w:spacing w:before="240" w:after="0"/>
        <w:jc w:val="left"/>
        <w:rPr>
          <w:rFonts w:ascii="arial" w:hAnsi="arial"/>
          <w:sz w:val="22"/>
        </w:rPr>
      </w:pPr>
      <w:r>
        <w:rPr>
          <w:rFonts w:ascii="arial" w:hAnsi="arial"/>
          <w:sz w:val="22"/>
        </w:rPr>
        <w:t xml:space="preserve">For purposes of this provision, a “qualifying termination of employment” means with respect to a participant, (i) a termination of such participant’s employment by Sabre, the surviving corporation (or any of Sabre’s or the surviving corporation’s then-affiliated entities) without cause or by the participant for good reason (as such terms are defined in the 2025 Omnibus Plan), or (ii) a termination of such participant’s employment in the event of the participant’s death or disability, in each case, following a change in control of Sabre.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9710"/>
        <w:gridCol w:w="60"/>
        <w:gridCol w:w="23"/>
        <w:gridCol w:w="60"/>
        <w:gridCol w:w="23"/>
        <w:gridCol w:w="60"/>
        <w:gridCol w:w="23"/>
        <w:gridCol w:w="60"/>
        <w:gridCol w:w="38"/>
      </w:tblGrid>
      <w:tr>
        <w:trPr/>
        <w:tc>
          <w:tcPr>
            <w:tcW w:w="9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42" w:name="tx888712_40"/>
      <w:bookmarkEnd w:id="42"/>
      <w:r>
        <w:rPr>
          <w:rFonts w:ascii="arial" w:hAnsi="arial"/>
          <w:b/>
          <w:color w:val="CF0A2C"/>
          <w:sz w:val="28"/>
        </w:rPr>
        <w:t xml:space="preserve">New Plan Benefits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All awards made under the 2025 Omnibus Plan are discretionary. Therefore, the benefits and amounts that will be received or allocated under the 2025 Omnibus Plan are not determinable at this time. The closing price of our common stock, as reported on the Nasdaq Stock Market, on February 28, 2025 was $4.13 per share. See “Executive Compensation—2024 Grants of Plan-Based Awards,” which provides information on the equity awards granted to the named executive officers in 2024. </w:t>
      </w:r>
    </w:p>
    <w:p>
      <w:pPr>
        <w:pStyle w:val="TextBody"/>
        <w:bidi w:val="0"/>
        <w:spacing w:before="360" w:after="0"/>
        <w:jc w:val="left"/>
        <w:rPr>
          <w:rFonts w:ascii="arial" w:hAnsi="arial"/>
          <w:b/>
          <w:color w:val="CF0A2C"/>
          <w:sz w:val="28"/>
        </w:rPr>
      </w:pPr>
      <w:bookmarkStart w:id="43" w:name="tx888712_41"/>
      <w:bookmarkEnd w:id="43"/>
      <w:r>
        <w:rPr>
          <w:rFonts w:ascii="arial" w:hAnsi="arial"/>
          <w:b/>
          <w:color w:val="CF0A2C"/>
          <w:sz w:val="28"/>
        </w:rPr>
        <w:t xml:space="preserve">U.S. Federal Income Tax Consequences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following is a summary of certain federal income tax consequences of the awards to be made under the 2025 Omnibus Plan based upon the laws in effect on the date hereof. The discussion is general in nature and does not take into account a number of considerations which may apply in light of the circumstances of a particular participant under the 2025 Omnibus Plan. The income tax consequences under applicable state and local tax laws may not be the same as under federal income tax laws. </w:t>
      </w:r>
    </w:p>
    <w:p>
      <w:pPr>
        <w:pStyle w:val="TextBody"/>
        <w:bidi w:val="0"/>
        <w:spacing w:before="360" w:after="0"/>
        <w:jc w:val="left"/>
        <w:rPr>
          <w:rFonts w:ascii="arial" w:hAnsi="arial"/>
          <w:i/>
          <w:sz w:val="22"/>
        </w:rPr>
      </w:pPr>
      <w:r>
        <w:rPr>
          <w:rFonts w:ascii="arial" w:hAnsi="arial"/>
          <w:i/>
          <w:sz w:val="22"/>
        </w:rPr>
        <w:t xml:space="preserve">Non-Qualified Stock Options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 non-qualified stock option, and we will not be entitled to a tax deduction at such time. A participant will recognize compensation taxable as ordinary income (and subject to income tax withholding in respect of an employee) upon exercise of a non-qualified stock option equal to the excess of the fair market value of the shares purchased over their exercise price, and we generally will be entitled to a corresponding tax deduction, except to the extent the deduction limits of Section 162(m) of the Code apply. </w:t>
      </w:r>
    </w:p>
    <w:p>
      <w:pPr>
        <w:pStyle w:val="TextBody"/>
        <w:bidi w:val="0"/>
        <w:spacing w:before="360" w:after="0"/>
        <w:jc w:val="left"/>
        <w:rPr>
          <w:rFonts w:ascii="arial" w:hAnsi="arial"/>
          <w:i/>
          <w:sz w:val="22"/>
        </w:rPr>
      </w:pPr>
      <w:r>
        <w:rPr>
          <w:rFonts w:ascii="arial" w:hAnsi="arial"/>
          <w:i/>
          <w:sz w:val="22"/>
        </w:rPr>
        <w:t xml:space="preserve">Incentive Stock Options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an incentive stock option, and we will not be entitled to a tax deduction at such time. A participant will not recognize taxable income (except for purposes of the alternative minimum tax) upon exercise of an incentive stock option. If the shares acquired by exercise of an incentive stock option are held for the longer of two years from the date the stock option was granted and one year from the date the shares were transferred to the participant in connection with the exercise of such incentive stock option, any gain or loss arising from a taxable disposition of such shares will be taxed as long-term capital gain or loss, and we will not be entitled to any tax deduction. If, however, such shares are disposed of within such two- or one-year periods, then in the year of such disposition the participant will recognize compensation taxable as ordinary income equal to the excess of the lesser of the amount realized upon such disposition and the fair market value of such shares on the date of exercise over the exercise price, and we generally will be entitled to a corresponding tax deduction, except to the extent the deduction limits of Section 162(m) of the Code apply. </w:t>
      </w:r>
    </w:p>
    <w:p>
      <w:pPr>
        <w:pStyle w:val="TextBody"/>
        <w:bidi w:val="0"/>
        <w:spacing w:before="360" w:after="0"/>
        <w:jc w:val="left"/>
        <w:rPr>
          <w:rFonts w:ascii="arial" w:hAnsi="arial"/>
          <w:i/>
          <w:sz w:val="22"/>
        </w:rPr>
      </w:pPr>
      <w:r>
        <w:rPr>
          <w:rFonts w:ascii="arial" w:hAnsi="arial"/>
          <w:i/>
          <w:sz w:val="22"/>
        </w:rPr>
        <w:t xml:space="preserve">Stock Appreciation Rights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 stock appreciation right, and we will not be entitled to a tax deduction at such time. Upon exercise, a participant will recognize compensation taxable as ordinary income (and subject to income tax withholding in respect of an employee) equal to the fair market value of any shares delivered and the amount of cash paid by us, and we generally will be entitled to a corresponding tax deduction, except to the extent the deduction limits of Section 162(m) of the Code apply.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Restricted Stock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shares of restricted stock award, and we will not be entitled to a tax deduction at such time, unless the participant makes an election under Section 83(b) of the Code to be taxed at such time. If such election is made, the participant will recognize compensation taxable as ordinary income (and subject to income tax withholding in respect of an employee) at the time of the grant equal to the excess of the fair market value of the shares at such time over the amount, if any, paid for such shares. If such election is not made, the participant will recognize compensation taxable as ordinary income (and subject to income tax withholding in respect of an employee) at the time the restrictions lapse in an amount equal to the excess of the fair market value of the shares at such time over the amount, if any, paid for such shares. We are entitled to a corresponding tax deduction at the time the ordinary income is recognized by the participant, except to the extent the deduction limits of Section 162(m) of the Code apply. In addition, a participant receiving dividends with respect to restricted stock for which the above-described election has not been made and prior to the time the restrictions lapse will recognize compensation taxable as ordinary income (and subject to income tax withholding in respect of an employee), rather than dividend income. We will be entitled to a corresponding tax deduction, except to the extent the deduction limits of Section 162(m) of the Code apply. </w:t>
      </w:r>
    </w:p>
    <w:p>
      <w:pPr>
        <w:pStyle w:val="TextBody"/>
        <w:bidi w:val="0"/>
        <w:spacing w:before="360" w:after="0"/>
        <w:jc w:val="left"/>
        <w:rPr>
          <w:rFonts w:ascii="arial" w:hAnsi="arial"/>
          <w:i/>
          <w:sz w:val="22"/>
        </w:rPr>
      </w:pPr>
      <w:r>
        <w:rPr>
          <w:rFonts w:ascii="arial" w:hAnsi="arial"/>
          <w:i/>
          <w:sz w:val="22"/>
        </w:rPr>
        <w:t xml:space="preserve">Restricted Stock Units </w:t>
      </w:r>
    </w:p>
    <w:p>
      <w:pPr>
        <w:pStyle w:val="TextBody"/>
        <w:bidi w:val="0"/>
        <w:spacing w:before="120" w:after="0"/>
        <w:jc w:val="left"/>
        <w:rPr>
          <w:rFonts w:ascii="arial" w:hAnsi="arial"/>
          <w:sz w:val="22"/>
        </w:rPr>
      </w:pPr>
      <w:r>
        <w:rPr>
          <w:rFonts w:ascii="arial" w:hAnsi="arial"/>
          <w:sz w:val="22"/>
        </w:rPr>
        <w:t xml:space="preserve">A participant will not recognize taxable income at the time of grant of a restricted stock unit, and we will not be entitled to a tax deduction at such time. A participant will recognize compensation taxable as ordinary income (and subject to income tax withholding in respect of an employee) at the time of settlement of the award equal to the fair market value of any shares delivered and the amount of cash paid by us, and we will be entitled to a corresponding deduction, except to the extent the deduction limits of Section 162(m) of the Code apply. </w:t>
      </w:r>
    </w:p>
    <w:p>
      <w:pPr>
        <w:pStyle w:val="TextBody"/>
        <w:bidi w:val="0"/>
        <w:spacing w:before="360" w:after="0"/>
        <w:jc w:val="left"/>
        <w:rPr>
          <w:rFonts w:ascii="arial" w:hAnsi="arial"/>
          <w:i/>
          <w:sz w:val="22"/>
        </w:rPr>
      </w:pPr>
      <w:r>
        <w:rPr>
          <w:rFonts w:ascii="arial" w:hAnsi="arial"/>
          <w:i/>
          <w:sz w:val="22"/>
        </w:rPr>
        <w:t xml:space="preserve">Other Stock-Based Awards </w:t>
      </w:r>
    </w:p>
    <w:p>
      <w:pPr>
        <w:pStyle w:val="TextBody"/>
        <w:bidi w:val="0"/>
        <w:spacing w:before="120" w:after="0"/>
        <w:jc w:val="left"/>
        <w:rPr>
          <w:rFonts w:ascii="arial" w:hAnsi="arial"/>
          <w:sz w:val="22"/>
        </w:rPr>
      </w:pPr>
      <w:r>
        <w:rPr>
          <w:rFonts w:ascii="arial" w:hAnsi="arial"/>
          <w:sz w:val="22"/>
        </w:rPr>
        <w:t xml:space="preserve">The grant, exercise or settlement of other stock-based awards granted under the 2025 Omnibus Plan may be taxable based on the specific terms and conditions of such awards. </w:t>
      </w:r>
    </w:p>
    <w:p>
      <w:pPr>
        <w:pStyle w:val="TextBody"/>
        <w:bidi w:val="0"/>
        <w:spacing w:before="360" w:after="0"/>
        <w:jc w:val="left"/>
        <w:rPr>
          <w:rFonts w:ascii="arial" w:hAnsi="arial"/>
          <w:i/>
          <w:sz w:val="22"/>
        </w:rPr>
      </w:pPr>
      <w:r>
        <w:rPr>
          <w:rFonts w:ascii="arial" w:hAnsi="arial"/>
          <w:i/>
          <w:sz w:val="22"/>
        </w:rPr>
        <w:t xml:space="preserve">Section 162(m) Limitations </w:t>
      </w:r>
    </w:p>
    <w:p>
      <w:pPr>
        <w:pStyle w:val="TextBody"/>
        <w:bidi w:val="0"/>
        <w:spacing w:before="120" w:after="0"/>
        <w:jc w:val="left"/>
        <w:rPr>
          <w:rFonts w:ascii="arial" w:hAnsi="arial"/>
          <w:sz w:val="22"/>
        </w:rPr>
      </w:pPr>
      <w:r>
        <w:rPr>
          <w:rFonts w:ascii="arial" w:hAnsi="arial"/>
          <w:sz w:val="22"/>
        </w:rPr>
        <w:t xml:space="preserve">Section 162(m) of the Code generally places a $1 million annual limit on a public company’s federal income tax deduction for compensation paid to certain senior executives. Thus, it is possible that Section 162(m) of the Code may disallow compensation deductions that would otherwise be available to us. </w:t>
      </w:r>
    </w:p>
    <w:p>
      <w:pPr>
        <w:pStyle w:val="TextBody"/>
        <w:bidi w:val="0"/>
        <w:spacing w:before="240" w:after="0"/>
        <w:jc w:val="left"/>
        <w:rPr>
          <w:rFonts w:ascii="arial" w:hAnsi="arial"/>
          <w:sz w:val="22"/>
        </w:rPr>
      </w:pPr>
      <w:r>
        <w:rPr>
          <w:rFonts w:ascii="arial" w:hAnsi="arial"/>
          <w:sz w:val="22"/>
        </w:rPr>
        <w:t xml:space="preserve">The foregoing general tax discussion is intended for the information of stockholders considering how to vote with respect to this proposal and not as tax guidance to participants in the 2025 Omnibus Plan. Participants are strongly urged to consult their own tax advisors regarding the federal, state, local, foreign, and other tax consequences to them of participating in the 2025 Omnibus Plan. </w:t>
      </w:r>
    </w:p>
    <w:p>
      <w:pPr>
        <w:pStyle w:val="TextBody"/>
        <w:bidi w:val="0"/>
        <w:spacing w:before="360" w:after="0"/>
        <w:jc w:val="left"/>
        <w:rPr>
          <w:rFonts w:ascii="arial" w:hAnsi="arial"/>
          <w:b/>
          <w:sz w:val="22"/>
        </w:rPr>
      </w:pPr>
      <w:r>
        <w:rPr>
          <w:rFonts w:ascii="arial" w:hAnsi="arial"/>
          <w:b/>
          <w:sz w:val="22"/>
        </w:rPr>
        <w:t xml:space="preserve">The Board of Directors unanimously recommends a vote </w:t>
      </w:r>
      <w:r>
        <w:rPr>
          <w:rFonts w:ascii="arial" w:hAnsi="arial"/>
          <w:b/>
          <w:color w:val="CF0A2C"/>
          <w:sz w:val="22"/>
        </w:rPr>
        <w:t>FOR</w:t>
      </w:r>
      <w:r>
        <w:rPr>
          <w:rFonts w:ascii="arial" w:hAnsi="arial"/>
          <w:b/>
          <w:sz w:val="22"/>
        </w:rPr>
        <w:t xml:space="preserve"> approval of the Sabre Corporation 2025 Omnibus Incentive Compensation Plan.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7" w:type="dxa"/>
        <w:jc w:val="left"/>
        <w:tblInd w:w="0" w:type="dxa"/>
        <w:tblLayout w:type="fixed"/>
        <w:tblCellMar>
          <w:top w:w="0" w:type="dxa"/>
          <w:left w:w="0" w:type="dxa"/>
          <w:bottom w:w="0" w:type="dxa"/>
          <w:right w:w="0" w:type="dxa"/>
        </w:tblCellMar>
      </w:tblPr>
      <w:tblGrid>
        <w:gridCol w:w="9710"/>
        <w:gridCol w:w="60"/>
        <w:gridCol w:w="23"/>
        <w:gridCol w:w="60"/>
        <w:gridCol w:w="23"/>
        <w:gridCol w:w="60"/>
        <w:gridCol w:w="23"/>
        <w:gridCol w:w="60"/>
        <w:gridCol w:w="38"/>
      </w:tblGrid>
      <w:tr>
        <w:trPr/>
        <w:tc>
          <w:tcPr>
            <w:tcW w:w="9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7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3: APPROVAL OF THE SABRE CORPORATION 2025 OMNIBUS INCENTIVE COMPENSATION PLAN 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44" w:name="tx888712_42"/>
      <w:bookmarkEnd w:id="44"/>
      <w:r>
        <w:rPr>
          <w:rFonts w:ascii="arial" w:hAnsi="arial"/>
          <w:b/>
          <w:color w:val="CF0A2C"/>
          <w:sz w:val="28"/>
        </w:rPr>
        <w:t xml:space="preserve">Equity Compensation Plan Information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following table gives information about our common stock that may be issued upon the exercise of options, warrants, and rights under all of our equity compensation plans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5"/>
        <w:gridCol w:w="60"/>
        <w:gridCol w:w="113"/>
        <w:gridCol w:w="113"/>
        <w:gridCol w:w="1850"/>
        <w:gridCol w:w="44"/>
        <w:gridCol w:w="60"/>
        <w:gridCol w:w="170"/>
        <w:gridCol w:w="355"/>
        <w:gridCol w:w="1423"/>
        <w:gridCol w:w="67"/>
        <w:gridCol w:w="60"/>
        <w:gridCol w:w="112"/>
        <w:gridCol w:w="112"/>
        <w:gridCol w:w="1838"/>
        <w:gridCol w:w="73"/>
      </w:tblGrid>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3755"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120" w:type="dxa"/>
            <w:gridSpan w:val="4"/>
            <w:tcBorders/>
            <w:shd w:fill="666666" w:val="clear"/>
            <w:vAlign w:val="center"/>
          </w:tcPr>
          <w:p>
            <w:pPr>
              <w:pStyle w:val="TableContents"/>
              <w:bidi w:val="0"/>
              <w:spacing w:before="0" w:after="283"/>
              <w:jc w:val="center"/>
              <w:rPr>
                <w:b/>
                <w:color w:val="FFFFFF"/>
              </w:rPr>
            </w:pPr>
            <w:r>
              <w:rPr>
                <w:b/>
                <w:color w:val="FFFFFF"/>
              </w:rPr>
              <w:t>Number of securities</w:t>
              <w:br/>
              <w:t>to be issued upon</w:t>
              <w:br/>
              <w:t>exercise of</w:t>
              <w:br/>
              <w:t>outstanding options</w:t>
              <w:br/>
              <w:t>(a)</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015" w:type="dxa"/>
            <w:gridSpan w:val="4"/>
            <w:tcBorders/>
            <w:shd w:fill="666666" w:val="clear"/>
            <w:vAlign w:val="center"/>
          </w:tcPr>
          <w:p>
            <w:pPr>
              <w:pStyle w:val="TableContents"/>
              <w:bidi w:val="0"/>
              <w:spacing w:before="0" w:after="283"/>
              <w:jc w:val="center"/>
              <w:rPr>
                <w:b/>
                <w:color w:val="FFFFFF"/>
              </w:rPr>
            </w:pPr>
            <w:r>
              <w:rPr>
                <w:b/>
                <w:color w:val="FFFFFF"/>
              </w:rPr>
              <w:t>Weighted average</w:t>
              <w:br/>
              <w:t>exercise price of</w:t>
              <w:br/>
              <w:t>outstanding options</w:t>
              <w:br/>
              <w:t>(b)</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135" w:type="dxa"/>
            <w:gridSpan w:val="4"/>
            <w:tcBorders/>
            <w:shd w:fill="666666" w:val="clear"/>
            <w:vAlign w:val="center"/>
          </w:tcPr>
          <w:p>
            <w:pPr>
              <w:pStyle w:val="TableContents"/>
              <w:bidi w:val="0"/>
              <w:spacing w:before="0" w:after="283"/>
              <w:jc w:val="center"/>
              <w:rPr>
                <w:b/>
                <w:color w:val="FFFFFF"/>
              </w:rPr>
            </w:pPr>
            <w:r>
              <w:rPr>
                <w:b/>
                <w:color w:val="FFFFFF"/>
              </w:rPr>
              <w:t>Number of securities</w:t>
              <w:br/>
              <w:t>remaining available</w:t>
              <w:br/>
              <w:t>for future issuance</w:t>
              <w:br/>
              <w:t>under equity</w:t>
              <w:br/>
              <w:t>compensation plans</w:t>
              <w:br/>
              <w:t>(c)</w:t>
            </w:r>
          </w:p>
        </w:tc>
      </w:tr>
      <w:tr>
        <w:trPr/>
        <w:tc>
          <w:tcPr>
            <w:tcW w:w="3755" w:type="dxa"/>
            <w:tcBorders/>
            <w:shd w:fill="E5E5E5" w:val="clear"/>
            <w:vAlign w:val="center"/>
          </w:tcPr>
          <w:p>
            <w:pPr>
              <w:pStyle w:val="TableContents"/>
              <w:bidi w:val="0"/>
              <w:spacing w:before="0" w:after="283"/>
              <w:jc w:val="left"/>
              <w:rPr>
                <w:sz w:val="4"/>
                <w:szCs w:val="4"/>
              </w:rPr>
            </w:pPr>
            <w:r>
              <w:rPr>
                <w:sz w:val="4"/>
                <w:szCs w:val="4"/>
              </w:rPr>
            </w:r>
          </w:p>
        </w:tc>
        <w:tc>
          <w:tcPr>
            <w:tcW w:w="218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7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19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3755" w:type="dxa"/>
            <w:tcBorders/>
            <w:shd w:fill="E5E5E5" w:val="clear"/>
            <w:vAlign w:val="center"/>
          </w:tcPr>
          <w:p>
            <w:pPr>
              <w:pStyle w:val="TableContents"/>
              <w:bidi w:val="0"/>
              <w:spacing w:lineRule="atLeast" w:line="300" w:before="0" w:after="0"/>
              <w:jc w:val="left"/>
              <w:rPr>
                <w:rFonts w:ascii="arial" w:hAnsi="arial"/>
                <w:sz w:val="20"/>
              </w:rPr>
            </w:pPr>
            <w:r>
              <w:rPr>
                <w:rFonts w:ascii="arial" w:hAnsi="arial"/>
                <w:sz w:val="20"/>
              </w:rPr>
              <w:t>Equity compensation plans approved by stockholders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before="0" w:after="283"/>
              <w:jc w:val="left"/>
              <w:rPr/>
            </w:pPr>
            <w:r>
              <w:rPr/>
              <w:t> </w:t>
            </w:r>
          </w:p>
        </w:tc>
        <w:tc>
          <w:tcPr>
            <w:tcW w:w="113" w:type="dxa"/>
            <w:tcBorders/>
            <w:shd w:fill="E5E5E5" w:val="clear"/>
            <w:vAlign w:val="center"/>
          </w:tcPr>
          <w:p>
            <w:pPr>
              <w:pStyle w:val="TableContents"/>
              <w:bidi w:val="0"/>
              <w:spacing w:lineRule="atLeast" w:line="300" w:before="0" w:after="0"/>
              <w:jc w:val="left"/>
              <w:rPr/>
            </w:pPr>
            <w:r>
              <w:rPr/>
              <w:t> </w:t>
            </w:r>
          </w:p>
        </w:tc>
        <w:tc>
          <w:tcPr>
            <w:tcW w:w="1850" w:type="dxa"/>
            <w:tcBorders/>
            <w:shd w:fill="E5E5E5" w:val="clear"/>
            <w:vAlign w:val="center"/>
          </w:tcPr>
          <w:p>
            <w:pPr>
              <w:pStyle w:val="TableContents"/>
              <w:bidi w:val="0"/>
              <w:spacing w:lineRule="atLeast" w:line="300" w:before="0" w:after="0"/>
              <w:jc w:val="right"/>
              <w:rPr>
                <w:rFonts w:ascii="arial" w:hAnsi="arial"/>
                <w:sz w:val="20"/>
              </w:rPr>
            </w:pPr>
            <w:r>
              <w:rPr>
                <w:rFonts w:ascii="arial" w:hAnsi="arial"/>
                <w:sz w:val="20"/>
              </w:rPr>
              <w:t>37,835,654</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0" w:type="dxa"/>
            <w:tcBorders/>
            <w:shd w:fill="E5E5E5" w:val="clear"/>
            <w:vAlign w:val="center"/>
          </w:tcPr>
          <w:p>
            <w:pPr>
              <w:pStyle w:val="TableContents"/>
              <w:bidi w:val="0"/>
              <w:spacing w:before="0" w:after="283"/>
              <w:jc w:val="left"/>
              <w:rPr/>
            </w:pPr>
            <w:r>
              <w:rPr/>
              <w:t> </w:t>
            </w:r>
          </w:p>
        </w:tc>
        <w:tc>
          <w:tcPr>
            <w:tcW w:w="355" w:type="dxa"/>
            <w:tcBorders/>
            <w:shd w:fill="E5E5E5" w:val="clear"/>
            <w:vAlign w:val="center"/>
          </w:tcPr>
          <w:p>
            <w:pPr>
              <w:pStyle w:val="TableContents"/>
              <w:bidi w:val="0"/>
              <w:spacing w:lineRule="atLeast" w:line="300" w:before="0" w:after="0"/>
              <w:jc w:val="left"/>
              <w:rPr>
                <w:rFonts w:ascii="arial" w:hAnsi="arial"/>
                <w:sz w:val="20"/>
              </w:rPr>
            </w:pPr>
            <w:r>
              <w:rPr>
                <w:rFonts w:ascii="arial" w:hAnsi="arial"/>
                <w:sz w:val="20"/>
              </w:rPr>
              <w:t>$</w:t>
            </w:r>
          </w:p>
        </w:tc>
        <w:tc>
          <w:tcPr>
            <w:tcW w:w="1423" w:type="dxa"/>
            <w:tcBorders/>
            <w:shd w:fill="E5E5E5" w:val="clear"/>
            <w:vAlign w:val="center"/>
          </w:tcPr>
          <w:p>
            <w:pPr>
              <w:pStyle w:val="TableContents"/>
              <w:bidi w:val="0"/>
              <w:spacing w:lineRule="atLeast" w:line="300" w:before="0" w:after="0"/>
              <w:jc w:val="right"/>
              <w:rPr>
                <w:rFonts w:ascii="arial" w:hAnsi="arial"/>
                <w:sz w:val="20"/>
              </w:rPr>
            </w:pPr>
            <w:r>
              <w:rPr>
                <w:rFonts w:ascii="arial" w:hAnsi="arial"/>
                <w:sz w:val="20"/>
              </w:rPr>
              <w:t>12.01</w:t>
            </w:r>
          </w:p>
        </w:tc>
        <w:tc>
          <w:tcPr>
            <w:tcW w:w="6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2" w:type="dxa"/>
            <w:tcBorders/>
            <w:shd w:fill="E5E5E5" w:val="clear"/>
            <w:vAlign w:val="center"/>
          </w:tcPr>
          <w:p>
            <w:pPr>
              <w:pStyle w:val="TableContents"/>
              <w:bidi w:val="0"/>
              <w:spacing w:before="0" w:after="283"/>
              <w:jc w:val="left"/>
              <w:rPr/>
            </w:pPr>
            <w:r>
              <w:rPr/>
              <w:t> </w:t>
            </w:r>
          </w:p>
        </w:tc>
        <w:tc>
          <w:tcPr>
            <w:tcW w:w="112" w:type="dxa"/>
            <w:tcBorders/>
            <w:shd w:fill="E5E5E5" w:val="clear"/>
            <w:vAlign w:val="center"/>
          </w:tcPr>
          <w:p>
            <w:pPr>
              <w:pStyle w:val="TableContents"/>
              <w:bidi w:val="0"/>
              <w:spacing w:lineRule="atLeast" w:line="300" w:before="0" w:after="0"/>
              <w:jc w:val="left"/>
              <w:rPr/>
            </w:pPr>
            <w:r>
              <w:rPr/>
              <w:t> </w:t>
            </w:r>
          </w:p>
        </w:tc>
        <w:tc>
          <w:tcPr>
            <w:tcW w:w="1838" w:type="dxa"/>
            <w:tcBorders/>
            <w:shd w:fill="E5E5E5" w:val="clear"/>
            <w:vAlign w:val="center"/>
          </w:tcPr>
          <w:p>
            <w:pPr>
              <w:pStyle w:val="TableContents"/>
              <w:bidi w:val="0"/>
              <w:spacing w:lineRule="atLeast" w:line="300" w:before="0" w:after="0"/>
              <w:jc w:val="right"/>
              <w:rPr>
                <w:rFonts w:ascii="arial" w:hAnsi="arial"/>
                <w:sz w:val="20"/>
              </w:rPr>
            </w:pPr>
            <w:r>
              <w:rPr>
                <w:rFonts w:ascii="arial" w:hAnsi="arial"/>
                <w:sz w:val="20"/>
              </w:rPr>
              <w:t>15,734,902</w:t>
            </w:r>
          </w:p>
        </w:tc>
        <w:tc>
          <w:tcPr>
            <w:tcW w:w="73" w:type="dxa"/>
            <w:tcBorders/>
            <w:shd w:fill="E5E5E5" w:val="clear"/>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sz w:val="4"/>
                <w:szCs w:val="4"/>
              </w:rPr>
            </w:pPr>
            <w:r>
              <w:rPr>
                <w:sz w:val="4"/>
                <w:szCs w:val="4"/>
              </w:rPr>
            </w:r>
          </w:p>
        </w:tc>
        <w:tc>
          <w:tcPr>
            <w:tcW w:w="218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075"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219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lineRule="atLeast" w:line="300" w:before="0" w:after="0"/>
              <w:jc w:val="left"/>
              <w:rPr>
                <w:rFonts w:ascii="arial" w:hAnsi="arial"/>
                <w:sz w:val="20"/>
              </w:rPr>
            </w:pPr>
            <w:r>
              <w:rPr>
                <w:rFonts w:ascii="arial" w:hAnsi="arial"/>
                <w:sz w:val="20"/>
              </w:rPr>
              <w:t>Equity compensation plans not approved by stockholders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lineRule="atLeast" w:line="300" w:before="0" w:after="0"/>
              <w:jc w:val="left"/>
              <w:rPr/>
            </w:pPr>
            <w:r>
              <w:rPr/>
              <w:t> </w:t>
            </w:r>
          </w:p>
        </w:tc>
        <w:tc>
          <w:tcPr>
            <w:tcW w:w="1850" w:type="dxa"/>
            <w:tcBorders/>
            <w:vAlign w:val="center"/>
          </w:tcPr>
          <w:p>
            <w:pPr>
              <w:pStyle w:val="TableContents"/>
              <w:bidi w:val="0"/>
              <w:spacing w:lineRule="atLeast" w:line="300" w:before="0" w:after="0"/>
              <w:jc w:val="right"/>
              <w:rPr/>
            </w:pPr>
            <w:r>
              <w:rPr/>
              <w:t>—</w:t>
            </w:r>
          </w:p>
        </w:tc>
        <w:tc>
          <w:tcPr>
            <w:tcW w:w="4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lineRule="atLeast" w:line="300" w:before="0" w:after="0"/>
              <w:jc w:val="left"/>
              <w:rPr/>
            </w:pPr>
            <w:r>
              <w:rPr/>
              <w:t> </w:t>
            </w:r>
          </w:p>
        </w:tc>
        <w:tc>
          <w:tcPr>
            <w:tcW w:w="1423" w:type="dxa"/>
            <w:tcBorders/>
            <w:vAlign w:val="center"/>
          </w:tcPr>
          <w:p>
            <w:pPr>
              <w:pStyle w:val="TableContents"/>
              <w:bidi w:val="0"/>
              <w:spacing w:lineRule="atLeast" w:line="300" w:before="0" w:after="0"/>
              <w:jc w:val="right"/>
              <w:rPr/>
            </w:pPr>
            <w:r>
              <w:rPr/>
              <w:t>—</w:t>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lineRule="atLeast" w:line="300" w:before="0" w:after="0"/>
              <w:jc w:val="left"/>
              <w:rPr/>
            </w:pPr>
            <w:r>
              <w:rPr/>
              <w:t> </w:t>
            </w:r>
          </w:p>
        </w:tc>
        <w:tc>
          <w:tcPr>
            <w:tcW w:w="1838" w:type="dxa"/>
            <w:tcBorders/>
            <w:vAlign w:val="center"/>
          </w:tcPr>
          <w:p>
            <w:pPr>
              <w:pStyle w:val="TableContents"/>
              <w:bidi w:val="0"/>
              <w:spacing w:lineRule="atLeast" w:line="300" w:before="0" w:after="0"/>
              <w:jc w:val="right"/>
              <w:rPr/>
            </w:pPr>
            <w:r>
              <w:rPr/>
              <w:t>—</w:t>
            </w:r>
          </w:p>
        </w:tc>
        <w:tc>
          <w:tcPr>
            <w:tcW w:w="73"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Pr>
            <w:r>
              <w:rPr/>
              <w:t>(a)</w:t>
            </w:r>
          </w:p>
        </w:tc>
        <w:tc>
          <w:tcPr>
            <w:tcW w:w="9979" w:type="dxa"/>
            <w:tcBorders/>
            <w:vAlign w:val="center"/>
          </w:tcPr>
          <w:p>
            <w:pPr>
              <w:pStyle w:val="TableContents"/>
              <w:bidi w:val="0"/>
              <w:spacing w:before="0" w:after="0"/>
              <w:jc w:val="left"/>
              <w:rPr>
                <w:rFonts w:ascii="arial" w:hAnsi="arial"/>
                <w:sz w:val="18"/>
              </w:rPr>
            </w:pPr>
            <w:r>
              <w:rPr>
                <w:rFonts w:ascii="arial" w:hAnsi="arial"/>
                <w:sz w:val="18"/>
              </w:rPr>
              <w:t xml:space="preserve">Includes shares of common stock to be issued upon the exercise of outstanding options under our 2024 Omnibus Plan, 2024 Director Plan, 2023 Omnibus Plan, 2022 Director Plan, 2021 Omnibus Plan, 2019 Omnibus Plan, 2019 Director Plan, 2016 Omnibus Plan, and 2014 Omnibus Plan. Also includes 36,200,877 restricted share units under our 2024 Omnibus Plan, 2023 Omnibus Plan, 2021 Omnibus Plan, 2019 Omnibus Plan, 2016 Omnibus Plan, and 2014 Omnibus Plan (including shares that may be issued pursuant to outstanding performance-based restricted share units, assuming the target award is met; actual shares may vary, depending on actual performance).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305"/>
        <w:gridCol w:w="6140"/>
      </w:tblGrid>
      <w:tr>
        <w:trPr/>
        <w:tc>
          <w:tcPr>
            <w:tcW w:w="305" w:type="dxa"/>
            <w:tcBorders/>
            <w:vAlign w:val="center"/>
          </w:tcPr>
          <w:p>
            <w:pPr>
              <w:pStyle w:val="TableContents"/>
              <w:bidi w:val="0"/>
              <w:spacing w:before="0" w:after="283"/>
              <w:jc w:val="left"/>
              <w:rPr/>
            </w:pPr>
            <w:r>
              <w:rPr/>
              <w:t>(b)</w:t>
            </w:r>
          </w:p>
        </w:tc>
        <w:tc>
          <w:tcPr>
            <w:tcW w:w="6140" w:type="dxa"/>
            <w:tcBorders/>
            <w:vAlign w:val="center"/>
          </w:tcPr>
          <w:p>
            <w:pPr>
              <w:pStyle w:val="TableContents"/>
              <w:bidi w:val="0"/>
              <w:spacing w:before="0" w:after="0"/>
              <w:jc w:val="left"/>
              <w:rPr>
                <w:rFonts w:ascii="arial" w:hAnsi="arial"/>
                <w:sz w:val="18"/>
              </w:rPr>
            </w:pPr>
            <w:r>
              <w:rPr>
                <w:rFonts w:ascii="arial" w:hAnsi="arial"/>
                <w:sz w:val="18"/>
              </w:rPr>
              <w:t xml:space="preserve">Excludes restricted stock unit awards, which do not have an exercise price.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290"/>
        <w:gridCol w:w="3560"/>
      </w:tblGrid>
      <w:tr>
        <w:trPr/>
        <w:tc>
          <w:tcPr>
            <w:tcW w:w="290" w:type="dxa"/>
            <w:tcBorders/>
            <w:vAlign w:val="center"/>
          </w:tcPr>
          <w:p>
            <w:pPr>
              <w:pStyle w:val="TableContents"/>
              <w:bidi w:val="0"/>
              <w:spacing w:before="0" w:after="283"/>
              <w:jc w:val="left"/>
              <w:rPr/>
            </w:pPr>
            <w:r>
              <w:rPr/>
              <w:t>(c)</w:t>
            </w:r>
          </w:p>
        </w:tc>
        <w:tc>
          <w:tcPr>
            <w:tcW w:w="3560" w:type="dxa"/>
            <w:tcBorders/>
            <w:vAlign w:val="center"/>
          </w:tcPr>
          <w:p>
            <w:pPr>
              <w:pStyle w:val="TableContents"/>
              <w:bidi w:val="0"/>
              <w:spacing w:before="0" w:after="0"/>
              <w:jc w:val="left"/>
              <w:rPr>
                <w:rFonts w:ascii="arial" w:hAnsi="arial"/>
                <w:sz w:val="18"/>
              </w:rPr>
            </w:pPr>
            <w:r>
              <w:rPr>
                <w:rFonts w:ascii="arial" w:hAnsi="arial"/>
                <w:sz w:val="18"/>
              </w:rPr>
              <w:t xml:space="preserve">Excludes securities reflected in column (a).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48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9858"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ADVISORY, NON-BINDING VOTE ON THE COMPENSATION OF OUR NAMED EXECUTIVE OFFICERS 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45" w:name="tx888712_43"/>
      <w:bookmarkEnd w:id="45"/>
      <w:r>
        <w:rPr>
          <w:rFonts w:ascii="arial" w:hAnsi="arial"/>
          <w:b/>
          <w:color w:val="CF0A2C"/>
          <w:sz w:val="44"/>
        </w:rPr>
        <w:t xml:space="preserve">PROPOSAL 4: ADVISORY, NON-BINDING VOTE ON THE COMPENSATION OF OUR NAMED EXECUTIVE OFFICERS </w:t>
      </w:r>
    </w:p>
    <w:p>
      <w:pPr>
        <w:pStyle w:val="TextBody"/>
        <w:bidi w:val="0"/>
        <w:spacing w:before="240" w:after="0"/>
        <w:jc w:val="left"/>
        <w:rPr>
          <w:rFonts w:ascii="arial" w:hAnsi="arial"/>
          <w:sz w:val="22"/>
        </w:rPr>
      </w:pPr>
      <w:r>
        <w:rPr>
          <w:rFonts w:ascii="arial" w:hAnsi="arial"/>
          <w:sz w:val="22"/>
        </w:rPr>
        <w:t xml:space="preserve">In “Compensation Discussion and Analysis” and the executive compensation tables following that section, we describe in detail our executive compensation program, including its objectives, policies and components. As discussed in Compensation Discussion and Analysis, the Compensation Committee seeks to observe the following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Retain and attract top-caliber executive officers</w:t>
            </w:r>
            <w:r>
              <w:rPr>
                <w:rFonts w:ascii="arial" w:hAnsi="arial"/>
                <w:sz w:val="22"/>
              </w:rPr>
              <w:t xml:space="preserve">. Executive officers should have base salaries and employee benefits that are market competitive and that permit us to hire and retain high-caliber individuals at all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Pay for performance</w:t>
            </w:r>
            <w:r>
              <w:rPr>
                <w:rFonts w:ascii="arial" w:hAnsi="arial"/>
                <w:sz w:val="22"/>
              </w:rPr>
              <w:t xml:space="preserve">. A significant portion of the target total direct compensation opportunities of our executive officers should be tied to annual and long-term business performance and each individual’s contribution to that performance, while the level of “at-risk” compensation should increase as the scope of the executive officer’s responsibility increases.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Reward long-term growth and profitability</w:t>
            </w:r>
            <w:r>
              <w:rPr>
                <w:rFonts w:ascii="arial" w:hAnsi="arial"/>
                <w:sz w:val="22"/>
              </w:rPr>
              <w:t xml:space="preserve">. Executive officers should be rewarded for achieving long-term results, and these rewards should be aligned with the interests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Align compensation with stockholder interests</w:t>
            </w:r>
            <w:r>
              <w:rPr>
                <w:rFonts w:ascii="arial" w:hAnsi="arial"/>
                <w:sz w:val="22"/>
              </w:rPr>
              <w:t xml:space="preserve">. The interests of our executive officers should be linked with those of our stockholders through the risks and rewards of the ownership of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Provide limited personal benefits</w:t>
            </w:r>
            <w:r>
              <w:rPr>
                <w:rFonts w:ascii="arial" w:hAnsi="arial"/>
                <w:sz w:val="22"/>
              </w:rPr>
              <w:t xml:space="preserve">. Perquisites and other personal benefits for our executive officers should be limited to items that serve a reasonable business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Promote transparency</w:t>
            </w:r>
            <w:r>
              <w:rPr>
                <w:rFonts w:ascii="arial" w:hAnsi="arial"/>
                <w:sz w:val="22"/>
              </w:rPr>
              <w:t xml:space="preserve">. We seek to establish an efficient, simple, and transparent process for executives in designing our compensation arrangements, setting performance objectives for annual and long-term incentive compensation opportunities, and making compensation decisions. </w:t>
            </w:r>
          </w:p>
        </w:tc>
      </w:tr>
    </w:tbl>
    <w:p>
      <w:pPr>
        <w:pStyle w:val="TextBody"/>
        <w:bidi w:val="0"/>
        <w:spacing w:before="240" w:after="0"/>
        <w:jc w:val="left"/>
        <w:rPr>
          <w:rFonts w:ascii="arial" w:hAnsi="arial"/>
          <w:sz w:val="22"/>
        </w:rPr>
      </w:pPr>
      <w:r>
        <w:rPr>
          <w:rFonts w:ascii="arial" w:hAnsi="arial"/>
          <w:sz w:val="22"/>
        </w:rPr>
        <w:t xml:space="preserve">For a more detailed discussion of how we believe our executive compensation program reflects these objectives, policies, and principles, including information about the 2024 compensation of our named executive officers, see “Compensation Discussion and Analysis.” The Compensation Committee and our Board of Directors believe that the policies, practices, and compensation components described in “Compensation Discussion and Analysis” are effective in achieving our objectives in light of the current environment. </w:t>
      </w:r>
    </w:p>
    <w:p>
      <w:pPr>
        <w:pStyle w:val="TextBody"/>
        <w:bidi w:val="0"/>
        <w:spacing w:before="240" w:after="0"/>
        <w:jc w:val="left"/>
        <w:rPr>
          <w:rFonts w:ascii="arial" w:hAnsi="arial"/>
          <w:sz w:val="22"/>
        </w:rPr>
      </w:pPr>
      <w:r>
        <w:rPr>
          <w:rFonts w:ascii="arial" w:hAnsi="arial"/>
          <w:sz w:val="22"/>
        </w:rPr>
        <w:t xml:space="preserve">We are asking our stockholders to indicate their support for our executive compensation as described in this proxy statement. This proposal, commonly known as a “say-on-pay” proposal, gives our stockholders the opportunity to express their views on our executive compensation program. This vote is not intended to address any specific item of compensation, but rather the overall compensation of our executive officers and the objectives, policies, and practices described in this proxy statement. Accordingly, we will ask our stockholders to vote on the following resolution at the Annual Meeting: </w:t>
      </w:r>
    </w:p>
    <w:p>
      <w:pPr>
        <w:pStyle w:val="TextBody"/>
        <w:bidi w:val="0"/>
        <w:spacing w:before="120" w:after="0"/>
        <w:jc w:val="left"/>
        <w:rPr>
          <w:rFonts w:ascii="arial" w:hAnsi="arial"/>
          <w:sz w:val="22"/>
        </w:rPr>
      </w:pPr>
      <w:r>
        <w:rPr>
          <w:rFonts w:ascii="arial" w:hAnsi="arial"/>
          <w:sz w:val="22"/>
        </w:rPr>
        <w:t xml:space="preserve">RESOLVED, that the compensation paid to the Corporation’s named executive officers, as disclosed pursuant to Item 402 of Regulation S-K, including the Compensation Discussion and Analysis, compensation tables, and narrative discussion, is hereby approved.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49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858"/>
        <w:gridCol w:w="60"/>
        <w:gridCol w:w="23"/>
        <w:gridCol w:w="60"/>
        <w:gridCol w:w="23"/>
        <w:gridCol w:w="60"/>
        <w:gridCol w:w="23"/>
        <w:gridCol w:w="60"/>
        <w:gridCol w:w="38"/>
      </w:tblGrid>
      <w:tr>
        <w:trPr/>
        <w:tc>
          <w:tcPr>
            <w:tcW w:w="9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9858"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PROPOSAL 4: ADVISORY, NON-BINDING VOTE ON THE COMPENSATION OF OUR NAMED EXECUTIVE OFFICERS 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This proposal is being presented pursuant to Section 14A of the Exchange Act. The say-on-pay vote is advisory and is therefore not binding on us, the Compensation Committee, or our Board of Directors. The Compensation Committee and our Board of Directors value the opinions of our stockholders and, to the extent there is any significant vote against our executive compensation program as disclosed in this proxy statement, will consider our stockholders’ concerns, and the Compensation Committee will evaluate whether any actions are necessary to address those concerns. </w:t>
      </w:r>
    </w:p>
    <w:p>
      <w:pPr>
        <w:pStyle w:val="TextBody"/>
        <w:bidi w:val="0"/>
        <w:spacing w:before="240" w:after="0"/>
        <w:jc w:val="left"/>
        <w:rPr>
          <w:rFonts w:ascii="arial" w:hAnsi="arial"/>
          <w:b/>
          <w:sz w:val="22"/>
        </w:rPr>
      </w:pPr>
      <w:r>
        <w:rPr>
          <w:rFonts w:ascii="arial" w:hAnsi="arial"/>
          <w:b/>
          <w:sz w:val="22"/>
        </w:rPr>
        <w:t xml:space="preserve">The Board of Directors unanimously recommends a vote FOR the approval of the compensation of our named executive officers, as disclosed in this proxy statement pursuant to the SEC’s compensation disclosure rules.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46" w:name="tx888712_44"/>
      <w:bookmarkEnd w:id="46"/>
      <w:r>
        <w:rPr>
          <w:rFonts w:ascii="arial" w:hAnsi="arial"/>
          <w:b/>
          <w:color w:val="CF0A2C"/>
          <w:sz w:val="44"/>
        </w:rPr>
        <w:t xml:space="preserve">COMPENSATION DISCUSSION AND ANALYSIS </w:t>
      </w:r>
    </w:p>
    <w:p>
      <w:pPr>
        <w:pStyle w:val="TextBody"/>
        <w:bidi w:val="0"/>
        <w:spacing w:before="400" w:after="0"/>
        <w:jc w:val="left"/>
        <w:rPr>
          <w:rFonts w:ascii="arial" w:hAnsi="arial"/>
          <w:sz w:val="22"/>
        </w:rPr>
      </w:pPr>
      <w:r>
        <w:rPr>
          <w:rFonts w:ascii="arial" w:hAnsi="arial"/>
          <w:sz w:val="22"/>
        </w:rPr>
        <w:t xml:space="preserve">This Compensation Discussion and Analysis addresses the principles underlying our executive compensation program and the policies and practices that contributed to our executive compensation actions and decisions for the year ended December 31, 2024 for our named executive officers. For 2024, our named executive officers were: </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475"/>
        <w:gridCol w:w="60"/>
        <w:gridCol w:w="7475"/>
      </w:tblGrid>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75"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666666" w:val="clear"/>
            <w:vAlign w:val="center"/>
          </w:tcPr>
          <w:p>
            <w:pPr>
              <w:pStyle w:val="TableContents"/>
              <w:bidi w:val="0"/>
              <w:spacing w:before="0" w:after="283"/>
              <w:jc w:val="left"/>
              <w:rPr>
                <w:sz w:val="4"/>
                <w:szCs w:val="4"/>
              </w:rPr>
            </w:pPr>
            <w:r>
              <w:rPr>
                <w:sz w:val="4"/>
                <w:szCs w:val="4"/>
              </w:rPr>
            </w:r>
          </w:p>
        </w:tc>
        <w:tc>
          <w:tcPr>
            <w:tcW w:w="7535" w:type="dxa"/>
            <w:gridSpan w:val="2"/>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1475" w:type="dxa"/>
            <w:tcBorders/>
            <w:shd w:fill="666666" w:val="clear"/>
            <w:vAlign w:val="center"/>
          </w:tcPr>
          <w:p>
            <w:pPr>
              <w:pStyle w:val="TableContents"/>
              <w:bidi w:val="0"/>
              <w:spacing w:before="0" w:after="0"/>
              <w:jc w:val="left"/>
              <w:rPr>
                <w:rFonts w:ascii="arial" w:hAnsi="arial"/>
                <w:b/>
                <w:color w:val="FFFFFF"/>
                <w:sz w:val="18"/>
              </w:rPr>
            </w:pPr>
            <w:r>
              <w:rPr>
                <w:rFonts w:ascii="arial" w:hAnsi="arial"/>
                <w:b/>
                <w:color w:val="FFFFFF"/>
                <w:sz w:val="18"/>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7475" w:type="dxa"/>
            <w:tcBorders/>
            <w:shd w:fill="666666" w:val="clear"/>
            <w:vAlign w:val="center"/>
          </w:tcPr>
          <w:p>
            <w:pPr>
              <w:pStyle w:val="TableContents"/>
              <w:bidi w:val="0"/>
              <w:spacing w:before="0" w:after="283"/>
              <w:jc w:val="left"/>
              <w:rPr>
                <w:b/>
                <w:color w:val="FFFFFF"/>
              </w:rPr>
            </w:pPr>
            <w:r>
              <w:rPr>
                <w:b/>
                <w:color w:val="FFFFFF"/>
              </w:rPr>
              <w:t>Position</w:t>
            </w:r>
          </w:p>
        </w:tc>
      </w:tr>
      <w:tr>
        <w:trPr/>
        <w:tc>
          <w:tcPr>
            <w:tcW w:w="1475"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475"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Chief Executive Officer and President</w:t>
            </w:r>
          </w:p>
        </w:tc>
      </w:tr>
      <w:tr>
        <w:trPr/>
        <w:tc>
          <w:tcPr>
            <w:tcW w:w="1475" w:type="dxa"/>
            <w:tcBorders/>
            <w:vAlign w:val="center"/>
          </w:tcPr>
          <w:p>
            <w:pPr>
              <w:pStyle w:val="TableContents"/>
              <w:bidi w:val="0"/>
              <w:spacing w:lineRule="atLeast" w:line="320" w:before="0" w:after="0"/>
              <w:jc w:val="left"/>
              <w:rPr>
                <w:rFonts w:ascii="arial" w:hAnsi="arial"/>
                <w:sz w:val="20"/>
              </w:rPr>
            </w:pP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320" w:before="0" w:after="0"/>
              <w:jc w:val="left"/>
              <w:rPr>
                <w:rFonts w:ascii="arial" w:hAnsi="arial"/>
                <w:sz w:val="20"/>
              </w:rPr>
            </w:pPr>
            <w:r>
              <w:rPr>
                <w:rFonts w:ascii="arial" w:hAnsi="arial"/>
                <w:sz w:val="20"/>
              </w:rPr>
              <w:t>Executive Vice President and Chief Financial Officer</w:t>
            </w:r>
          </w:p>
        </w:tc>
      </w:tr>
      <w:tr>
        <w:trPr/>
        <w:tc>
          <w:tcPr>
            <w:tcW w:w="1475"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Joe DiFonzo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475"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Executive Vice President and Chief Information Officer</w:t>
            </w:r>
          </w:p>
        </w:tc>
      </w:tr>
      <w:tr>
        <w:trPr/>
        <w:tc>
          <w:tcPr>
            <w:tcW w:w="1475" w:type="dxa"/>
            <w:tcBorders/>
            <w:vAlign w:val="center"/>
          </w:tcPr>
          <w:p>
            <w:pPr>
              <w:pStyle w:val="TableContents"/>
              <w:bidi w:val="0"/>
              <w:spacing w:lineRule="atLeast" w:line="320" w:before="0" w:after="0"/>
              <w:jc w:val="left"/>
              <w:rPr>
                <w:rFonts w:ascii="arial" w:hAnsi="arial"/>
                <w:sz w:val="20"/>
              </w:rPr>
            </w:pPr>
            <w:r>
              <w:rPr>
                <w:rFonts w:ascii="arial" w:hAnsi="arial"/>
                <w:sz w:val="20"/>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320" w:before="0" w:after="0"/>
              <w:jc w:val="left"/>
              <w:rPr>
                <w:rFonts w:ascii="arial" w:hAnsi="arial"/>
                <w:sz w:val="20"/>
              </w:rPr>
            </w:pPr>
            <w:r>
              <w:rPr>
                <w:rFonts w:ascii="arial" w:hAnsi="arial"/>
                <w:sz w:val="20"/>
              </w:rPr>
              <w:t>Executive Vice President and Chief Commercial Officer, Travel Solutions</w:t>
            </w:r>
          </w:p>
        </w:tc>
      </w:tr>
      <w:tr>
        <w:trPr/>
        <w:tc>
          <w:tcPr>
            <w:tcW w:w="1475"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475" w:type="dxa"/>
            <w:tcBorders/>
            <w:shd w:fill="E5E5E5" w:val="clear"/>
            <w:vAlign w:val="center"/>
          </w:tcPr>
          <w:p>
            <w:pPr>
              <w:pStyle w:val="TableContents"/>
              <w:bidi w:val="0"/>
              <w:spacing w:lineRule="atLeast" w:line="320" w:before="0" w:after="0"/>
              <w:jc w:val="left"/>
              <w:rPr>
                <w:rFonts w:ascii="arial" w:hAnsi="arial"/>
                <w:sz w:val="20"/>
              </w:rPr>
            </w:pPr>
            <w:r>
              <w:rPr>
                <w:rFonts w:ascii="arial" w:hAnsi="arial"/>
                <w:sz w:val="20"/>
              </w:rPr>
              <w:t>Executive Vice President and Chief Product and Technology Officer, Travel Solutions</w:t>
            </w:r>
          </w:p>
        </w:tc>
      </w:tr>
      <w:tr>
        <w:trPr/>
        <w:tc>
          <w:tcPr>
            <w:tcW w:w="1475" w:type="dxa"/>
            <w:tcBorders/>
            <w:vAlign w:val="center"/>
          </w:tcPr>
          <w:p>
            <w:pPr>
              <w:pStyle w:val="TableContents"/>
              <w:bidi w:val="0"/>
              <w:spacing w:lineRule="atLeast" w:line="320" w:before="0" w:after="0"/>
              <w:jc w:val="left"/>
              <w:rPr>
                <w:rFonts w:ascii="arial" w:hAnsi="arial"/>
                <w:sz w:val="20"/>
              </w:rPr>
            </w:pPr>
            <w:r>
              <w:rPr>
                <w:rFonts w:ascii="arial" w:hAnsi="arial"/>
                <w:sz w:val="20"/>
              </w:rPr>
              <w:t>Ann Bruder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475" w:type="dxa"/>
            <w:tcBorders/>
            <w:vAlign w:val="center"/>
          </w:tcPr>
          <w:p>
            <w:pPr>
              <w:pStyle w:val="TableContents"/>
              <w:bidi w:val="0"/>
              <w:spacing w:lineRule="atLeast" w:line="260" w:before="0" w:after="0"/>
              <w:jc w:val="left"/>
              <w:rPr>
                <w:rFonts w:ascii="arial" w:hAnsi="arial"/>
                <w:sz w:val="20"/>
              </w:rPr>
            </w:pPr>
            <w:r>
              <w:rPr>
                <w:rFonts w:ascii="arial" w:hAnsi="arial"/>
                <w:sz w:val="20"/>
              </w:rPr>
              <w:t>Former Executive Vice President and Chief Legal Officer(1)</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left"/>
              <w:rPr>
                <w:rFonts w:ascii="arial" w:hAnsi="arial"/>
                <w:sz w:val="18"/>
              </w:rPr>
            </w:pPr>
            <w:r>
              <w:rPr>
                <w:rFonts w:ascii="arial" w:hAnsi="arial"/>
                <w:sz w:val="18"/>
              </w:rPr>
              <w:t xml:space="preserve">Ms. Bruder ceased serving as Executive Vice President and Chief Legal Officer effective as of September 13, 2024, and her last day of employment with Sabre was October 31, 2024. </w:t>
            </w:r>
          </w:p>
        </w:tc>
      </w:tr>
    </w:tbl>
    <w:p>
      <w:pPr>
        <w:pStyle w:val="TextBody"/>
        <w:bidi w:val="0"/>
        <w:spacing w:before="360" w:after="0"/>
        <w:jc w:val="left"/>
        <w:rPr>
          <w:rFonts w:ascii="arial" w:hAnsi="arial"/>
          <w:b/>
          <w:color w:val="CF0A2C"/>
          <w:sz w:val="28"/>
        </w:rPr>
      </w:pPr>
      <w:bookmarkStart w:id="47" w:name="tx888712_45"/>
      <w:bookmarkEnd w:id="47"/>
      <w:r>
        <w:rPr>
          <w:rFonts w:ascii="arial" w:hAnsi="arial"/>
          <w:b/>
          <w:color w:val="CF0A2C"/>
          <w:sz w:val="28"/>
        </w:rPr>
        <w:t xml:space="preserve">Executive Summary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i/>
          <w:sz w:val="22"/>
        </w:rPr>
      </w:pPr>
      <w:r>
        <w:rPr>
          <w:rFonts w:ascii="arial" w:hAnsi="arial"/>
          <w:i/>
          <w:sz w:val="22"/>
        </w:rPr>
        <w:t xml:space="preserve">Business Overview </w:t>
      </w:r>
    </w:p>
    <w:p>
      <w:pPr>
        <w:pStyle w:val="TextBody"/>
        <w:bidi w:val="0"/>
        <w:spacing w:before="120" w:after="0"/>
        <w:jc w:val="left"/>
        <w:rPr>
          <w:rFonts w:ascii="arial" w:hAnsi="arial"/>
          <w:sz w:val="22"/>
        </w:rPr>
      </w:pPr>
      <w:r>
        <w:rPr>
          <w:rFonts w:ascii="arial" w:hAnsi="arial"/>
          <w:sz w:val="22"/>
        </w:rPr>
        <w:t xml:space="preserve">We continued our progress against our strategy in 2024, delivering solid revenue growth and Adjusted EBITDA growth, reflecting strong momentum. We achieved key product development milestones and secured meaningful commercial wins. These items were reflected in our full-year 2024 financial results: </w:t>
      </w:r>
    </w:p>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125"/>
        <w:gridCol w:w="60"/>
        <w:gridCol w:w="86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arial" w:hAnsi="arial"/>
                <w:sz w:val="22"/>
              </w:rPr>
            </w:pPr>
            <w:r>
              <w:rPr>
                <w:rFonts w:ascii="arial" w:hAnsi="arial"/>
                <w:sz w:val="22"/>
              </w:rPr>
              <w:t xml:space="preserve">Revenue totaled $3.030 billion, a 4% improvement versus revenue of $2.9 billion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Net loss attributable to common stockholders totaled $279 million, and diluted net loss attributable to common stockholders per share was $0.73 versus $1.56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was $517 million, a 53% improvement versus Adjusted EBITDA of $337 million in 2023.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25"/>
        <w:gridCol w:w="60"/>
        <w:gridCol w:w="50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arial" w:hAnsi="arial"/>
                <w:sz w:val="22"/>
              </w:rPr>
            </w:pPr>
            <w:r>
              <w:rPr>
                <w:rFonts w:ascii="arial" w:hAnsi="arial"/>
                <w:sz w:val="22"/>
              </w:rPr>
              <w:t xml:space="preserve">Adjusted EPS was $(0.19), versus $(0.52) in 2023.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125"/>
        <w:gridCol w:w="60"/>
        <w:gridCol w:w="68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left"/>
              <w:rPr>
                <w:rFonts w:ascii="arial" w:hAnsi="arial"/>
                <w:sz w:val="22"/>
              </w:rPr>
            </w:pPr>
            <w:r>
              <w:rPr>
                <w:rFonts w:ascii="arial" w:hAnsi="arial"/>
                <w:sz w:val="22"/>
              </w:rPr>
              <w:t xml:space="preserve">With regards to Sabre’s full year 2024 cash flows (versus prior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Cash provided by operating activities totaled $71 million (versus cash provided by operating activities of $56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Cash used in investing activities totaled $30 million (versus cash used in investing activities of $110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Cash provided by financing activities totaled $40 million (versus cash used in financing activities of $94 million),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arial" w:hAnsi="arial"/>
                <w:sz w:val="22"/>
              </w:rPr>
            </w:pPr>
            <w:r>
              <w:rPr>
                <w:rFonts w:ascii="arial" w:hAnsi="arial"/>
                <w:sz w:val="22"/>
              </w:rPr>
              <w:t xml:space="preserve">Capitalized expenditures totaled $84 million (versus $87 million),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Free Cash Flow was negative $14 million (versus negative $31 million). Free Cash Flow for the year includes $19 million paid for debt modification costs associated with refinancing activity in the fourth quarter of 2024. </w:t>
            </w:r>
          </w:p>
        </w:tc>
      </w:tr>
    </w:tbl>
    <w:p>
      <w:pPr>
        <w:pStyle w:val="TextBody"/>
        <w:bidi w:val="0"/>
        <w:spacing w:before="240" w:after="0"/>
        <w:jc w:val="left"/>
        <w:rPr>
          <w:rFonts w:ascii="arial" w:hAnsi="arial"/>
          <w:sz w:val="22"/>
        </w:rPr>
      </w:pPr>
      <w:r>
        <w:rPr>
          <w:rFonts w:ascii="arial" w:hAnsi="arial"/>
          <w:sz w:val="22"/>
        </w:rPr>
        <w:t>See</w:t>
      </w:r>
      <w:r>
        <w:rPr>
          <w:rFonts w:ascii="arial" w:hAnsi="arial"/>
          <w:sz w:val="22"/>
          <w:u w:val="single"/>
        </w:rPr>
        <w:t> Appendix B</w:t>
      </w:r>
      <w:r>
        <w:rPr>
          <w:rFonts w:ascii="arial" w:hAnsi="arial"/>
          <w:sz w:val="22"/>
        </w:rPr>
        <w:t xml:space="preserve"> for a reconciliation of certain non-GAAP and GAAP financial measures presented.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2024 Stockholder Engagement </w:t>
      </w:r>
    </w:p>
    <w:p>
      <w:pPr>
        <w:pStyle w:val="TextBody"/>
        <w:bidi w:val="0"/>
        <w:spacing w:before="120" w:after="0"/>
        <w:jc w:val="left"/>
        <w:rPr>
          <w:rFonts w:ascii="arial" w:hAnsi="arial"/>
          <w:sz w:val="22"/>
        </w:rPr>
      </w:pPr>
      <w:r>
        <w:rPr>
          <w:rFonts w:ascii="arial" w:hAnsi="arial"/>
          <w:sz w:val="22"/>
        </w:rPr>
        <w:t xml:space="preserve">Since 2016, we have maintained an ongoing, proactive stockholder engagement program. Throughout the year, members of our Investor Relations team, Corporate Secretary’s office, Corporate Responsibility team and executive compensation team engage with our stockholders to seek their input on topics of interest to them, including our strategy, compensation, Board of Directors, sustainability, and other governance matters. We actively engage with our stockholders on a year-round basis and integrate the information we learn through these discussions into our governance calendar. </w:t>
      </w:r>
    </w:p>
    <w:p>
      <w:pPr>
        <w:pStyle w:val="TextBody"/>
        <w:bidi w:val="0"/>
        <w:spacing w:before="0" w:after="0"/>
        <w:jc w:val="left"/>
        <w:rPr/>
      </w:pPr>
      <w:r>
        <w:rPr/>
        <w:t> </w:t>
      </w:r>
    </w:p>
    <w:p>
      <w:pPr>
        <w:pStyle w:val="TextBody"/>
        <w:bidi w:val="0"/>
        <w:spacing w:before="0" w:after="0"/>
        <w:jc w:val="center"/>
        <w:rPr/>
      </w:pPr>
      <w:r>
        <w:rPr/>
        <w:drawing>
          <wp:inline distT="0" distB="0" distL="0" distR="0">
            <wp:extent cx="5415915" cy="250380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5415915" cy="250380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45"/>
        <w:gridCol w:w="120"/>
        <w:gridCol w:w="8840"/>
      </w:tblGrid>
      <w:tr>
        <w:trPr/>
        <w:tc>
          <w:tcPr>
            <w:tcW w:w="1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4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666666" w:val="clear"/>
            <w:vAlign w:val="center"/>
          </w:tcPr>
          <w:p>
            <w:pPr>
              <w:pStyle w:val="TableContents"/>
              <w:bidi w:val="0"/>
              <w:spacing w:lineRule="atLeast" w:line="300" w:before="0" w:after="0"/>
              <w:jc w:val="center"/>
              <w:rPr>
                <w:rFonts w:ascii="arial" w:hAnsi="arial"/>
                <w:b/>
                <w:color w:val="FFFFFF"/>
                <w:sz w:val="18"/>
              </w:rPr>
            </w:pPr>
            <w:r>
              <w:rPr>
                <w:rFonts w:ascii="arial" w:hAnsi="arial"/>
                <w:b/>
                <w:color w:val="FFFFFF"/>
                <w:sz w:val="18"/>
              </w:rPr>
              <w:t>2024 Stockholder Engagement Program – Highlights and Statistics</w:t>
            </w:r>
          </w:p>
        </w:tc>
      </w:tr>
      <w:tr>
        <w:trPr/>
        <w:tc>
          <w:tcPr>
            <w:tcW w:w="1245" w:type="dxa"/>
            <w:tcBorders/>
            <w:vAlign w:val="center"/>
          </w:tcPr>
          <w:p>
            <w:pPr>
              <w:pStyle w:val="TableContents"/>
              <w:bidi w:val="0"/>
              <w:spacing w:before="0" w:after="283"/>
              <w:jc w:val="left"/>
              <w:rPr>
                <w:sz w:val="4"/>
                <w:szCs w:val="4"/>
              </w:rPr>
            </w:pPr>
            <w:r>
              <w:rPr>
                <w:sz w:val="4"/>
                <w:szCs w:val="4"/>
              </w:rPr>
            </w:r>
          </w:p>
        </w:tc>
        <w:tc>
          <w:tcPr>
            <w:tcW w:w="8960" w:type="dxa"/>
            <w:gridSpan w:val="2"/>
            <w:tcBorders/>
            <w:vAlign w:val="center"/>
          </w:tcPr>
          <w:p>
            <w:pPr>
              <w:pStyle w:val="TableContents"/>
              <w:bidi w:val="0"/>
              <w:spacing w:before="0" w:after="283"/>
              <w:jc w:val="left"/>
              <w:rPr>
                <w:sz w:val="4"/>
                <w:szCs w:val="4"/>
              </w:rPr>
            </w:pPr>
            <w:r>
              <w:rPr>
                <w:sz w:val="4"/>
                <w:szCs w:val="4"/>
              </w:rPr>
            </w:r>
          </w:p>
        </w:tc>
      </w:tr>
      <w:tr>
        <w:trPr/>
        <w:tc>
          <w:tcPr>
            <w:tcW w:w="1245" w:type="dxa"/>
            <w:tcBorders/>
            <w:vAlign w:val="center"/>
          </w:tcPr>
          <w:p>
            <w:pPr>
              <w:pStyle w:val="TableContents"/>
              <w:bidi w:val="0"/>
              <w:spacing w:before="0" w:after="283"/>
              <w:jc w:val="left"/>
              <w:rPr>
                <w:b/>
              </w:rPr>
            </w:pPr>
            <w:r>
              <w:rPr>
                <w:b/>
              </w:rPr>
              <w:t>Scope of Outreach</w:t>
            </w:r>
          </w:p>
        </w:tc>
        <w:tc>
          <w:tcPr>
            <w:tcW w:w="12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pPr>
            <w:r>
              <w:rPr/>
              <w:t>• </w:t>
            </w:r>
            <w:r>
              <w:rPr>
                <w:rFonts w:ascii="arial" w:hAnsi="arial"/>
                <w:sz w:val="22"/>
              </w:rPr>
              <w:t>Contacted 12 stockholders, representing approximately 58% of our then outstanding shares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2"/>
              </w:rPr>
              <w:t>Met with 7 stockholders, representing approximately 33% of our outstanding shares</w:t>
            </w:r>
          </w:p>
        </w:tc>
      </w:tr>
      <w:tr>
        <w:trPr/>
        <w:tc>
          <w:tcPr>
            <w:tcW w:w="1245" w:type="dxa"/>
            <w:tcBorders/>
            <w:vAlign w:val="center"/>
          </w:tcPr>
          <w:p>
            <w:pPr>
              <w:pStyle w:val="TableContents"/>
              <w:bidi w:val="0"/>
              <w:spacing w:before="0" w:after="283"/>
              <w:jc w:val="left"/>
              <w:rPr>
                <w:sz w:val="4"/>
                <w:szCs w:val="4"/>
              </w:rPr>
            </w:pPr>
            <w:r>
              <w:rPr>
                <w:sz w:val="4"/>
                <w:szCs w:val="4"/>
              </w:rPr>
            </w:r>
          </w:p>
        </w:tc>
        <w:tc>
          <w:tcPr>
            <w:tcW w:w="8960" w:type="dxa"/>
            <w:gridSpan w:val="2"/>
            <w:tcBorders/>
            <w:vAlign w:val="center"/>
          </w:tcPr>
          <w:p>
            <w:pPr>
              <w:pStyle w:val="TableContents"/>
              <w:bidi w:val="0"/>
              <w:spacing w:before="0" w:after="283"/>
              <w:jc w:val="left"/>
              <w:rPr>
                <w:sz w:val="4"/>
                <w:szCs w:val="4"/>
              </w:rPr>
            </w:pPr>
            <w:r>
              <w:rPr>
                <w:sz w:val="4"/>
                <w:szCs w:val="4"/>
              </w:rPr>
            </w:r>
          </w:p>
        </w:tc>
      </w:tr>
      <w:tr>
        <w:trPr/>
        <w:tc>
          <w:tcPr>
            <w:tcW w:w="1245" w:type="dxa"/>
            <w:tcBorders/>
            <w:vAlign w:val="center"/>
          </w:tcPr>
          <w:p>
            <w:pPr>
              <w:pStyle w:val="TableContents"/>
              <w:bidi w:val="0"/>
              <w:spacing w:before="0" w:after="283"/>
              <w:jc w:val="left"/>
              <w:rPr>
                <w:b/>
              </w:rPr>
            </w:pPr>
            <w:r>
              <w:rPr>
                <w:b/>
              </w:rPr>
              <w:t>Outreach Team</w:t>
            </w:r>
          </w:p>
        </w:tc>
        <w:tc>
          <w:tcPr>
            <w:tcW w:w="12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pPr>
            <w:r>
              <w:rPr/>
              <w:t>• </w:t>
            </w:r>
            <w:r>
              <w:rPr>
                <w:rFonts w:ascii="arial" w:hAnsi="arial"/>
                <w:sz w:val="22"/>
              </w:rPr>
              <w:t>Members of the management team (subject matter experts), including the Chief Administrative Officer, members of the executive compensation team, the Corporate Secretary, the Chief Communications and Corporate Responsibility Officer, and members of the Investor Relations team</w:t>
            </w:r>
          </w:p>
        </w:tc>
      </w:tr>
      <w:tr>
        <w:trPr/>
        <w:tc>
          <w:tcPr>
            <w:tcW w:w="1245" w:type="dxa"/>
            <w:tcBorders/>
            <w:vAlign w:val="center"/>
          </w:tcPr>
          <w:p>
            <w:pPr>
              <w:pStyle w:val="TableContents"/>
              <w:bidi w:val="0"/>
              <w:spacing w:before="0" w:after="283"/>
              <w:jc w:val="left"/>
              <w:rPr>
                <w:sz w:val="4"/>
                <w:szCs w:val="4"/>
              </w:rPr>
            </w:pPr>
            <w:r>
              <w:rPr>
                <w:sz w:val="4"/>
                <w:szCs w:val="4"/>
              </w:rPr>
            </w:r>
          </w:p>
        </w:tc>
        <w:tc>
          <w:tcPr>
            <w:tcW w:w="8960" w:type="dxa"/>
            <w:gridSpan w:val="2"/>
            <w:tcBorders/>
            <w:vAlign w:val="center"/>
          </w:tcPr>
          <w:p>
            <w:pPr>
              <w:pStyle w:val="TableContents"/>
              <w:bidi w:val="0"/>
              <w:spacing w:before="0" w:after="283"/>
              <w:jc w:val="left"/>
              <w:rPr>
                <w:sz w:val="4"/>
                <w:szCs w:val="4"/>
              </w:rPr>
            </w:pPr>
            <w:r>
              <w:rPr>
                <w:sz w:val="4"/>
                <w:szCs w:val="4"/>
              </w:rPr>
            </w:r>
          </w:p>
        </w:tc>
      </w:tr>
      <w:tr>
        <w:trPr/>
        <w:tc>
          <w:tcPr>
            <w:tcW w:w="1245" w:type="dxa"/>
            <w:tcBorders/>
            <w:vAlign w:val="center"/>
          </w:tcPr>
          <w:p>
            <w:pPr>
              <w:pStyle w:val="TableContents"/>
              <w:bidi w:val="0"/>
              <w:spacing w:before="0" w:after="0"/>
              <w:jc w:val="left"/>
              <w:rPr>
                <w:rFonts w:ascii="arial" w:hAnsi="arial"/>
                <w:b/>
                <w:sz w:val="20"/>
              </w:rPr>
            </w:pPr>
            <w:r>
              <w:rPr>
                <w:rFonts w:ascii="arial" w:hAnsi="arial"/>
                <w:b/>
                <w:sz w:val="20"/>
              </w:rPr>
              <w:t>Topics Discussed</w:t>
            </w:r>
          </w:p>
        </w:tc>
        <w:tc>
          <w:tcPr>
            <w:tcW w:w="12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pPr>
            <w:r>
              <w:rPr/>
              <w:t>• </w:t>
            </w:r>
            <w:r>
              <w:rPr>
                <w:rFonts w:ascii="arial" w:hAnsi="arial"/>
                <w:sz w:val="22"/>
              </w:rPr>
              <w:t>Our executive compensation program, including short- and long-term incentive design</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2"/>
              </w:rPr>
              <w:t>Our request for additional shares under the 2024 Omnibus Plan</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2"/>
              </w:rPr>
              <w:t>Our ongoing focus on Board of Directors’ refreshment and our governance structure</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2"/>
              </w:rPr>
              <w:t>Our sustainability program</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We received generally positive feedback on our executive compensation program. Stockholders indicated their general alignment with the design of the 2024 executive compensation program. They also provided feedback on various aspects of the program, including the mix of PSUs and RSUs, the vesting features of PSUs, and the performance measures utilized in the annual and long-term incentive programs. Stockholders also noted their understanding of the rationale for our request for additional shares under our 2024 Omnibus Plan at the 2024 Annual Meeting. The Compensation Committee considered this feedback from stockholders as it developed the design of our 2025 executive compensation program. See “2025 Executive Compensation Program.” We also received positive investor feedback on our governance structure and sustainability program. </w:t>
      </w:r>
    </w:p>
    <w:p>
      <w:pPr>
        <w:pStyle w:val="TextBody"/>
        <w:bidi w:val="0"/>
        <w:spacing w:before="360" w:after="0"/>
        <w:jc w:val="left"/>
        <w:rPr>
          <w:rFonts w:ascii="arial" w:hAnsi="arial"/>
          <w:i/>
          <w:sz w:val="22"/>
        </w:rPr>
      </w:pPr>
      <w:r>
        <w:rPr>
          <w:rFonts w:ascii="arial" w:hAnsi="arial"/>
          <w:i/>
          <w:sz w:val="22"/>
        </w:rPr>
        <w:t xml:space="preserve">2024 Executive Compensation Program </w:t>
      </w:r>
    </w:p>
    <w:p>
      <w:pPr>
        <w:pStyle w:val="TextBody"/>
        <w:bidi w:val="0"/>
        <w:spacing w:before="120" w:after="0"/>
        <w:jc w:val="left"/>
        <w:rPr>
          <w:rFonts w:ascii="arial" w:hAnsi="arial"/>
          <w:sz w:val="22"/>
        </w:rPr>
      </w:pPr>
      <w:r>
        <w:rPr>
          <w:rFonts w:ascii="arial" w:hAnsi="arial"/>
          <w:sz w:val="22"/>
        </w:rPr>
        <w:t xml:space="preserve">The Compensation Committee took certain actions with respect to the 2024 compensation of our named executive officers,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Base Salaries</w:t>
            </w:r>
            <w:r>
              <w:rPr>
                <w:rFonts w:ascii="arial" w:hAnsi="arial"/>
                <w:sz w:val="22"/>
              </w:rPr>
              <w:t xml:space="preserve">. In July 2024, the Compensation Committee reviewed the base salaries of our executive officers, including our named executive officers, and approved a 2% increase of the base salaries then in effect for each of our executive officers, other than our CEO (who received no base salary increase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Annual cash incentive framework</w:t>
            </w:r>
            <w:r>
              <w:rPr>
                <w:rFonts w:ascii="arial" w:hAnsi="arial"/>
                <w:sz w:val="22"/>
              </w:rPr>
              <w:t xml:space="preserve">. The performance measures for 2024 under our annual cash Executive Incentive Program (“EIP”) were based on Adjusted EBITDA (100% of funding formula), with a Free Cash Flow modifier that could increase or reduce the payout by 10%, subject to a maximum overall payout of 200%.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Long-term incentive awards</w:t>
            </w:r>
            <w:r>
              <w:rPr>
                <w:rFonts w:ascii="arial" w:hAnsi="arial"/>
                <w:sz w:val="22"/>
              </w:rPr>
              <w:t xml:space="preserve">. We granted long-term incentive awards in May 2024, after setting the long-term incentive compensation award value for each named executive officer. This award value was divided into a grant consisting of a PSU award (50%) and an RSU award (50%), as discussed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b/>
                <w:i/>
                <w:sz w:val="22"/>
              </w:rPr>
              <w:t>PSUs</w:t>
            </w:r>
            <w:r>
              <w:rPr>
                <w:rFonts w:ascii="arial" w:hAnsi="arial"/>
                <w:sz w:val="22"/>
              </w:rPr>
              <w:t xml:space="preserve">. The PSUs granted in May 2024 utilize Free Cash Flow and total stockholder return (“TSR”) as the performance measures. The PSUs have a three-year cliff vest, with the potential to earn up to 200% of the target number of PSUs based on our actual performance in each of the three years against the Free Cash Flow metric established for that year. These Free Cash Flow metrics for each year were established in May 2024. See “—Long-Term Incentive Compensation” for additional information. One-third of the grant is at risk each calendar year during the measurement period, and the executive officer will bank shares based on our Free Cash Flow performance for that year. The final aggregate award is subject to a TSR modifier based on our common stock price relative performance to the S&amp;P Composite 1500 Information Technology index over the three-year measurement period from January 1, 2024 to December 31, 2026, which can increase or decrease the aggregate number of PSUs earned by 10%, subject to a maximum overall payout of 200%.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b/>
                <w:i/>
                <w:sz w:val="22"/>
              </w:rPr>
              <w:t>RSUs</w:t>
            </w:r>
            <w:r>
              <w:rPr>
                <w:rFonts w:ascii="arial" w:hAnsi="arial"/>
                <w:sz w:val="22"/>
              </w:rPr>
              <w:t xml:space="preserve">. The RSUs granted in May 2024 vest ratably on an annual basis over three years, subject to the named executive officer’s continued employment through the applicable vesting date. </w:t>
            </w:r>
          </w:p>
        </w:tc>
      </w:tr>
    </w:tbl>
    <w:p>
      <w:pPr>
        <w:pStyle w:val="TextBody"/>
        <w:bidi w:val="0"/>
        <w:spacing w:before="240" w:after="0"/>
        <w:jc w:val="left"/>
        <w:rPr>
          <w:rFonts w:ascii="arial" w:hAnsi="arial"/>
          <w:sz w:val="22"/>
        </w:rPr>
      </w:pPr>
      <w:r>
        <w:rPr>
          <w:rFonts w:ascii="arial" w:hAnsi="arial"/>
          <w:sz w:val="22"/>
        </w:rPr>
        <w:t xml:space="preserve">See “—Compensation Elements of Total Direct Compensation—Annual Incentive Compensation” and “—Long-Term Incentive Compensation” below.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Our Executive Compensation Strategy </w:t>
      </w:r>
    </w:p>
    <w:p>
      <w:pPr>
        <w:pStyle w:val="TextBody"/>
        <w:bidi w:val="0"/>
        <w:spacing w:before="120" w:after="0"/>
        <w:jc w:val="left"/>
        <w:rPr>
          <w:rFonts w:ascii="arial" w:hAnsi="arial"/>
          <w:sz w:val="22"/>
        </w:rPr>
      </w:pPr>
      <w:r>
        <w:rPr>
          <w:rFonts w:ascii="arial" w:hAnsi="arial"/>
          <w:sz w:val="22"/>
        </w:rPr>
        <w:t xml:space="preserve">Our overall corporate rewards strategy, which is embodied in our executive compensation program, is designed to help advance three principal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Pay for performance</w:t>
            </w:r>
            <w:r>
              <w:rPr>
                <w:rFonts w:ascii="arial" w:hAnsi="arial"/>
                <w:sz w:val="22"/>
              </w:rPr>
              <w:t xml:space="preserve">. Link a significant portion of the target total direct compensation opportunities of our executive officers to our annual and long-term strategy and performance, including through grants of performance-based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Attract, motivate, and retain</w:t>
            </w:r>
            <w:r>
              <w:rPr>
                <w:rFonts w:ascii="arial" w:hAnsi="arial"/>
                <w:sz w:val="22"/>
              </w:rPr>
              <w:t xml:space="preserve">. Set compensation at market competitive levels that enable us to hire, incentivize, and retain high-caliber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Long-term equity ownership</w:t>
            </w:r>
            <w:r>
              <w:rPr>
                <w:rFonts w:ascii="arial" w:hAnsi="arial"/>
                <w:sz w:val="22"/>
              </w:rPr>
              <w:t xml:space="preserve">. Provide opportunities, consistent with the interests of our stockholders, for executive officers to accumulate and hold a significant equity stake in the organization, including through performance-based equity awards, if we achieve our strategic and growth objectives. </w:t>
            </w:r>
          </w:p>
        </w:tc>
      </w:tr>
    </w:tbl>
    <w:p>
      <w:pPr>
        <w:pStyle w:val="TextBody"/>
        <w:bidi w:val="0"/>
        <w:spacing w:before="360" w:after="0"/>
        <w:jc w:val="left"/>
        <w:rPr>
          <w:rFonts w:ascii="arial" w:hAnsi="arial"/>
          <w:i/>
          <w:sz w:val="22"/>
        </w:rPr>
      </w:pPr>
      <w:r>
        <w:rPr>
          <w:rFonts w:ascii="arial" w:hAnsi="arial"/>
          <w:i/>
          <w:sz w:val="22"/>
        </w:rPr>
        <w:t xml:space="preserve">Compensation Program Overview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47"/>
        <w:gridCol w:w="120"/>
        <w:gridCol w:w="4638"/>
      </w:tblGrid>
      <w:tr>
        <w:trPr/>
        <w:tc>
          <w:tcPr>
            <w:tcW w:w="5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38" w:type="dxa"/>
            <w:tcBorders/>
            <w:vAlign w:val="center"/>
          </w:tcPr>
          <w:p>
            <w:pPr>
              <w:pStyle w:val="TableContents"/>
              <w:bidi w:val="0"/>
              <w:spacing w:before="0" w:after="283"/>
              <w:jc w:val="left"/>
              <w:rPr>
                <w:sz w:val="4"/>
                <w:szCs w:val="4"/>
              </w:rPr>
            </w:pPr>
            <w:r>
              <w:rPr>
                <w:sz w:val="4"/>
                <w:szCs w:val="4"/>
              </w:rPr>
            </w:r>
          </w:p>
        </w:tc>
      </w:tr>
      <w:tr>
        <w:trPr/>
        <w:tc>
          <w:tcPr>
            <w:tcW w:w="5447" w:type="dxa"/>
            <w:tcBorders/>
            <w:vAlign w:val="center"/>
          </w:tcPr>
          <w:p>
            <w:pPr>
              <w:pStyle w:val="TableContents"/>
              <w:bidi w:val="0"/>
              <w:spacing w:before="0" w:after="0"/>
              <w:jc w:val="left"/>
              <w:rPr/>
            </w:pPr>
            <w:r>
              <w:rPr/>
              <w:t>✓ </w:t>
            </w:r>
            <w:r>
              <w:rPr>
                <w:rFonts w:ascii="arial" w:hAnsi="arial"/>
                <w:b/>
                <w:i/>
                <w:sz w:val="20"/>
              </w:rPr>
              <w:t>Independent Compensation Committee consultant</w:t>
            </w:r>
            <w:r>
              <w:rPr>
                <w:rFonts w:ascii="arial" w:hAnsi="arial"/>
                <w:i/>
                <w:sz w:val="20"/>
              </w:rPr>
              <w:t xml:space="preserve">. </w:t>
            </w:r>
            <w:r>
              <w:rPr>
                <w:rFonts w:ascii="arial" w:hAnsi="arial"/>
                <w:sz w:val="20"/>
              </w:rPr>
              <w:t>The Compensation Committee has engaged a compensation consultant to assist with the review and analysis of our executive compensation program</w:t>
            </w:r>
          </w:p>
        </w:tc>
        <w:tc>
          <w:tcPr>
            <w:tcW w:w="120" w:type="dxa"/>
            <w:tcBorders/>
            <w:vAlign w:val="center"/>
          </w:tcPr>
          <w:p>
            <w:pPr>
              <w:pStyle w:val="TableContents"/>
              <w:bidi w:val="0"/>
              <w:spacing w:before="0" w:after="283"/>
              <w:jc w:val="left"/>
              <w:rPr/>
            </w:pPr>
            <w:r>
              <w:rPr/>
              <w:t>  </w:t>
            </w:r>
          </w:p>
        </w:tc>
        <w:tc>
          <w:tcPr>
            <w:tcW w:w="4638" w:type="dxa"/>
            <w:tcBorders/>
            <w:vAlign w:val="center"/>
          </w:tcPr>
          <w:p>
            <w:pPr>
              <w:pStyle w:val="TableContents"/>
              <w:bidi w:val="0"/>
              <w:spacing w:before="0" w:after="0"/>
              <w:jc w:val="left"/>
              <w:rPr>
                <w:rFonts w:ascii="arial" w:hAnsi="arial"/>
                <w:sz w:val="20"/>
              </w:rPr>
            </w:pPr>
            <w:r>
              <w:rPr>
                <w:rFonts w:ascii="arial" w:hAnsi="arial"/>
                <w:b/>
                <w:i/>
                <w:sz w:val="20"/>
              </w:rPr>
              <w:t>X No pension plans</w:t>
            </w:r>
            <w:r>
              <w:rPr>
                <w:rFonts w:ascii="arial" w:hAnsi="arial"/>
                <w:i/>
                <w:sz w:val="20"/>
              </w:rPr>
              <w:t xml:space="preserve">. </w:t>
            </w:r>
            <w:r>
              <w:rPr>
                <w:rFonts w:ascii="arial" w:hAnsi="arial"/>
                <w:sz w:val="20"/>
              </w:rPr>
              <w:t>We do not currently offer, nor do we have plans to provide, supplemental pension arrangements or defined benefit pension plans to our executive officers</w:t>
            </w:r>
          </w:p>
        </w:tc>
      </w:tr>
      <w:tr>
        <w:trPr/>
        <w:tc>
          <w:tcPr>
            <w:tcW w:w="5447" w:type="dxa"/>
            <w:tcBorders/>
            <w:vAlign w:val="center"/>
          </w:tcPr>
          <w:p>
            <w:pPr>
              <w:pStyle w:val="TableContents"/>
              <w:bidi w:val="0"/>
              <w:spacing w:before="0" w:after="283"/>
              <w:jc w:val="left"/>
              <w:rPr>
                <w:sz w:val="4"/>
                <w:szCs w:val="4"/>
              </w:rPr>
            </w:pPr>
            <w:r>
              <w:rPr>
                <w:sz w:val="4"/>
                <w:szCs w:val="4"/>
              </w:rPr>
            </w:r>
          </w:p>
        </w:tc>
        <w:tc>
          <w:tcPr>
            <w:tcW w:w="4758" w:type="dxa"/>
            <w:gridSpan w:val="2"/>
            <w:tcBorders/>
            <w:vAlign w:val="center"/>
          </w:tcPr>
          <w:p>
            <w:pPr>
              <w:pStyle w:val="TableContents"/>
              <w:bidi w:val="0"/>
              <w:spacing w:before="0" w:after="283"/>
              <w:jc w:val="left"/>
              <w:rPr>
                <w:sz w:val="4"/>
                <w:szCs w:val="4"/>
              </w:rPr>
            </w:pPr>
            <w:r>
              <w:rPr>
                <w:sz w:val="4"/>
                <w:szCs w:val="4"/>
              </w:rPr>
            </w:r>
          </w:p>
        </w:tc>
      </w:tr>
      <w:tr>
        <w:trPr/>
        <w:tc>
          <w:tcPr>
            <w:tcW w:w="5447" w:type="dxa"/>
            <w:tcBorders/>
            <w:vAlign w:val="center"/>
          </w:tcPr>
          <w:p>
            <w:pPr>
              <w:pStyle w:val="TableContents"/>
              <w:bidi w:val="0"/>
              <w:spacing w:before="0" w:after="0"/>
              <w:jc w:val="left"/>
              <w:rPr/>
            </w:pPr>
            <w:r>
              <w:rPr/>
              <w:t>✓ </w:t>
            </w:r>
            <w:r>
              <w:rPr>
                <w:rFonts w:ascii="arial" w:hAnsi="arial"/>
                <w:b/>
                <w:i/>
                <w:sz w:val="20"/>
              </w:rPr>
              <w:t>Annual executive compensation review</w:t>
            </w:r>
            <w:r>
              <w:rPr>
                <w:rFonts w:ascii="arial" w:hAnsi="arial"/>
                <w:i/>
                <w:sz w:val="20"/>
              </w:rPr>
              <w:t xml:space="preserve">. </w:t>
            </w:r>
            <w:r>
              <w:rPr>
                <w:rFonts w:ascii="arial" w:hAnsi="arial"/>
                <w:sz w:val="20"/>
              </w:rPr>
              <w:t>The Compensation Committee conducts an annual review of our executive compensation program, including a review of the competitive market for executive talent, and has developed a compensation peer group for use during its deliberations when evaluating the competitive market</w:t>
            </w:r>
          </w:p>
        </w:tc>
        <w:tc>
          <w:tcPr>
            <w:tcW w:w="120" w:type="dxa"/>
            <w:tcBorders/>
            <w:vAlign w:val="center"/>
          </w:tcPr>
          <w:p>
            <w:pPr>
              <w:pStyle w:val="TableContents"/>
              <w:bidi w:val="0"/>
              <w:spacing w:before="0" w:after="283"/>
              <w:jc w:val="left"/>
              <w:rPr/>
            </w:pPr>
            <w:r>
              <w:rPr/>
              <w:t>  </w:t>
            </w:r>
          </w:p>
        </w:tc>
        <w:tc>
          <w:tcPr>
            <w:tcW w:w="4638" w:type="dxa"/>
            <w:tcBorders/>
            <w:vAlign w:val="center"/>
          </w:tcPr>
          <w:p>
            <w:pPr>
              <w:pStyle w:val="TableContents"/>
              <w:bidi w:val="0"/>
              <w:spacing w:before="0" w:after="0"/>
              <w:jc w:val="left"/>
              <w:rPr>
                <w:rFonts w:ascii="arial" w:hAnsi="arial"/>
                <w:sz w:val="20"/>
              </w:rPr>
            </w:pPr>
            <w:r>
              <w:rPr>
                <w:rFonts w:ascii="arial" w:hAnsi="arial"/>
                <w:b/>
                <w:i/>
                <w:sz w:val="20"/>
              </w:rPr>
              <w:t>X No tax reimbursements on severance or change-in-control payments</w:t>
            </w:r>
            <w:r>
              <w:rPr>
                <w:rFonts w:ascii="arial" w:hAnsi="arial"/>
                <w:i/>
                <w:sz w:val="20"/>
              </w:rPr>
              <w:t xml:space="preserve">. </w:t>
            </w:r>
            <w:r>
              <w:rPr>
                <w:rFonts w:ascii="arial" w:hAnsi="arial"/>
                <w:sz w:val="20"/>
              </w:rPr>
              <w:t>We do not provide any tax reimbursement payments (including “gross-ups”) on any severance or change-in-control payments</w:t>
            </w:r>
          </w:p>
        </w:tc>
      </w:tr>
      <w:tr>
        <w:trPr/>
        <w:tc>
          <w:tcPr>
            <w:tcW w:w="5447" w:type="dxa"/>
            <w:tcBorders/>
            <w:vAlign w:val="center"/>
          </w:tcPr>
          <w:p>
            <w:pPr>
              <w:pStyle w:val="TableContents"/>
              <w:bidi w:val="0"/>
              <w:spacing w:before="0" w:after="283"/>
              <w:jc w:val="left"/>
              <w:rPr>
                <w:sz w:val="4"/>
                <w:szCs w:val="4"/>
              </w:rPr>
            </w:pPr>
            <w:r>
              <w:rPr>
                <w:sz w:val="4"/>
                <w:szCs w:val="4"/>
              </w:rPr>
            </w:r>
          </w:p>
        </w:tc>
        <w:tc>
          <w:tcPr>
            <w:tcW w:w="4758" w:type="dxa"/>
            <w:gridSpan w:val="2"/>
            <w:tcBorders/>
            <w:vAlign w:val="center"/>
          </w:tcPr>
          <w:p>
            <w:pPr>
              <w:pStyle w:val="TableContents"/>
              <w:bidi w:val="0"/>
              <w:spacing w:before="0" w:after="283"/>
              <w:jc w:val="left"/>
              <w:rPr>
                <w:sz w:val="4"/>
                <w:szCs w:val="4"/>
              </w:rPr>
            </w:pPr>
            <w:r>
              <w:rPr>
                <w:sz w:val="4"/>
                <w:szCs w:val="4"/>
              </w:rPr>
            </w:r>
          </w:p>
        </w:tc>
      </w:tr>
      <w:tr>
        <w:trPr/>
        <w:tc>
          <w:tcPr>
            <w:tcW w:w="5447" w:type="dxa"/>
            <w:tcBorders/>
            <w:vAlign w:val="center"/>
          </w:tcPr>
          <w:p>
            <w:pPr>
              <w:pStyle w:val="TableContents"/>
              <w:bidi w:val="0"/>
              <w:spacing w:before="0" w:after="0"/>
              <w:jc w:val="left"/>
              <w:rPr/>
            </w:pPr>
            <w:r>
              <w:rPr/>
              <w:t>✓ </w:t>
            </w:r>
            <w:r>
              <w:rPr>
                <w:rFonts w:ascii="arial" w:hAnsi="arial"/>
                <w:b/>
                <w:i/>
                <w:sz w:val="20"/>
              </w:rPr>
              <w:t>Compensation at-risk</w:t>
            </w:r>
            <w:r>
              <w:rPr>
                <w:rFonts w:ascii="arial" w:hAnsi="arial"/>
                <w:i/>
                <w:sz w:val="20"/>
              </w:rPr>
              <w:t xml:space="preserve">. </w:t>
            </w:r>
            <w:r>
              <w:rPr>
                <w:rFonts w:ascii="arial" w:hAnsi="arial"/>
                <w:sz w:val="20"/>
              </w:rPr>
              <w:t>Our executive compensation program is designed so that a significant portion of compensation is “at risk” based on corporate performance, as well as equity-based to align the interests of our executive officers and stockholders</w:t>
            </w:r>
          </w:p>
        </w:tc>
        <w:tc>
          <w:tcPr>
            <w:tcW w:w="120" w:type="dxa"/>
            <w:tcBorders/>
            <w:vAlign w:val="center"/>
          </w:tcPr>
          <w:p>
            <w:pPr>
              <w:pStyle w:val="TableContents"/>
              <w:bidi w:val="0"/>
              <w:spacing w:before="0" w:after="283"/>
              <w:jc w:val="left"/>
              <w:rPr/>
            </w:pPr>
            <w:r>
              <w:rPr/>
              <w:t>  </w:t>
            </w:r>
          </w:p>
        </w:tc>
        <w:tc>
          <w:tcPr>
            <w:tcW w:w="4638"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No special health or welfare benefits</w:t>
            </w:r>
            <w:r>
              <w:rPr>
                <w:rFonts w:ascii="arial" w:hAnsi="arial"/>
                <w:i/>
                <w:sz w:val="20"/>
              </w:rPr>
              <w:t xml:space="preserve">. </w:t>
            </w:r>
            <w:r>
              <w:rPr>
                <w:rFonts w:ascii="arial" w:hAnsi="arial"/>
                <w:sz w:val="20"/>
              </w:rPr>
              <w:t>Our executive officers participate in broad-based company-sponsored health and welfare benefits programs on the same basis as our other full-time, salaried employees</w:t>
            </w:r>
          </w:p>
        </w:tc>
      </w:tr>
      <w:tr>
        <w:trPr/>
        <w:tc>
          <w:tcPr>
            <w:tcW w:w="5447" w:type="dxa"/>
            <w:tcBorders/>
            <w:vAlign w:val="center"/>
          </w:tcPr>
          <w:p>
            <w:pPr>
              <w:pStyle w:val="TableContents"/>
              <w:bidi w:val="0"/>
              <w:spacing w:before="0" w:after="283"/>
              <w:jc w:val="left"/>
              <w:rPr>
                <w:sz w:val="4"/>
                <w:szCs w:val="4"/>
              </w:rPr>
            </w:pPr>
            <w:r>
              <w:rPr>
                <w:sz w:val="4"/>
                <w:szCs w:val="4"/>
              </w:rPr>
            </w:r>
          </w:p>
        </w:tc>
        <w:tc>
          <w:tcPr>
            <w:tcW w:w="4758" w:type="dxa"/>
            <w:gridSpan w:val="2"/>
            <w:tcBorders/>
            <w:vAlign w:val="center"/>
          </w:tcPr>
          <w:p>
            <w:pPr>
              <w:pStyle w:val="TableContents"/>
              <w:bidi w:val="0"/>
              <w:spacing w:before="0" w:after="283"/>
              <w:jc w:val="left"/>
              <w:rPr>
                <w:sz w:val="4"/>
                <w:szCs w:val="4"/>
              </w:rPr>
            </w:pPr>
            <w:r>
              <w:rPr>
                <w:sz w:val="4"/>
                <w:szCs w:val="4"/>
              </w:rPr>
            </w:r>
          </w:p>
        </w:tc>
      </w:tr>
      <w:tr>
        <w:trPr/>
        <w:tc>
          <w:tcPr>
            <w:tcW w:w="5447" w:type="dxa"/>
            <w:tcBorders/>
            <w:vAlign w:val="center"/>
          </w:tcPr>
          <w:p>
            <w:pPr>
              <w:pStyle w:val="TableContents"/>
              <w:bidi w:val="0"/>
              <w:spacing w:before="0" w:after="0"/>
              <w:jc w:val="left"/>
              <w:rPr/>
            </w:pPr>
            <w:r>
              <w:rPr/>
              <w:t>✓ </w:t>
            </w:r>
            <w:r>
              <w:rPr>
                <w:rFonts w:ascii="arial" w:hAnsi="arial"/>
                <w:b/>
                <w:i/>
                <w:sz w:val="20"/>
              </w:rPr>
              <w:t>Performance-based incentives</w:t>
            </w:r>
            <w:r>
              <w:rPr>
                <w:rFonts w:ascii="arial" w:hAnsi="arial"/>
                <w:i/>
                <w:sz w:val="20"/>
              </w:rPr>
              <w:t xml:space="preserve">. </w:t>
            </w:r>
            <w:r>
              <w:rPr>
                <w:rFonts w:ascii="arial" w:hAnsi="arial"/>
                <w:sz w:val="20"/>
              </w:rPr>
              <w:t>We use performance-based annual and long-term incentives</w:t>
            </w:r>
          </w:p>
        </w:tc>
        <w:tc>
          <w:tcPr>
            <w:tcW w:w="120" w:type="dxa"/>
            <w:tcBorders/>
            <w:vAlign w:val="center"/>
          </w:tcPr>
          <w:p>
            <w:pPr>
              <w:pStyle w:val="TableContents"/>
              <w:bidi w:val="0"/>
              <w:spacing w:before="0" w:after="283"/>
              <w:jc w:val="left"/>
              <w:rPr/>
            </w:pPr>
            <w:r>
              <w:rPr/>
              <w:t>  </w:t>
            </w:r>
          </w:p>
        </w:tc>
        <w:tc>
          <w:tcPr>
            <w:tcW w:w="4638"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Limited perquisites</w:t>
            </w:r>
            <w:r>
              <w:rPr>
                <w:rFonts w:ascii="arial" w:hAnsi="arial"/>
                <w:i/>
                <w:sz w:val="20"/>
              </w:rPr>
              <w:t xml:space="preserve">. </w:t>
            </w:r>
            <w:r>
              <w:rPr>
                <w:rFonts w:ascii="arial" w:hAnsi="arial"/>
                <w:sz w:val="20"/>
              </w:rPr>
              <w:t>We provide only limited perquisites and other personal benefits to our executive officers</w:t>
            </w:r>
          </w:p>
        </w:tc>
      </w:tr>
      <w:tr>
        <w:trPr/>
        <w:tc>
          <w:tcPr>
            <w:tcW w:w="5447" w:type="dxa"/>
            <w:tcBorders/>
            <w:vAlign w:val="center"/>
          </w:tcPr>
          <w:p>
            <w:pPr>
              <w:pStyle w:val="TableContents"/>
              <w:bidi w:val="0"/>
              <w:spacing w:before="0" w:after="283"/>
              <w:jc w:val="left"/>
              <w:rPr>
                <w:sz w:val="4"/>
                <w:szCs w:val="4"/>
              </w:rPr>
            </w:pPr>
            <w:r>
              <w:rPr>
                <w:sz w:val="4"/>
                <w:szCs w:val="4"/>
              </w:rPr>
            </w:r>
          </w:p>
        </w:tc>
        <w:tc>
          <w:tcPr>
            <w:tcW w:w="4758" w:type="dxa"/>
            <w:gridSpan w:val="2"/>
            <w:tcBorders/>
            <w:vAlign w:val="center"/>
          </w:tcPr>
          <w:p>
            <w:pPr>
              <w:pStyle w:val="TableContents"/>
              <w:bidi w:val="0"/>
              <w:spacing w:before="0" w:after="283"/>
              <w:jc w:val="left"/>
              <w:rPr>
                <w:sz w:val="4"/>
                <w:szCs w:val="4"/>
              </w:rPr>
            </w:pPr>
            <w:r>
              <w:rPr>
                <w:sz w:val="4"/>
                <w:szCs w:val="4"/>
              </w:rPr>
            </w:r>
          </w:p>
        </w:tc>
      </w:tr>
      <w:tr>
        <w:trPr/>
        <w:tc>
          <w:tcPr>
            <w:tcW w:w="5447" w:type="dxa"/>
            <w:tcBorders/>
            <w:vAlign w:val="center"/>
          </w:tcPr>
          <w:p>
            <w:pPr>
              <w:pStyle w:val="TableContents"/>
              <w:bidi w:val="0"/>
              <w:spacing w:before="0" w:after="0"/>
              <w:jc w:val="left"/>
              <w:rPr/>
            </w:pPr>
            <w:r>
              <w:rPr/>
              <w:t>✓ </w:t>
            </w:r>
            <w:r>
              <w:rPr>
                <w:rFonts w:ascii="arial" w:hAnsi="arial"/>
                <w:b/>
                <w:i/>
                <w:sz w:val="20"/>
              </w:rPr>
              <w:t>Multi-year vesting requirements</w:t>
            </w:r>
            <w:r>
              <w:rPr>
                <w:rFonts w:ascii="arial" w:hAnsi="arial"/>
                <w:i/>
                <w:sz w:val="20"/>
              </w:rPr>
              <w:t xml:space="preserve">. </w:t>
            </w:r>
            <w:r>
              <w:rPr>
                <w:rFonts w:ascii="arial" w:hAnsi="arial"/>
                <w:sz w:val="20"/>
              </w:rPr>
              <w:t>The equity awards granted to our executive officers vest or are earned over multi-year periods, consistent with current market practice and our retention objectives</w:t>
            </w:r>
          </w:p>
        </w:tc>
        <w:tc>
          <w:tcPr>
            <w:tcW w:w="120" w:type="dxa"/>
            <w:tcBorders/>
            <w:vAlign w:val="center"/>
          </w:tcPr>
          <w:p>
            <w:pPr>
              <w:pStyle w:val="TableContents"/>
              <w:bidi w:val="0"/>
              <w:spacing w:before="0" w:after="283"/>
              <w:jc w:val="left"/>
              <w:rPr/>
            </w:pPr>
            <w:r>
              <w:rPr/>
              <w:t>  </w:t>
            </w:r>
          </w:p>
        </w:tc>
        <w:tc>
          <w:tcPr>
            <w:tcW w:w="4638"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Hedging and pledging prohibited</w:t>
            </w:r>
            <w:r>
              <w:rPr>
                <w:rFonts w:ascii="arial" w:hAnsi="arial"/>
                <w:sz w:val="20"/>
              </w:rPr>
              <w:t>. Our Insider Trading Policy prohibits employees that are recipients of equity grants, including our executive officers, and members of our Board of Directors from hedging or pledging any of their shares of Sabre common stock</w:t>
            </w:r>
          </w:p>
        </w:tc>
      </w:tr>
      <w:tr>
        <w:trPr/>
        <w:tc>
          <w:tcPr>
            <w:tcW w:w="5447" w:type="dxa"/>
            <w:tcBorders/>
            <w:vAlign w:val="center"/>
          </w:tcPr>
          <w:p>
            <w:pPr>
              <w:pStyle w:val="TableContents"/>
              <w:bidi w:val="0"/>
              <w:spacing w:before="0" w:after="283"/>
              <w:jc w:val="left"/>
              <w:rPr>
                <w:sz w:val="4"/>
                <w:szCs w:val="4"/>
              </w:rPr>
            </w:pPr>
            <w:r>
              <w:rPr>
                <w:sz w:val="4"/>
                <w:szCs w:val="4"/>
              </w:rPr>
            </w:r>
          </w:p>
        </w:tc>
        <w:tc>
          <w:tcPr>
            <w:tcW w:w="4758" w:type="dxa"/>
            <w:gridSpan w:val="2"/>
            <w:tcBorders/>
            <w:vAlign w:val="center"/>
          </w:tcPr>
          <w:p>
            <w:pPr>
              <w:pStyle w:val="TableContents"/>
              <w:bidi w:val="0"/>
              <w:spacing w:before="0" w:after="283"/>
              <w:jc w:val="left"/>
              <w:rPr>
                <w:sz w:val="4"/>
                <w:szCs w:val="4"/>
              </w:rPr>
            </w:pPr>
            <w:r>
              <w:rPr>
                <w:sz w:val="4"/>
                <w:szCs w:val="4"/>
              </w:rPr>
            </w:r>
          </w:p>
        </w:tc>
      </w:tr>
      <w:tr>
        <w:trPr/>
        <w:tc>
          <w:tcPr>
            <w:tcW w:w="5447" w:type="dxa"/>
            <w:tcBorders/>
            <w:vAlign w:val="center"/>
          </w:tcPr>
          <w:p>
            <w:pPr>
              <w:pStyle w:val="TableContents"/>
              <w:bidi w:val="0"/>
              <w:spacing w:before="0" w:after="0"/>
              <w:jc w:val="left"/>
              <w:rPr/>
            </w:pPr>
            <w:r>
              <w:rPr/>
              <w:t>✓ </w:t>
            </w:r>
            <w:r>
              <w:rPr>
                <w:rFonts w:ascii="arial" w:hAnsi="arial"/>
                <w:b/>
                <w:i/>
                <w:sz w:val="20"/>
              </w:rPr>
              <w:t>Clawback policy</w:t>
            </w:r>
            <w:r>
              <w:rPr>
                <w:rFonts w:ascii="arial" w:hAnsi="arial"/>
                <w:sz w:val="20"/>
              </w:rPr>
              <w:t>. We maintain the Sabre Corporation Clawback Policy</w:t>
            </w:r>
          </w:p>
        </w:tc>
        <w:tc>
          <w:tcPr>
            <w:tcW w:w="120" w:type="dxa"/>
            <w:tcBorders/>
            <w:vAlign w:val="center"/>
          </w:tcPr>
          <w:p>
            <w:pPr>
              <w:pStyle w:val="TableContents"/>
              <w:bidi w:val="0"/>
              <w:spacing w:before="0" w:after="283"/>
              <w:jc w:val="left"/>
              <w:rPr/>
            </w:pPr>
            <w:r>
              <w:rPr/>
              <w:t>  </w:t>
            </w:r>
          </w:p>
        </w:tc>
        <w:tc>
          <w:tcPr>
            <w:tcW w:w="4638" w:type="dxa"/>
            <w:tcBorders/>
            <w:vAlign w:val="center"/>
          </w:tcPr>
          <w:p>
            <w:pPr>
              <w:pStyle w:val="TableContents"/>
              <w:bidi w:val="0"/>
              <w:spacing w:before="0" w:after="0"/>
              <w:jc w:val="left"/>
              <w:rPr>
                <w:rFonts w:ascii="arial" w:hAnsi="arial"/>
                <w:sz w:val="20"/>
              </w:rPr>
            </w:pPr>
            <w:r>
              <w:rPr>
                <w:rFonts w:ascii="arial" w:hAnsi="arial"/>
                <w:b/>
                <w:i/>
                <w:sz w:val="20"/>
              </w:rPr>
              <w:t>X</w:t>
            </w:r>
            <w:r>
              <w:rPr>
                <w:rFonts w:ascii="arial" w:hAnsi="arial"/>
                <w:sz w:val="20"/>
              </w:rPr>
              <w:t xml:space="preserve"> </w:t>
            </w:r>
            <w:r>
              <w:rPr>
                <w:rFonts w:ascii="arial" w:hAnsi="arial"/>
                <w:b/>
                <w:i/>
                <w:sz w:val="20"/>
              </w:rPr>
              <w:t>No stock option re-pricings</w:t>
            </w:r>
            <w:r>
              <w:rPr>
                <w:rFonts w:ascii="arial" w:hAnsi="arial"/>
                <w:sz w:val="20"/>
              </w:rPr>
              <w:t>. We prohibit the re-pricing of outstanding stock options to purchase our common stock without prior stockholder approval</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48" w:name="tx888712_46"/>
      <w:bookmarkEnd w:id="48"/>
      <w:r>
        <w:rPr>
          <w:rFonts w:ascii="arial" w:hAnsi="arial"/>
          <w:b/>
          <w:color w:val="CF0A2C"/>
          <w:sz w:val="28"/>
        </w:rPr>
        <w:t xml:space="preserve">Compensation Philosophy and Principles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philosophy underlying our executive compensation program is to provide an attractive, flexible, and effective total compensation opportunity to our executive officers, including our named executive officers, tied to our corporate performance and aligned with the interests of our stockholders. Our objective is to recruit, motivate, and retain the caliber of executive officers necessary to deliver sustained high performance to our stockholders, customers, and other stakeholders. </w:t>
      </w:r>
    </w:p>
    <w:p>
      <w:pPr>
        <w:pStyle w:val="TextBody"/>
        <w:bidi w:val="0"/>
        <w:spacing w:before="240" w:after="0"/>
        <w:jc w:val="left"/>
        <w:rPr>
          <w:rFonts w:ascii="arial" w:hAnsi="arial"/>
          <w:sz w:val="22"/>
        </w:rPr>
      </w:pPr>
      <w:r>
        <w:rPr>
          <w:rFonts w:ascii="arial" w:hAnsi="arial"/>
          <w:sz w:val="22"/>
        </w:rPr>
        <w:t xml:space="preserve">Equally important, we view our compensation policies and practices as a means of communicating our goals and standards of conduct and performance and for motivating and rewarding employees in relation to their achievements. Overall, the same principles that govern the compensation of our executive officers also generally apply to the compensation of our salaried employees. Within this framework, we seek to observe the following principles, while balancing them with the corresponding need to respond quickly to any unexpected or challenging circumstances: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Retain and attract top-caliber executive officers</w:t>
            </w:r>
            <w:r>
              <w:rPr>
                <w:rFonts w:ascii="arial" w:hAnsi="arial"/>
                <w:sz w:val="22"/>
              </w:rPr>
              <w:t xml:space="preserve">. Executive officers should have base salaries and employee benefits that are market competitive and that permit us to hire and retain high-caliber individuals at all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Pay for performance</w:t>
            </w:r>
            <w:r>
              <w:rPr>
                <w:rFonts w:ascii="arial" w:hAnsi="arial"/>
                <w:sz w:val="22"/>
              </w:rPr>
              <w:t xml:space="preserve">. A significant portion of the target total direct compensation opportunities of our executive officers should be tied to annual and long-term business performance and each individual’s contribution to that performance, while the level of “at-risk” compensation should increase as the scope of the executive officer’s responsibility increases.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Reward long-term growth and profitability</w:t>
            </w:r>
            <w:r>
              <w:rPr>
                <w:rFonts w:ascii="arial" w:hAnsi="arial"/>
                <w:sz w:val="22"/>
              </w:rPr>
              <w:t xml:space="preserve">. Executive officers should be rewarded for achieving long-term results, and these rewards should be aligned with the interests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Align compensation with stockholder interests</w:t>
            </w:r>
            <w:r>
              <w:rPr>
                <w:rFonts w:ascii="arial" w:hAnsi="arial"/>
                <w:sz w:val="22"/>
              </w:rPr>
              <w:t xml:space="preserve">. The interests of our executive officers should be linked with those of our stockholders through the risks and rewards of the ownership of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Provide limited personal benefits</w:t>
            </w:r>
            <w:r>
              <w:rPr>
                <w:rFonts w:ascii="arial" w:hAnsi="arial"/>
                <w:sz w:val="22"/>
              </w:rPr>
              <w:t xml:space="preserve">. Perquisites and other personal benefits for our executive officers should be limited to items that serve a reasonable business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Promote transparency</w:t>
            </w:r>
            <w:r>
              <w:rPr>
                <w:rFonts w:ascii="arial" w:hAnsi="arial"/>
                <w:sz w:val="22"/>
              </w:rPr>
              <w:t xml:space="preserve">. We seek to establish an efficient, simple, and transparent process for executives in designing our compensation arrangements, setting performance objectives for annual and long-term incentive compensation opportunities, and making compensation decisions. </w:t>
            </w:r>
          </w:p>
        </w:tc>
      </w:tr>
    </w:tbl>
    <w:p>
      <w:pPr>
        <w:pStyle w:val="TextBody"/>
        <w:bidi w:val="0"/>
        <w:spacing w:before="240" w:after="0"/>
        <w:jc w:val="left"/>
        <w:rPr>
          <w:rFonts w:ascii="arial" w:hAnsi="arial"/>
          <w:sz w:val="22"/>
        </w:rPr>
      </w:pPr>
      <w:r>
        <w:rPr>
          <w:rFonts w:ascii="arial" w:hAnsi="arial"/>
          <w:sz w:val="22"/>
        </w:rPr>
        <w:t xml:space="preserve">We believe that our compensation philosophy, as reinforced by these principles, is effective in helping to align our executive compensation program with the creation of sustainable long-term stockholder value.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49" w:name="tx888712_47"/>
      <w:bookmarkEnd w:id="49"/>
      <w:r>
        <w:rPr>
          <w:rFonts w:ascii="arial" w:hAnsi="arial"/>
          <w:b/>
          <w:color w:val="CF0A2C"/>
          <w:sz w:val="28"/>
        </w:rPr>
        <w:t xml:space="preserve">2024 Total Direct Compensation Mix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We believe our executive compensation program is designed to reward strong performance. The program seeks to focus a significant portion of each executive officer’s target total direct compensation opportunity on annual and long-term incentives that depend upon our performance. In order to closely link his or her interests to those of our stockholders, each executive officer has been granted a significant stake in Sabre in the form of an equity award. These equity awards also seek to focus the executives’ efforts on the successful execution of our long-term strategic and financial objectives. Information regarding Mr. Ekert’s target total direct compensation mix for 2024 is set forth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2348230" cy="14732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2348230" cy="1473200"/>
                    </a:xfrm>
                    <a:prstGeom prst="rect">
                      <a:avLst/>
                    </a:prstGeom>
                  </pic:spPr>
                </pic:pic>
              </a:graphicData>
            </a:graphic>
          </wp:inline>
        </w:drawing>
      </w:r>
      <w:r>
        <w:rPr/>
        <w:t xml:space="preserve"> </w:t>
      </w:r>
    </w:p>
    <w:p>
      <w:pPr>
        <w:pStyle w:val="TextBody"/>
        <w:bidi w:val="0"/>
        <w:spacing w:before="240" w:after="0"/>
        <w:jc w:val="left"/>
        <w:rPr>
          <w:rFonts w:ascii="arial" w:hAnsi="arial"/>
          <w:sz w:val="22"/>
        </w:rPr>
      </w:pPr>
      <w:r>
        <w:rPr>
          <w:rFonts w:ascii="arial" w:hAnsi="arial"/>
          <w:sz w:val="22"/>
        </w:rPr>
        <w:t xml:space="preserve">In addition, the Compensation Committee believes that Mr. Ekert’s target incentive compensation for 2024 was comprised of an appropriate mix of long-term elements (PSU and RSU awards) and short-term elements (an annual cash incentive target), consistent with our emphasis on pay-for-performance: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2298700" cy="164084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2298700" cy="1640840"/>
                    </a:xfrm>
                    <a:prstGeom prst="rect">
                      <a:avLst/>
                    </a:prstGeom>
                  </pic:spPr>
                </pic:pic>
              </a:graphicData>
            </a:graphic>
          </wp:inline>
        </w:drawing>
      </w:r>
      <w:r>
        <w:rPr/>
        <w:t xml:space="preserve"> </w:t>
      </w:r>
    </w:p>
    <w:p>
      <w:pPr>
        <w:pStyle w:val="TextBody"/>
        <w:bidi w:val="0"/>
        <w:spacing w:before="360" w:after="0"/>
        <w:jc w:val="left"/>
        <w:rPr>
          <w:rFonts w:ascii="arial" w:hAnsi="arial"/>
          <w:b/>
          <w:color w:val="CF0A2C"/>
          <w:sz w:val="28"/>
        </w:rPr>
      </w:pPr>
      <w:bookmarkStart w:id="50" w:name="tx888712_48"/>
      <w:bookmarkEnd w:id="50"/>
      <w:r>
        <w:rPr>
          <w:rFonts w:ascii="arial" w:hAnsi="arial"/>
          <w:b/>
          <w:color w:val="CF0A2C"/>
          <w:sz w:val="28"/>
        </w:rPr>
        <w:t xml:space="preserve">Compensation-Setting Process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i/>
          <w:sz w:val="22"/>
        </w:rPr>
      </w:pPr>
      <w:r>
        <w:rPr>
          <w:rFonts w:ascii="arial" w:hAnsi="arial"/>
          <w:i/>
          <w:sz w:val="22"/>
        </w:rPr>
        <w:t xml:space="preserve">Role of the Compensation Committee </w:t>
      </w:r>
    </w:p>
    <w:p>
      <w:pPr>
        <w:pStyle w:val="TextBody"/>
        <w:bidi w:val="0"/>
        <w:spacing w:before="120" w:after="0"/>
        <w:jc w:val="left"/>
        <w:rPr>
          <w:rFonts w:ascii="arial" w:hAnsi="arial"/>
          <w:sz w:val="22"/>
        </w:rPr>
      </w:pPr>
      <w:r>
        <w:rPr>
          <w:rFonts w:ascii="arial" w:hAnsi="arial"/>
          <w:sz w:val="22"/>
        </w:rPr>
        <w:t xml:space="preserve">The Compensation Committee is responsible for overseeing our executive compensation program (including our executive compensation policies and practices), approving the compensation of our executive officers (including our named executive officers), and administering our various employee stock plans. </w:t>
      </w:r>
    </w:p>
    <w:p>
      <w:pPr>
        <w:pStyle w:val="TextBody"/>
        <w:bidi w:val="0"/>
        <w:spacing w:before="240" w:after="0"/>
        <w:jc w:val="left"/>
        <w:rPr>
          <w:rFonts w:ascii="arial" w:hAnsi="arial"/>
          <w:sz w:val="22"/>
        </w:rPr>
      </w:pPr>
      <w:r>
        <w:rPr>
          <w:rFonts w:ascii="arial" w:hAnsi="arial"/>
          <w:sz w:val="22"/>
        </w:rPr>
        <w:t xml:space="preserve">Pursuant to its charter, the Compensation Committee is responsible for reviewing and determining the compensation of our CEO at least annually. In reviewing our CEO’s compensation each year and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considering any potential adjustments, the Compensation Committee exercises its business judgment after taking into consideration several factors, including our financial results, individual performance, and strategic leadership, its understanding of competitive market data and practices, and current total compensation and pay history. </w:t>
      </w:r>
    </w:p>
    <w:p>
      <w:pPr>
        <w:pStyle w:val="TextBody"/>
        <w:bidi w:val="0"/>
        <w:spacing w:before="240" w:after="0"/>
        <w:jc w:val="left"/>
        <w:rPr>
          <w:rFonts w:ascii="arial" w:hAnsi="arial"/>
          <w:sz w:val="22"/>
        </w:rPr>
      </w:pPr>
      <w:r>
        <w:rPr>
          <w:rFonts w:ascii="arial" w:hAnsi="arial"/>
          <w:sz w:val="22"/>
        </w:rPr>
        <w:t xml:space="preserve">In addition, the Compensation Committee annually reviews and determines the compensation of our other executive officers, including our other named executive officers, and it also approves the terms of any employment offers for our executive officers. In doing so, the Compensation Committee is responsible for helping to ensure that the compensation of our executive officers, including our named executive officers, is consistent with our executive compensation philosophy and objectives. </w:t>
      </w:r>
    </w:p>
    <w:p>
      <w:pPr>
        <w:pStyle w:val="TextBody"/>
        <w:bidi w:val="0"/>
        <w:spacing w:before="360" w:after="0"/>
        <w:jc w:val="left"/>
        <w:rPr>
          <w:rFonts w:ascii="arial" w:hAnsi="arial"/>
          <w:i/>
          <w:sz w:val="22"/>
        </w:rPr>
      </w:pPr>
      <w:r>
        <w:rPr>
          <w:rFonts w:ascii="arial" w:hAnsi="arial"/>
          <w:i/>
          <w:sz w:val="22"/>
        </w:rPr>
        <w:t xml:space="preserve">Role of Executive Officers </w:t>
      </w:r>
    </w:p>
    <w:p>
      <w:pPr>
        <w:pStyle w:val="TextBody"/>
        <w:bidi w:val="0"/>
        <w:spacing w:before="120" w:after="0"/>
        <w:jc w:val="left"/>
        <w:rPr>
          <w:rFonts w:ascii="arial" w:hAnsi="arial"/>
          <w:sz w:val="22"/>
        </w:rPr>
      </w:pPr>
      <w:r>
        <w:rPr>
          <w:rFonts w:ascii="arial" w:hAnsi="arial"/>
          <w:sz w:val="22"/>
        </w:rPr>
        <w:t xml:space="preserve">The Compensation Committee receives support from our People Department in designing our executive compensation program and analyzing competitive market practices. Our CEO and certain other executive officers regularly participate in portions of Compensation Committee meetings, providing management input on organizational structure, executive development, and financial and governance considerations. </w:t>
      </w:r>
    </w:p>
    <w:p>
      <w:pPr>
        <w:pStyle w:val="TextBody"/>
        <w:bidi w:val="0"/>
        <w:spacing w:before="240" w:after="0"/>
        <w:jc w:val="left"/>
        <w:rPr>
          <w:rFonts w:ascii="arial" w:hAnsi="arial"/>
          <w:sz w:val="22"/>
        </w:rPr>
      </w:pPr>
      <w:r>
        <w:rPr>
          <w:rFonts w:ascii="arial" w:hAnsi="arial"/>
          <w:sz w:val="22"/>
        </w:rPr>
        <w:t xml:space="preserve">Our CEO evaluates the performance of each of our other executive officers, including our other named executive officers. After reviewing each executive officer’s target total direct compensation opportunity, our CEO proposes compensation adjustments for each executive officer based on his or her target total direct compensation opportunity and his or her performance, subject to review and approval by the Compensation Committee. Our CEO presents the details of each executive officer’s target total direct compensation opportunity and performance to the Compensation Committee for its consideration and approval. Our CEO does not participate in the evaluation of his own performance. </w:t>
      </w:r>
    </w:p>
    <w:p>
      <w:pPr>
        <w:pStyle w:val="TextBody"/>
        <w:bidi w:val="0"/>
        <w:spacing w:before="240" w:after="0"/>
        <w:jc w:val="left"/>
        <w:rPr>
          <w:rFonts w:ascii="arial" w:hAnsi="arial"/>
          <w:sz w:val="22"/>
        </w:rPr>
      </w:pPr>
      <w:r>
        <w:rPr>
          <w:rFonts w:ascii="arial" w:hAnsi="arial"/>
          <w:sz w:val="22"/>
        </w:rPr>
        <w:t xml:space="preserve">In making executive compensation decisions, the Compensation Committee reviews a variety of information for each executive officer, including current total compensation and pay history, equity holdings, individual performance, and competitive market data and practices for comparable positions. Neither our CEO nor our other named executive officers are present when their specific compensation arrangements are reviewed by the Compensation Committee. </w:t>
      </w:r>
    </w:p>
    <w:p>
      <w:pPr>
        <w:pStyle w:val="TextBody"/>
        <w:bidi w:val="0"/>
        <w:spacing w:before="360" w:after="0"/>
        <w:jc w:val="left"/>
        <w:rPr>
          <w:rFonts w:ascii="arial" w:hAnsi="arial"/>
          <w:i/>
          <w:sz w:val="22"/>
        </w:rPr>
      </w:pPr>
      <w:r>
        <w:rPr>
          <w:rFonts w:ascii="arial" w:hAnsi="arial"/>
          <w:i/>
          <w:sz w:val="22"/>
        </w:rPr>
        <w:t xml:space="preserve">Role of Compensation Consultant </w:t>
      </w:r>
    </w:p>
    <w:p>
      <w:pPr>
        <w:pStyle w:val="TextBody"/>
        <w:bidi w:val="0"/>
        <w:spacing w:before="120" w:after="0"/>
        <w:jc w:val="left"/>
        <w:rPr>
          <w:rFonts w:ascii="arial" w:hAnsi="arial"/>
          <w:sz w:val="22"/>
        </w:rPr>
      </w:pPr>
      <w:r>
        <w:rPr>
          <w:rFonts w:ascii="arial" w:hAnsi="arial"/>
          <w:sz w:val="22"/>
        </w:rPr>
        <w:t xml:space="preserve">In fulfilling its duties and responsibilities, the Compensation Committee has the authority to engage the services of outside advisers, including compensation consultants. The Compensation Committee has engaged Korn Ferry as its compensation consultant to assist it with compensation matters. Korn Ferry attends regularly scheduled meetings of the Compensation Committee, responds to inquiries from members of the Compensation Committee, and provides its analysis with respect to these inquiries. </w:t>
      </w:r>
    </w:p>
    <w:p>
      <w:pPr>
        <w:pStyle w:val="TextBody"/>
        <w:bidi w:val="0"/>
        <w:spacing w:before="240" w:after="0"/>
        <w:jc w:val="left"/>
        <w:rPr>
          <w:rFonts w:ascii="arial" w:hAnsi="arial"/>
          <w:sz w:val="22"/>
        </w:rPr>
      </w:pPr>
      <w:r>
        <w:rPr>
          <w:rFonts w:ascii="arial" w:hAnsi="arial"/>
          <w:sz w:val="22"/>
        </w:rPr>
        <w:t xml:space="preserve">The nature and scope of services provided to the Compensation Committee by Korn Ferry in 2024 included the following: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125"/>
        <w:gridCol w:w="60"/>
        <w:gridCol w:w="81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arial" w:hAnsi="arial"/>
                <w:sz w:val="22"/>
              </w:rPr>
            </w:pPr>
            <w:r>
              <w:rPr>
                <w:rFonts w:ascii="arial" w:hAnsi="arial"/>
                <w:sz w:val="22"/>
              </w:rPr>
              <w:t xml:space="preserve">Provided input and guidance on the design of our executive compensation program.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125"/>
        <w:gridCol w:w="60"/>
        <w:gridCol w:w="54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arial" w:hAnsi="arial"/>
                <w:sz w:val="22"/>
              </w:rPr>
            </w:pPr>
            <w:r>
              <w:rPr>
                <w:rFonts w:ascii="arial" w:hAnsi="arial"/>
                <w:sz w:val="22"/>
              </w:rPr>
              <w:t xml:space="preserve">Assisted in the review of our compensation peer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Analyzed the executive compensation levels and practices of the companies in our compensation peer group.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Provided advice with respect to compensation best practices and market trends for our executive officers, including our CEO, promotions, and new hires.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125"/>
        <w:gridCol w:w="60"/>
        <w:gridCol w:w="82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arial" w:hAnsi="arial"/>
                <w:sz w:val="22"/>
              </w:rPr>
            </w:pPr>
            <w:r>
              <w:rPr>
                <w:rFonts w:ascii="arial" w:hAnsi="arial"/>
                <w:sz w:val="22"/>
              </w:rPr>
              <w:t xml:space="preserve">Assessed our executive compensation risk profile and reported on this assessment.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125"/>
        <w:gridCol w:w="60"/>
        <w:gridCol w:w="86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arial" w:hAnsi="arial"/>
                <w:sz w:val="22"/>
              </w:rPr>
            </w:pPr>
            <w:r>
              <w:rPr>
                <w:rFonts w:ascii="arial" w:hAnsi="arial"/>
                <w:sz w:val="22"/>
              </w:rPr>
              <w:t xml:space="preserve">Analyzed various design alternatives for the long-term incentive compensation program.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125"/>
        <w:gridCol w:w="60"/>
        <w:gridCol w:w="63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0"/>
              <w:jc w:val="left"/>
              <w:rPr>
                <w:rFonts w:ascii="arial" w:hAnsi="arial"/>
                <w:sz w:val="22"/>
              </w:rPr>
            </w:pPr>
            <w:r>
              <w:rPr>
                <w:rFonts w:ascii="arial" w:hAnsi="arial"/>
                <w:sz w:val="22"/>
              </w:rPr>
              <w:t xml:space="preserve">Provided ad hoc advice and support throughout the engagement. </w:t>
            </w:r>
          </w:p>
        </w:tc>
      </w:tr>
    </w:tbl>
    <w:p>
      <w:pPr>
        <w:pStyle w:val="TextBody"/>
        <w:bidi w:val="0"/>
        <w:spacing w:before="360" w:after="0"/>
        <w:jc w:val="left"/>
        <w:rPr>
          <w:rFonts w:ascii="arial" w:hAnsi="arial"/>
          <w:i/>
          <w:sz w:val="22"/>
        </w:rPr>
      </w:pPr>
      <w:r>
        <w:rPr>
          <w:rFonts w:ascii="arial" w:hAnsi="arial"/>
          <w:i/>
          <w:sz w:val="22"/>
        </w:rPr>
        <w:t xml:space="preserve">Competitive Positioning </w:t>
      </w:r>
    </w:p>
    <w:p>
      <w:pPr>
        <w:pStyle w:val="TextBody"/>
        <w:bidi w:val="0"/>
        <w:spacing w:before="120" w:after="0"/>
        <w:jc w:val="left"/>
        <w:rPr>
          <w:rFonts w:ascii="arial" w:hAnsi="arial"/>
          <w:sz w:val="22"/>
        </w:rPr>
      </w:pPr>
      <w:r>
        <w:rPr>
          <w:rFonts w:ascii="arial" w:hAnsi="arial"/>
          <w:sz w:val="22"/>
        </w:rPr>
        <w:t xml:space="preserve">At least annually, the Compensation Committee reviews competitive market data for comparable executive positions in the market as one factor for determining the structure of our executive compensation program and establishing target compensation levels for our executive officers, including our named executive officers. </w:t>
      </w:r>
    </w:p>
    <w:p>
      <w:pPr>
        <w:pStyle w:val="TextBody"/>
        <w:bidi w:val="0"/>
        <w:spacing w:before="240" w:after="0"/>
        <w:jc w:val="left"/>
        <w:rPr>
          <w:rFonts w:ascii="arial" w:hAnsi="arial"/>
          <w:sz w:val="22"/>
        </w:rPr>
      </w:pPr>
      <w:r>
        <w:rPr>
          <w:rFonts w:ascii="arial" w:hAnsi="arial"/>
          <w:sz w:val="22"/>
        </w:rPr>
        <w:t xml:space="preserve">In December 2023, the Compensation Committee, with the assistance of Korn Ferry, updated the compensation peer group to be used as a reference for purposes of its deliberations on our 2024 executive compensation program. As part of this review, the Compensation Committee noted that it had approved substantial changes to the peer group from December 2022 following a detailed review of the economic landscape for the travel and technology industries. As part of this review, the Compensation Committee, with the assistance of Korn Ferry, reviewed the peer group members for continued fit, as well as travel and technology companies with similar revenues to Sabre. Based on this review, the Compensation Committee added Global Business Travel Group, Inc., resulting in a compensation peer group for 2024 consisting of the following companies: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3455"/>
        <w:gridCol w:w="120"/>
        <w:gridCol w:w="3395"/>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Bread Financial Holdings,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NCR Corporation</w:t>
            </w:r>
          </w:p>
        </w:tc>
      </w:tr>
      <w:tr>
        <w:trPr/>
        <w:tc>
          <w:tcPr>
            <w:tcW w:w="3455" w:type="dxa"/>
            <w:tcBorders/>
            <w:vAlign w:val="center"/>
          </w:tcPr>
          <w:p>
            <w:pPr>
              <w:pStyle w:val="TableContents"/>
              <w:bidi w:val="0"/>
              <w:spacing w:before="0" w:after="283"/>
              <w:jc w:val="left"/>
              <w:rPr/>
            </w:pPr>
            <w:r>
              <w:rPr/>
              <w:t>Broadridge Financial Solutions,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Open Text Corporation</w:t>
            </w:r>
          </w:p>
        </w:tc>
      </w:tr>
      <w:tr>
        <w:trPr/>
        <w:tc>
          <w:tcPr>
            <w:tcW w:w="3455" w:type="dxa"/>
            <w:tcBorders/>
            <w:vAlign w:val="center"/>
          </w:tcPr>
          <w:p>
            <w:pPr>
              <w:pStyle w:val="TableContents"/>
              <w:bidi w:val="0"/>
              <w:spacing w:before="0" w:after="283"/>
              <w:jc w:val="left"/>
              <w:rPr/>
            </w:pPr>
            <w:r>
              <w:rPr/>
              <w:t>CSG Systems International,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SS&amp;C Technologies Holdings, Inc.</w:t>
            </w:r>
          </w:p>
        </w:tc>
      </w:tr>
      <w:tr>
        <w:trPr/>
        <w:tc>
          <w:tcPr>
            <w:tcW w:w="3455" w:type="dxa"/>
            <w:tcBorders/>
            <w:vAlign w:val="center"/>
          </w:tcPr>
          <w:p>
            <w:pPr>
              <w:pStyle w:val="TableContents"/>
              <w:bidi w:val="0"/>
              <w:spacing w:before="0" w:after="283"/>
              <w:jc w:val="left"/>
              <w:rPr/>
            </w:pPr>
            <w:r>
              <w:rPr/>
              <w:t>Euronet Worldwide,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TTEC Holdings, Inc.</w:t>
            </w:r>
          </w:p>
        </w:tc>
      </w:tr>
      <w:tr>
        <w:trPr/>
        <w:tc>
          <w:tcPr>
            <w:tcW w:w="3455" w:type="dxa"/>
            <w:tcBorders/>
            <w:vAlign w:val="center"/>
          </w:tcPr>
          <w:p>
            <w:pPr>
              <w:pStyle w:val="TableContents"/>
              <w:bidi w:val="0"/>
              <w:spacing w:before="0" w:after="283"/>
              <w:jc w:val="left"/>
              <w:rPr/>
            </w:pPr>
            <w:r>
              <w:rPr/>
              <w:t>FLEETCOR Technologies,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Unisys Corporation</w:t>
            </w:r>
          </w:p>
        </w:tc>
      </w:tr>
      <w:tr>
        <w:trPr/>
        <w:tc>
          <w:tcPr>
            <w:tcW w:w="3455" w:type="dxa"/>
            <w:tcBorders/>
            <w:vAlign w:val="center"/>
          </w:tcPr>
          <w:p>
            <w:pPr>
              <w:pStyle w:val="TableContents"/>
              <w:bidi w:val="0"/>
              <w:spacing w:before="0" w:after="283"/>
              <w:jc w:val="left"/>
              <w:rPr/>
            </w:pPr>
            <w:r>
              <w:rPr/>
              <w:t>Genpact Limited</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Verisk Analytics, Inc.</w:t>
            </w:r>
          </w:p>
        </w:tc>
      </w:tr>
      <w:tr>
        <w:trPr/>
        <w:tc>
          <w:tcPr>
            <w:tcW w:w="3455" w:type="dxa"/>
            <w:tcBorders/>
            <w:vAlign w:val="center"/>
          </w:tcPr>
          <w:p>
            <w:pPr>
              <w:pStyle w:val="TableContents"/>
              <w:bidi w:val="0"/>
              <w:spacing w:before="0" w:after="283"/>
              <w:jc w:val="left"/>
              <w:rPr/>
            </w:pPr>
            <w:r>
              <w:rPr/>
              <w:t>Global Business Travel Group,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WEX Inc.</w:t>
            </w:r>
          </w:p>
        </w:tc>
      </w:tr>
    </w:tbl>
    <w:p>
      <w:pPr>
        <w:pStyle w:val="TextBody"/>
        <w:bidi w:val="0"/>
        <w:spacing w:before="240" w:after="0"/>
        <w:jc w:val="left"/>
        <w:rPr>
          <w:rFonts w:ascii="arial" w:hAnsi="arial"/>
          <w:sz w:val="22"/>
        </w:rPr>
      </w:pPr>
      <w:r>
        <w:rPr>
          <w:rFonts w:ascii="arial" w:hAnsi="arial"/>
          <w:sz w:val="22"/>
        </w:rPr>
        <w:t xml:space="preserve">Competitive comparison data was collected from publicly-available information contained in the SEC filings of the compensation peer group companies, as well as from the Radford Global Technology Survey. </w:t>
      </w:r>
    </w:p>
    <w:p>
      <w:pPr>
        <w:pStyle w:val="TextBody"/>
        <w:bidi w:val="0"/>
        <w:spacing w:before="240" w:after="0"/>
        <w:jc w:val="left"/>
        <w:rPr>
          <w:rFonts w:ascii="arial" w:hAnsi="arial"/>
          <w:sz w:val="22"/>
        </w:rPr>
      </w:pPr>
      <w:r>
        <w:rPr>
          <w:rFonts w:ascii="arial" w:hAnsi="arial"/>
          <w:sz w:val="22"/>
        </w:rPr>
        <w:t xml:space="preserve">The competitive market data described above was not and is not used by the Compensation Committee in isolation but rather serves as one point of reference in its deliberations on executive compensation. The Compensation Committee uses the competitive market data described above as a guide when making decisions about total direct compensation, as well as individual elements of compensation; however, the Compensation Committee does not target a specific marketing position for our executive officers’ compensation. While market competitiveness is important, it is not the only factor the Compensation Committee considers when establishing compensation opportunities of our executive officers. Actual compensation decisions also depend upon the consideration of other factors that the Compensation Committee deems relevant, such as the financial and operational performance of our businesses, individual performance, specific retention concerns, internal equity, and external factors.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58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In December 2024, the Compensation Committee, with the assistance of Korn Ferry, reviewed the compensation peer group to be used as a reference for purposes of its deliberations on our 2025 executive compensation program, with the goal of increasing the focus on software and technology companies. As part of this review, the Compensation Committee considered the existing peer group for continued fit based on revenue size and business focus, as well as companies that identify Sabre as a peer company. Based on this review, the Compensation Committee removed four companies (CGS Systems International, Inc., FLEETCOR Technologies, Inc., Genpact Limited, and Verisk Analytics, Inc.) and added five companies (Akamai Technologies, Inc., Hubspot, Inc., Toast, Inc., Twilio Inc., and Veeva Systems Inc.), resulting in a compensation peer group for 2025 consisting of the following companies: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3455"/>
        <w:gridCol w:w="120"/>
        <w:gridCol w:w="3395"/>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Akamai Technologies,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SS&amp;C Technologies Holdings, Inc.</w:t>
            </w:r>
          </w:p>
        </w:tc>
      </w:tr>
      <w:tr>
        <w:trPr/>
        <w:tc>
          <w:tcPr>
            <w:tcW w:w="3455" w:type="dxa"/>
            <w:tcBorders/>
            <w:vAlign w:val="center"/>
          </w:tcPr>
          <w:p>
            <w:pPr>
              <w:pStyle w:val="TableContents"/>
              <w:bidi w:val="0"/>
              <w:spacing w:before="0" w:after="283"/>
              <w:jc w:val="left"/>
              <w:rPr/>
            </w:pPr>
            <w:r>
              <w:rPr/>
              <w:t>Bread Financial Holdings,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TTEC Holdings, Inc.</w:t>
            </w:r>
          </w:p>
        </w:tc>
      </w:tr>
      <w:tr>
        <w:trPr/>
        <w:tc>
          <w:tcPr>
            <w:tcW w:w="3455" w:type="dxa"/>
            <w:tcBorders/>
            <w:vAlign w:val="center"/>
          </w:tcPr>
          <w:p>
            <w:pPr>
              <w:pStyle w:val="TableContents"/>
              <w:bidi w:val="0"/>
              <w:spacing w:before="0" w:after="283"/>
              <w:jc w:val="left"/>
              <w:rPr/>
            </w:pPr>
            <w:r>
              <w:rPr/>
              <w:t>Broadridge Financial Solutions,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Toast, Inc.</w:t>
            </w:r>
          </w:p>
        </w:tc>
      </w:tr>
      <w:tr>
        <w:trPr/>
        <w:tc>
          <w:tcPr>
            <w:tcW w:w="3455" w:type="dxa"/>
            <w:tcBorders/>
            <w:vAlign w:val="center"/>
          </w:tcPr>
          <w:p>
            <w:pPr>
              <w:pStyle w:val="TableContents"/>
              <w:bidi w:val="0"/>
              <w:spacing w:before="0" w:after="283"/>
              <w:jc w:val="left"/>
              <w:rPr/>
            </w:pPr>
            <w:r>
              <w:rPr/>
              <w:t>Euronet Worldwide,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Twilio Inc.</w:t>
            </w:r>
          </w:p>
        </w:tc>
      </w:tr>
      <w:tr>
        <w:trPr/>
        <w:tc>
          <w:tcPr>
            <w:tcW w:w="3455" w:type="dxa"/>
            <w:tcBorders/>
            <w:vAlign w:val="center"/>
          </w:tcPr>
          <w:p>
            <w:pPr>
              <w:pStyle w:val="TableContents"/>
              <w:bidi w:val="0"/>
              <w:spacing w:before="0" w:after="283"/>
              <w:jc w:val="left"/>
              <w:rPr/>
            </w:pPr>
            <w:r>
              <w:rPr/>
              <w:t>Global Business Travel Group,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Unisys Corporation</w:t>
            </w:r>
          </w:p>
        </w:tc>
      </w:tr>
      <w:tr>
        <w:trPr/>
        <w:tc>
          <w:tcPr>
            <w:tcW w:w="3455" w:type="dxa"/>
            <w:tcBorders/>
            <w:vAlign w:val="center"/>
          </w:tcPr>
          <w:p>
            <w:pPr>
              <w:pStyle w:val="TableContents"/>
              <w:bidi w:val="0"/>
              <w:spacing w:before="0" w:after="283"/>
              <w:jc w:val="left"/>
              <w:rPr/>
            </w:pPr>
            <w:r>
              <w:rPr/>
              <w:t>Hubspot, Inc.</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Veeva Systems Inc.</w:t>
            </w:r>
          </w:p>
        </w:tc>
      </w:tr>
      <w:tr>
        <w:trPr/>
        <w:tc>
          <w:tcPr>
            <w:tcW w:w="3455" w:type="dxa"/>
            <w:tcBorders/>
            <w:vAlign w:val="center"/>
          </w:tcPr>
          <w:p>
            <w:pPr>
              <w:pStyle w:val="TableContents"/>
              <w:bidi w:val="0"/>
              <w:spacing w:before="0" w:after="283"/>
              <w:jc w:val="left"/>
              <w:rPr/>
            </w:pPr>
            <w:r>
              <w:rPr/>
              <w:t>NCR Voyix Corporation</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WEX Inc.</w:t>
            </w:r>
          </w:p>
        </w:tc>
      </w:tr>
      <w:tr>
        <w:trPr/>
        <w:tc>
          <w:tcPr>
            <w:tcW w:w="3455" w:type="dxa"/>
            <w:tcBorders/>
            <w:vAlign w:val="center"/>
          </w:tcPr>
          <w:p>
            <w:pPr>
              <w:pStyle w:val="TableContents"/>
              <w:bidi w:val="0"/>
              <w:spacing w:before="0" w:after="283"/>
              <w:jc w:val="left"/>
              <w:rPr/>
            </w:pPr>
            <w:r>
              <w:rPr/>
              <w:t>Open Text Corporation</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2"/>
        </w:rPr>
      </w:pPr>
      <w:r>
        <w:rPr>
          <w:rFonts w:ascii="arial" w:hAnsi="arial"/>
          <w:sz w:val="22"/>
        </w:rPr>
        <w:t xml:space="preserve">The Compensation Committee, with the assistance of its compensation consultant, reviews the compensation peer group annually. </w:t>
      </w:r>
    </w:p>
    <w:p>
      <w:pPr>
        <w:pStyle w:val="TextBody"/>
        <w:bidi w:val="0"/>
        <w:spacing w:before="360" w:after="0"/>
        <w:jc w:val="left"/>
        <w:rPr>
          <w:rFonts w:ascii="arial" w:hAnsi="arial"/>
          <w:i/>
          <w:sz w:val="22"/>
        </w:rPr>
      </w:pPr>
      <w:r>
        <w:rPr>
          <w:rFonts w:ascii="arial" w:hAnsi="arial"/>
          <w:i/>
          <w:sz w:val="22"/>
        </w:rPr>
        <w:t xml:space="preserve">Compensation-Related Risk Assessment </w:t>
      </w:r>
    </w:p>
    <w:p>
      <w:pPr>
        <w:pStyle w:val="TextBody"/>
        <w:bidi w:val="0"/>
        <w:spacing w:before="120" w:after="0"/>
        <w:jc w:val="left"/>
        <w:rPr>
          <w:rFonts w:ascii="arial" w:hAnsi="arial"/>
          <w:sz w:val="22"/>
        </w:rPr>
      </w:pPr>
      <w:r>
        <w:rPr>
          <w:rFonts w:ascii="arial" w:hAnsi="arial"/>
          <w:sz w:val="22"/>
        </w:rPr>
        <w:t xml:space="preserve">The Compensation Committee considers potential risks when reviewing and approving the various elements of our executive compensation program and assesses each element to help ensure that it does not encourage our executive officers to take excessive or unnecessary risks or to engage in decision-making that promotes short-term results at the expense of our long-term interests. In addition, we have designed our executive compensation program, including our incentive compensation plans, with specific features to address potential risks while rewarding our executive officers for achieving financial and strategic objectives through prudent business judgment and appropriate risk taking. Further, the following policies and practices have been incorporated into our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Balanced Mix of Compensation Components</w:t>
            </w:r>
            <w:r>
              <w:rPr>
                <w:rFonts w:ascii="arial" w:hAnsi="arial"/>
                <w:sz w:val="22"/>
              </w:rPr>
              <w:t xml:space="preserve">. The target compensation mix for our executive officers is composed of base salary, annual cash incentive compensation, and long-term incentive compensation in the form of equity and cash awards, including performance-based awards, which provides a compensation mix that is not overly weighted toward short-term cash incentives.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Minimum Performance Measure Thresholds</w:t>
            </w:r>
            <w:r>
              <w:rPr>
                <w:rFonts w:ascii="arial" w:hAnsi="arial"/>
                <w:sz w:val="22"/>
              </w:rPr>
              <w:t xml:space="preserve">. Our annual cash incentive compensation plan, which encourages focus on the achievement of corporate performance objectives for our overall benefit, does not pay out unless pre-established target levels for one or more financial measures are met.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Long-Term Incentive Compensation Vesting</w:t>
            </w:r>
            <w:r>
              <w:rPr>
                <w:rFonts w:ascii="arial" w:hAnsi="arial"/>
                <w:sz w:val="22"/>
              </w:rPr>
              <w:t xml:space="preserve">. Our long-term equity-based incentives include multi-year vesting requirements. These long-term incentive programs complement our annual cash incentive compensation plan and include awards that are earned and pay out upon meeting specific performance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Capped Annual Cash Incentive and PSU Awards</w:t>
            </w:r>
            <w:r>
              <w:rPr>
                <w:rFonts w:ascii="arial" w:hAnsi="arial"/>
                <w:sz w:val="22"/>
              </w:rPr>
              <w:t xml:space="preserve">. Awards in 2024 under the annual cash incentive compensation plan and grants of PSU awards were each capped at 200% of the target award level.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59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51" w:name="tx888712_49"/>
      <w:bookmarkEnd w:id="51"/>
      <w:r>
        <w:rPr>
          <w:rFonts w:ascii="arial" w:hAnsi="arial"/>
          <w:b/>
          <w:color w:val="CF0A2C"/>
          <w:sz w:val="28"/>
        </w:rPr>
        <w:t xml:space="preserve">Compensation Elements of 2024 Total Direct Compensation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Our executive compensation program is designed around the concept of total direct compensation. The performance-based portion of total direct compensation generally increases as an executive officer’s level of responsibilities increases. The table below provides information on the principal elements of total direct compensation in 2024 and is intended to illustrate our overall objectives relative to our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59"/>
        <w:gridCol w:w="60"/>
        <w:gridCol w:w="1580"/>
        <w:gridCol w:w="60"/>
        <w:gridCol w:w="6746"/>
      </w:tblGrid>
      <w:tr>
        <w:trPr/>
        <w:tc>
          <w:tcPr>
            <w:tcW w:w="17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46" w:type="dxa"/>
            <w:tcBorders/>
            <w:vAlign w:val="center"/>
          </w:tcPr>
          <w:p>
            <w:pPr>
              <w:pStyle w:val="TableContents"/>
              <w:bidi w:val="0"/>
              <w:spacing w:before="0" w:after="283"/>
              <w:jc w:val="left"/>
              <w:rPr>
                <w:sz w:val="4"/>
                <w:szCs w:val="4"/>
              </w:rPr>
            </w:pPr>
            <w:r>
              <w:rPr>
                <w:sz w:val="4"/>
                <w:szCs w:val="4"/>
              </w:rPr>
            </w:r>
          </w:p>
        </w:tc>
      </w:tr>
      <w:tr>
        <w:trPr/>
        <w:tc>
          <w:tcPr>
            <w:tcW w:w="1759" w:type="dxa"/>
            <w:tcBorders>
              <w:top w:val="single" w:sz="6" w:space="0" w:color="000000"/>
              <w:left w:val="single" w:sz="6" w:space="0" w:color="000000"/>
              <w:right w:val="single" w:sz="6" w:space="0" w:color="000000"/>
            </w:tcBorders>
            <w:shd w:fill="CCCCCC" w:val="clear"/>
            <w:tcMar>
              <w:top w:w="28" w:type="dxa"/>
              <w:left w:w="160" w:type="dxa"/>
              <w:right w:w="28" w:type="dxa"/>
            </w:tcMar>
            <w:vAlign w:val="center"/>
          </w:tcPr>
          <w:p>
            <w:pPr>
              <w:pStyle w:val="TableContents"/>
              <w:bidi w:val="0"/>
              <w:spacing w:before="0" w:after="283"/>
              <w:jc w:val="left"/>
              <w:rPr/>
            </w:pPr>
            <w:r>
              <w:rPr/>
              <w:t> </w:t>
            </w:r>
          </w:p>
        </w:tc>
        <w:tc>
          <w:tcPr>
            <w:tcW w:w="1640" w:type="dxa"/>
            <w:gridSpan w:val="2"/>
            <w:tcBorders>
              <w:top w:val="single" w:sz="6" w:space="0" w:color="000000"/>
              <w:right w:val="single" w:sz="6" w:space="0" w:color="000000"/>
            </w:tcBorders>
            <w:shd w:fill="E5E5E5" w:val="clear"/>
            <w:tcMar>
              <w:top w:w="28" w:type="dxa"/>
              <w:right w:w="28" w:type="dxa"/>
            </w:tcMar>
            <w:vAlign w:val="center"/>
          </w:tcPr>
          <w:p>
            <w:pPr>
              <w:pStyle w:val="TableContents"/>
              <w:bidi w:val="0"/>
              <w:spacing w:before="0" w:after="283"/>
              <w:jc w:val="left"/>
              <w:rPr/>
            </w:pPr>
            <w:r>
              <w:rPr/>
              <w:t> </w:t>
            </w:r>
          </w:p>
        </w:tc>
        <w:tc>
          <w:tcPr>
            <w:tcW w:w="6806"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1759" w:type="dxa"/>
            <w:vMerge w:val="restart"/>
            <w:tcBorders>
              <w:left w:val="single" w:sz="6" w:space="0" w:color="000000"/>
              <w:bottom w:val="single" w:sz="6" w:space="0" w:color="000000"/>
              <w:right w:val="single" w:sz="6" w:space="0" w:color="000000"/>
            </w:tcBorders>
            <w:shd w:fill="CCCCCC" w:val="clear"/>
            <w:tcMar>
              <w:left w:w="160" w:type="dxa"/>
              <w:bottom w:w="28" w:type="dxa"/>
              <w:right w:w="28" w:type="dxa"/>
            </w:tcMar>
            <w:vAlign w:val="center"/>
          </w:tcPr>
          <w:p>
            <w:pPr>
              <w:pStyle w:val="TableContents"/>
              <w:bidi w:val="0"/>
              <w:spacing w:before="0" w:after="0"/>
              <w:jc w:val="center"/>
              <w:rPr>
                <w:rFonts w:ascii="arial" w:hAnsi="arial"/>
                <w:b/>
                <w:sz w:val="20"/>
              </w:rPr>
            </w:pPr>
            <w:r>
              <w:rPr>
                <w:rFonts w:ascii="arial" w:hAnsi="arial"/>
                <w:b/>
                <w:sz w:val="20"/>
              </w:rPr>
              <w:t>Annual cash  compensation </w:t>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E5E5E5"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Annual incentive</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2"/>
              </w:rPr>
            </w:pPr>
            <w:r>
              <w:rPr>
                <w:rFonts w:ascii="arial" w:hAnsi="arial"/>
                <w:sz w:val="22"/>
              </w:rPr>
              <w:t>Supports and encourages the achievement of specific annual financial goals</w:t>
            </w:r>
          </w:p>
          <w:p>
            <w:pPr>
              <w:pStyle w:val="TableContents"/>
              <w:bidi w:val="0"/>
              <w:spacing w:before="0" w:after="20"/>
              <w:jc w:val="left"/>
              <w:rPr/>
            </w:pPr>
            <w:r>
              <w:rPr/>
              <w:t> </w:t>
            </w:r>
          </w:p>
        </w:tc>
      </w:tr>
      <w:tr>
        <w:trPr/>
        <w:tc>
          <w:tcPr>
            <w:tcW w:w="1759" w:type="dxa"/>
            <w:vMerge w:val="continue"/>
            <w:tcBorders>
              <w:left w:val="single" w:sz="6" w:space="0" w:color="000000"/>
              <w:bottom w:val="single" w:sz="6" w:space="0" w:color="000000"/>
              <w:right w:val="single" w:sz="6" w:space="0" w:color="000000"/>
            </w:tcBorders>
            <w:shd w:fill="CCCCCC" w:val="clear"/>
            <w:tcMar>
              <w:left w:w="160" w:type="dxa"/>
              <w:bottom w:w="28" w:type="dxa"/>
              <w:right w:w="28" w:type="dxa"/>
            </w:tcMar>
            <w:vAlign w:val="center"/>
          </w:tcPr>
          <w:p>
            <w:pPr>
              <w:pStyle w:val="Normal"/>
              <w:bidi w:val="0"/>
              <w:jc w:val="left"/>
              <w:rPr/>
            </w:pPr>
            <w:r>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E5E5E5"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Base salary</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2"/>
              </w:rPr>
            </w:pPr>
            <w:r>
              <w:rPr>
                <w:rFonts w:ascii="arial" w:hAnsi="arial"/>
                <w:sz w:val="22"/>
              </w:rPr>
              <w:t>Provides a consistent and fixed amount of annual cash income</w:t>
            </w:r>
          </w:p>
          <w:p>
            <w:pPr>
              <w:pStyle w:val="TableContents"/>
              <w:bidi w:val="0"/>
              <w:spacing w:before="0" w:after="20"/>
              <w:jc w:val="left"/>
              <w:rPr/>
            </w:pPr>
            <w:r>
              <w:rPr/>
              <w:t> </w:t>
            </w:r>
          </w:p>
        </w:tc>
      </w:tr>
      <w:tr>
        <w:trPr/>
        <w:tc>
          <w:tcPr>
            <w:tcW w:w="1759" w:type="dxa"/>
            <w:tcBorders>
              <w:left w:val="single" w:sz="6" w:space="0" w:color="000000"/>
              <w:right w:val="single" w:sz="6" w:space="0" w:color="000000"/>
            </w:tcBorders>
            <w:shd w:fill="CCCCCC" w:val="clear"/>
            <w:tcMar>
              <w:left w:w="160" w:type="dxa"/>
              <w:right w:w="28" w:type="dxa"/>
            </w:tcMar>
            <w:vAlign w:val="center"/>
          </w:tcPr>
          <w:p>
            <w:pPr>
              <w:pStyle w:val="TableContents"/>
              <w:bidi w:val="0"/>
              <w:spacing w:before="0" w:after="283"/>
              <w:jc w:val="left"/>
              <w:rPr/>
            </w:pPr>
            <w:r>
              <w:rPr/>
              <w:t> </w:t>
            </w:r>
          </w:p>
        </w:tc>
        <w:tc>
          <w:tcPr>
            <w:tcW w:w="1640" w:type="dxa"/>
            <w:gridSpan w:val="2"/>
            <w:tcBorders>
              <w:right w:val="single" w:sz="6" w:space="0" w:color="000000"/>
            </w:tcBorders>
            <w:shd w:fill="E5E5E5" w:val="clear"/>
            <w:tcMar>
              <w:right w:w="28" w:type="dxa"/>
            </w:tcMar>
            <w:vAlign w:val="center"/>
          </w:tcPr>
          <w:p>
            <w:pPr>
              <w:pStyle w:val="TableContents"/>
              <w:bidi w:val="0"/>
              <w:spacing w:before="0" w:after="283"/>
              <w:jc w:val="left"/>
              <w:rPr/>
            </w:pPr>
            <w:r>
              <w:rPr/>
              <w:t> </w:t>
            </w:r>
          </w:p>
        </w:tc>
        <w:tc>
          <w:tcPr>
            <w:tcW w:w="6806"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1759" w:type="dxa"/>
            <w:vMerge w:val="restart"/>
            <w:tcBorders>
              <w:left w:val="single" w:sz="6" w:space="0" w:color="000000"/>
              <w:bottom w:val="single" w:sz="6" w:space="0" w:color="000000"/>
              <w:right w:val="single" w:sz="6" w:space="0" w:color="000000"/>
            </w:tcBorders>
            <w:shd w:fill="CCCCCC" w:val="clear"/>
            <w:tcMar>
              <w:left w:w="160" w:type="dxa"/>
              <w:bottom w:w="28" w:type="dxa"/>
              <w:right w:w="28" w:type="dxa"/>
            </w:tcMar>
            <w:vAlign w:val="center"/>
          </w:tcPr>
          <w:p>
            <w:pPr>
              <w:pStyle w:val="TableContents"/>
              <w:bidi w:val="0"/>
              <w:spacing w:before="0" w:after="0"/>
              <w:jc w:val="center"/>
              <w:rPr>
                <w:rFonts w:ascii="arial" w:hAnsi="arial"/>
                <w:b/>
                <w:sz w:val="20"/>
              </w:rPr>
            </w:pPr>
            <w:r>
              <w:rPr>
                <w:rFonts w:ascii="arial" w:hAnsi="arial"/>
                <w:b/>
                <w:sz w:val="20"/>
              </w:rPr>
              <w:t>Long-term    </w:t>
            </w:r>
          </w:p>
          <w:p>
            <w:pPr>
              <w:pStyle w:val="TableContents"/>
              <w:bidi w:val="0"/>
              <w:spacing w:before="0" w:after="0"/>
              <w:jc w:val="center"/>
              <w:rPr>
                <w:rFonts w:ascii="arial" w:hAnsi="arial"/>
                <w:b/>
                <w:sz w:val="20"/>
              </w:rPr>
            </w:pPr>
            <w:r>
              <w:rPr>
                <w:rFonts w:ascii="arial" w:hAnsi="arial"/>
                <w:b/>
                <w:sz w:val="20"/>
              </w:rPr>
              <w:t>equity-based </w:t>
            </w:r>
          </w:p>
          <w:p>
            <w:pPr>
              <w:pStyle w:val="TableContents"/>
              <w:bidi w:val="0"/>
              <w:spacing w:before="0" w:after="20"/>
              <w:jc w:val="center"/>
              <w:rPr>
                <w:rFonts w:ascii="arial" w:hAnsi="arial"/>
                <w:b/>
                <w:sz w:val="20"/>
              </w:rPr>
            </w:pPr>
            <w:r>
              <w:rPr>
                <w:rFonts w:ascii="arial" w:hAnsi="arial"/>
                <w:b/>
                <w:sz w:val="20"/>
              </w:rPr>
              <w:t>compensation</w:t>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E5E5E5"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PSU awards</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2"/>
              </w:rPr>
            </w:pPr>
            <w:r>
              <w:rPr>
                <w:rFonts w:ascii="arial" w:hAnsi="arial"/>
                <w:sz w:val="22"/>
              </w:rPr>
              <w:t>Supports achievement of our long-term strategic and financial objectives and creates an incentive to deliver stockholder value</w:t>
            </w:r>
          </w:p>
          <w:p>
            <w:pPr>
              <w:pStyle w:val="TableContents"/>
              <w:bidi w:val="0"/>
              <w:spacing w:before="0" w:after="20"/>
              <w:jc w:val="left"/>
              <w:rPr/>
            </w:pPr>
            <w:r>
              <w:rPr/>
              <w:t> </w:t>
            </w:r>
          </w:p>
        </w:tc>
      </w:tr>
      <w:tr>
        <w:trPr/>
        <w:tc>
          <w:tcPr>
            <w:tcW w:w="1759" w:type="dxa"/>
            <w:vMerge w:val="continue"/>
            <w:tcBorders>
              <w:left w:val="single" w:sz="6" w:space="0" w:color="000000"/>
              <w:bottom w:val="single" w:sz="6" w:space="0" w:color="000000"/>
              <w:right w:val="single" w:sz="6" w:space="0" w:color="000000"/>
            </w:tcBorders>
            <w:shd w:fill="CCCCCC" w:val="clear"/>
            <w:tcMar>
              <w:left w:w="160" w:type="dxa"/>
              <w:bottom w:w="28" w:type="dxa"/>
              <w:right w:w="28" w:type="dxa"/>
            </w:tcMar>
            <w:vAlign w:val="center"/>
          </w:tcPr>
          <w:p>
            <w:pPr>
              <w:pStyle w:val="Normal"/>
              <w:bidi w:val="0"/>
              <w:jc w:val="left"/>
              <w:rPr/>
            </w:pPr>
            <w:r>
              <w:rPr/>
            </w:r>
          </w:p>
        </w:tc>
        <w:tc>
          <w:tcPr>
            <w:tcW w:w="60" w:type="dxa"/>
            <w:tcBorders>
              <w:bottom w:val="single" w:sz="6" w:space="0" w:color="000000"/>
            </w:tcBorders>
            <w:shd w:fill="E5E5E5"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E5E5E5"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RSU awards</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4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w:hAnsi="arial"/>
                <w:sz w:val="22"/>
              </w:rPr>
            </w:pPr>
            <w:r>
              <w:rPr>
                <w:rFonts w:ascii="arial" w:hAnsi="arial"/>
                <w:sz w:val="22"/>
              </w:rPr>
              <w:t>Aligns long-term goals of seeking stock price appreciation and executive retention, creating an incentive to deliver stockholder value and to achieve our long-term strategic and financial objectives</w:t>
            </w:r>
          </w:p>
          <w:p>
            <w:pPr>
              <w:pStyle w:val="TableContents"/>
              <w:bidi w:val="0"/>
              <w:spacing w:before="0" w:after="20"/>
              <w:jc w:val="left"/>
              <w:rPr/>
            </w:pPr>
            <w:r>
              <w:rPr/>
              <w:t> </w:t>
            </w:r>
          </w:p>
        </w:tc>
      </w:tr>
    </w:tbl>
    <w:p>
      <w:pPr>
        <w:pStyle w:val="TextBody"/>
        <w:bidi w:val="0"/>
        <w:spacing w:before="240" w:after="0"/>
        <w:jc w:val="left"/>
        <w:rPr>
          <w:rFonts w:ascii="arial" w:hAnsi="arial"/>
          <w:sz w:val="22"/>
        </w:rPr>
      </w:pPr>
      <w:r>
        <w:rPr>
          <w:rFonts w:ascii="arial" w:hAnsi="arial"/>
          <w:sz w:val="22"/>
        </w:rPr>
        <w:t xml:space="preserve">In setting the appropriate level of total direct compensation, the Compensation Committee seeks to establish each compensation element at a level that is both competitive and attractive for motivating top executive talent, while also keeping the overall compensation levels aligned with stockholder interests and job responsibilities. These compensation elements are structured to motivate our executive officers, including our named executive officers, and to align their financial interests with those of our stockholders. </w:t>
      </w:r>
    </w:p>
    <w:p>
      <w:pPr>
        <w:pStyle w:val="TextBody"/>
        <w:bidi w:val="0"/>
        <w:spacing w:before="360" w:after="0"/>
        <w:jc w:val="left"/>
        <w:rPr>
          <w:rFonts w:ascii="arial" w:hAnsi="arial"/>
          <w:i/>
          <w:sz w:val="22"/>
        </w:rPr>
      </w:pPr>
      <w:r>
        <w:rPr>
          <w:rFonts w:ascii="arial" w:hAnsi="arial"/>
          <w:i/>
          <w:sz w:val="22"/>
        </w:rPr>
        <w:t xml:space="preserve">Base Salary </w:t>
      </w:r>
    </w:p>
    <w:p>
      <w:pPr>
        <w:pStyle w:val="TextBody"/>
        <w:bidi w:val="0"/>
        <w:spacing w:before="120" w:after="0"/>
        <w:jc w:val="left"/>
        <w:rPr>
          <w:rFonts w:ascii="arial" w:hAnsi="arial"/>
          <w:sz w:val="22"/>
        </w:rPr>
      </w:pPr>
      <w:r>
        <w:rPr>
          <w:rFonts w:ascii="arial" w:hAnsi="arial"/>
          <w:sz w:val="22"/>
        </w:rPr>
        <w:t xml:space="preserve">We believe that a competitive base salary is essential in attracting and retaining key executive talent. Historically, the Compensation Committee has reviewed the base salaries of our executive officers, including our named executive officers, on an annual basis or as needed to address changes in job title, a promotion, assumption of additional job responsibilities, or other unique circumstances. </w:t>
      </w:r>
    </w:p>
    <w:p>
      <w:pPr>
        <w:pStyle w:val="TextBody"/>
        <w:bidi w:val="0"/>
        <w:spacing w:before="240" w:after="0"/>
        <w:jc w:val="left"/>
        <w:rPr>
          <w:rFonts w:ascii="arial" w:hAnsi="arial"/>
          <w:sz w:val="22"/>
        </w:rPr>
      </w:pPr>
      <w:r>
        <w:rPr>
          <w:rFonts w:ascii="arial" w:hAnsi="arial"/>
          <w:sz w:val="22"/>
        </w:rPr>
        <w:t xml:space="preserve">In evaluating the base salaries of our executive officers, the Compensation Committee considers several factors, including our financial performance, the officer’s contribution towards meeting our financial objectives, the officer’s qualifications, knowledge, experience, tenure, and scope of responsibilities, the officer’s performance as against individual goals, the officer’s future potential, the recommendations of our CEO (with respect to the other executive officers), competitive market data and practices, our desired compensation position with respect to the competitive market, retention, internal equity, and external factors.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u w:val="single"/>
        </w:rPr>
      </w:pPr>
      <w:r>
        <w:rPr>
          <w:rFonts w:ascii="arial" w:hAnsi="arial"/>
          <w:sz w:val="22"/>
          <w:u w:val="single"/>
        </w:rPr>
        <w:t xml:space="preserve">2024 Base Salary Decisions </w:t>
      </w:r>
    </w:p>
    <w:p>
      <w:pPr>
        <w:pStyle w:val="TextBody"/>
        <w:bidi w:val="0"/>
        <w:spacing w:before="120" w:after="0"/>
        <w:jc w:val="left"/>
        <w:rPr>
          <w:rFonts w:ascii="arial" w:hAnsi="arial"/>
          <w:sz w:val="22"/>
        </w:rPr>
      </w:pPr>
      <w:r>
        <w:rPr>
          <w:rFonts w:ascii="arial" w:hAnsi="arial"/>
          <w:sz w:val="22"/>
        </w:rPr>
        <w:t xml:space="preserve">The Compensation Committee reviewed the base salaries of our executive officers, including our named executive officers, and made the following adjustments to the base salaries then in effect, effective July 1, 2024. </w:t>
      </w:r>
    </w:p>
    <w:p>
      <w:pPr>
        <w:pStyle w:val="TextBody"/>
        <w:bidi w:val="0"/>
        <w:spacing w:before="0" w:after="0"/>
        <w:jc w:val="left"/>
        <w:rPr/>
      </w:pPr>
      <w:r>
        <w:rPr/>
        <w:t> </w:t>
      </w:r>
    </w:p>
    <w:tbl>
      <w:tblPr>
        <w:tblW w:w="5472" w:type="dxa"/>
        <w:jc w:val="left"/>
        <w:tblInd w:w="0" w:type="dxa"/>
        <w:tblLayout w:type="fixed"/>
        <w:tblCellMar>
          <w:top w:w="0" w:type="dxa"/>
          <w:left w:w="0" w:type="dxa"/>
          <w:bottom w:w="0" w:type="dxa"/>
          <w:right w:w="0" w:type="dxa"/>
        </w:tblCellMar>
      </w:tblPr>
      <w:tblGrid>
        <w:gridCol w:w="2180"/>
        <w:gridCol w:w="60"/>
        <w:gridCol w:w="64"/>
        <w:gridCol w:w="64"/>
        <w:gridCol w:w="1110"/>
        <w:gridCol w:w="24"/>
        <w:gridCol w:w="60"/>
        <w:gridCol w:w="192"/>
        <w:gridCol w:w="192"/>
        <w:gridCol w:w="834"/>
        <w:gridCol w:w="692"/>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666666" w:val="clear"/>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2180" w:type="dxa"/>
            <w:tcBorders/>
            <w:shd w:fill="666666"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Named Executive Officer</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62"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Base Salary  </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91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 Increase from Prior</w:t>
              <w:br/>
              <w:t>Base Salary  </w:t>
            </w:r>
          </w:p>
          <w:p>
            <w:pPr>
              <w:pStyle w:val="TableContents"/>
              <w:bidi w:val="0"/>
              <w:spacing w:before="0" w:after="20"/>
              <w:jc w:val="left"/>
              <w:rPr/>
            </w:pPr>
            <w:r>
              <w:rPr/>
              <w:t> </w:t>
            </w:r>
          </w:p>
        </w:tc>
      </w:tr>
      <w:tr>
        <w:trPr/>
        <w:tc>
          <w:tcPr>
            <w:tcW w:w="2180" w:type="dxa"/>
            <w:tcBorders/>
            <w:shd w:fill="E5E5E5" w:val="clear"/>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lineRule="atLeast" w:line="480" w:before="0" w:after="0"/>
              <w:jc w:val="left"/>
              <w:rPr/>
            </w:pPr>
            <w:r>
              <w:rPr/>
              <w:t> </w:t>
            </w:r>
          </w:p>
        </w:tc>
        <w:tc>
          <w:tcPr>
            <w:tcW w:w="1110" w:type="dxa"/>
            <w:tcBorders/>
            <w:shd w:fill="E5E5E5" w:val="clear"/>
            <w:vAlign w:val="center"/>
          </w:tcPr>
          <w:p>
            <w:pPr>
              <w:pStyle w:val="TableContents"/>
              <w:bidi w:val="0"/>
              <w:spacing w:lineRule="atLeast" w:line="480" w:before="0" w:after="0"/>
              <w:jc w:val="right"/>
              <w:rPr/>
            </w:pPr>
            <w:r>
              <w:rPr/>
              <w:t>   </w:t>
            </w:r>
            <w:r>
              <w:rPr>
                <w:rFonts w:ascii="arial" w:hAnsi="arial"/>
                <w:sz w:val="20"/>
              </w:rPr>
              <w:t>$900,000</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lineRule="atLeast" w:line="480" w:before="0" w:after="0"/>
              <w:jc w:val="left"/>
              <w:rPr/>
            </w:pPr>
            <w:r>
              <w:rPr/>
              <w:t> </w:t>
            </w:r>
          </w:p>
        </w:tc>
        <w:tc>
          <w:tcPr>
            <w:tcW w:w="834" w:type="dxa"/>
            <w:tcBorders/>
            <w:shd w:fill="E5E5E5" w:val="clear"/>
            <w:vAlign w:val="center"/>
          </w:tcPr>
          <w:p>
            <w:pPr>
              <w:pStyle w:val="TableContents"/>
              <w:bidi w:val="0"/>
              <w:spacing w:lineRule="atLeast" w:line="480" w:before="0" w:after="0"/>
              <w:jc w:val="right"/>
              <w:rPr/>
            </w:pPr>
            <w:r>
              <w:rPr/>
              <w:t>—</w:t>
            </w:r>
          </w:p>
        </w:tc>
        <w:tc>
          <w:tcPr>
            <w:tcW w:w="692" w:type="dxa"/>
            <w:tcBorders/>
            <w:shd w:fill="E5E5E5" w:val="clear"/>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tLeast" w:line="480" w:before="0" w:after="0"/>
              <w:jc w:val="left"/>
              <w:rPr>
                <w:rFonts w:ascii="arial" w:hAnsi="arial"/>
                <w:sz w:val="20"/>
              </w:rPr>
            </w:pP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480" w:before="0" w:after="0"/>
              <w:jc w:val="left"/>
              <w:rPr/>
            </w:pPr>
            <w:r>
              <w:rPr/>
              <w:t> </w:t>
            </w:r>
          </w:p>
        </w:tc>
        <w:tc>
          <w:tcPr>
            <w:tcW w:w="1110" w:type="dxa"/>
            <w:tcBorders/>
            <w:vAlign w:val="center"/>
          </w:tcPr>
          <w:p>
            <w:pPr>
              <w:pStyle w:val="TableContents"/>
              <w:bidi w:val="0"/>
              <w:spacing w:lineRule="atLeast" w:line="480" w:before="0" w:after="0"/>
              <w:jc w:val="right"/>
              <w:rPr/>
            </w:pPr>
            <w:r>
              <w:rPr/>
              <w:t>   </w:t>
            </w:r>
            <w:r>
              <w:rPr>
                <w:rFonts w:ascii="arial" w:hAnsi="arial"/>
                <w:sz w:val="20"/>
              </w:rPr>
              <w:t>$663,000</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lineRule="atLeast" w:line="480" w:before="0" w:after="0"/>
              <w:jc w:val="left"/>
              <w:rPr/>
            </w:pPr>
            <w:r>
              <w:rPr/>
              <w:t> </w:t>
            </w:r>
          </w:p>
        </w:tc>
        <w:tc>
          <w:tcPr>
            <w:tcW w:w="834" w:type="dxa"/>
            <w:tcBorders/>
            <w:vAlign w:val="center"/>
          </w:tcPr>
          <w:p>
            <w:pPr>
              <w:pStyle w:val="TableContents"/>
              <w:bidi w:val="0"/>
              <w:spacing w:lineRule="atLeast" w:line="480" w:before="0" w:after="0"/>
              <w:jc w:val="right"/>
              <w:rPr>
                <w:rFonts w:ascii="arial" w:hAnsi="arial"/>
                <w:sz w:val="20"/>
              </w:rPr>
            </w:pPr>
            <w:r>
              <w:rPr>
                <w:rFonts w:ascii="arial" w:hAnsi="arial"/>
                <w:sz w:val="20"/>
              </w:rPr>
              <w:t>2</w:t>
            </w:r>
          </w:p>
        </w:tc>
        <w:tc>
          <w:tcPr>
            <w:tcW w:w="692" w:type="dxa"/>
            <w:tcBorders/>
            <w:vAlign w:val="center"/>
          </w:tcPr>
          <w:p>
            <w:pPr>
              <w:pStyle w:val="TableContents"/>
              <w:bidi w:val="0"/>
              <w:spacing w:lineRule="atLeast" w:line="480" w:before="0" w:after="0"/>
              <w:jc w:val="left"/>
              <w:rPr>
                <w:rFonts w:ascii="arial" w:hAnsi="arial"/>
                <w:sz w:val="20"/>
              </w:rPr>
            </w:pPr>
            <w:r>
              <w:rPr>
                <w:rFonts w:ascii="arial" w:hAnsi="arial"/>
                <w:sz w:val="20"/>
              </w:rPr>
              <w:t>%</w:t>
            </w:r>
          </w:p>
        </w:tc>
      </w:tr>
      <w:tr>
        <w:trPr/>
        <w:tc>
          <w:tcPr>
            <w:tcW w:w="2180" w:type="dxa"/>
            <w:tcBorders/>
            <w:shd w:fill="E5E5E5" w:val="clear"/>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Roshan Mendis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lineRule="atLeast" w:line="480" w:before="0" w:after="0"/>
              <w:jc w:val="left"/>
              <w:rPr/>
            </w:pPr>
            <w:r>
              <w:rPr/>
              <w:t> </w:t>
            </w:r>
          </w:p>
        </w:tc>
        <w:tc>
          <w:tcPr>
            <w:tcW w:w="1110" w:type="dxa"/>
            <w:tcBorders/>
            <w:shd w:fill="E5E5E5" w:val="clear"/>
            <w:vAlign w:val="center"/>
          </w:tcPr>
          <w:p>
            <w:pPr>
              <w:pStyle w:val="TableContents"/>
              <w:bidi w:val="0"/>
              <w:spacing w:lineRule="atLeast" w:line="480" w:before="0" w:after="0"/>
              <w:jc w:val="right"/>
              <w:rPr/>
            </w:pPr>
            <w:r>
              <w:rPr/>
              <w:t>   </w:t>
            </w:r>
            <w:r>
              <w:rPr>
                <w:rFonts w:ascii="arial" w:hAnsi="arial"/>
                <w:sz w:val="20"/>
              </w:rPr>
              <w:t>$610,272</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lineRule="atLeast" w:line="480" w:before="0" w:after="0"/>
              <w:jc w:val="left"/>
              <w:rPr/>
            </w:pPr>
            <w:r>
              <w:rPr/>
              <w:t> </w:t>
            </w:r>
          </w:p>
        </w:tc>
        <w:tc>
          <w:tcPr>
            <w:tcW w:w="834" w:type="dxa"/>
            <w:tcBorders/>
            <w:shd w:fill="E5E5E5" w:val="clear"/>
            <w:vAlign w:val="center"/>
          </w:tcPr>
          <w:p>
            <w:pPr>
              <w:pStyle w:val="TableContents"/>
              <w:bidi w:val="0"/>
              <w:spacing w:lineRule="atLeast" w:line="480" w:before="0" w:after="0"/>
              <w:jc w:val="right"/>
              <w:rPr>
                <w:rFonts w:ascii="arial" w:hAnsi="arial"/>
                <w:sz w:val="20"/>
              </w:rPr>
            </w:pPr>
            <w:r>
              <w:rPr>
                <w:rFonts w:ascii="arial" w:hAnsi="arial"/>
                <w:sz w:val="20"/>
              </w:rPr>
              <w:t>2</w:t>
            </w:r>
          </w:p>
        </w:tc>
        <w:tc>
          <w:tcPr>
            <w:tcW w:w="692"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tLeast" w:line="480" w:before="0" w:after="0"/>
              <w:jc w:val="left"/>
              <w:rPr>
                <w:rFonts w:ascii="arial" w:hAnsi="arial"/>
                <w:sz w:val="20"/>
              </w:rPr>
            </w:pPr>
            <w:r>
              <w:rPr>
                <w:rFonts w:ascii="arial" w:hAnsi="arial"/>
                <w:sz w:val="20"/>
              </w:rPr>
              <w:t>Joe DiFonzo</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480" w:before="0" w:after="0"/>
              <w:jc w:val="left"/>
              <w:rPr/>
            </w:pPr>
            <w:r>
              <w:rPr/>
              <w:t> </w:t>
            </w:r>
          </w:p>
        </w:tc>
        <w:tc>
          <w:tcPr>
            <w:tcW w:w="1110" w:type="dxa"/>
            <w:tcBorders/>
            <w:vAlign w:val="center"/>
          </w:tcPr>
          <w:p>
            <w:pPr>
              <w:pStyle w:val="TableContents"/>
              <w:bidi w:val="0"/>
              <w:spacing w:lineRule="atLeast" w:line="480" w:before="0" w:after="0"/>
              <w:jc w:val="right"/>
              <w:rPr/>
            </w:pPr>
            <w:r>
              <w:rPr/>
              <w:t>   </w:t>
            </w:r>
            <w:r>
              <w:rPr>
                <w:rFonts w:ascii="arial" w:hAnsi="arial"/>
                <w:sz w:val="20"/>
              </w:rPr>
              <w:t>$561,000</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lineRule="atLeast" w:line="480" w:before="0" w:after="0"/>
              <w:jc w:val="left"/>
              <w:rPr/>
            </w:pPr>
            <w:r>
              <w:rPr/>
              <w:t> </w:t>
            </w:r>
          </w:p>
        </w:tc>
        <w:tc>
          <w:tcPr>
            <w:tcW w:w="834" w:type="dxa"/>
            <w:tcBorders/>
            <w:vAlign w:val="center"/>
          </w:tcPr>
          <w:p>
            <w:pPr>
              <w:pStyle w:val="TableContents"/>
              <w:bidi w:val="0"/>
              <w:spacing w:lineRule="atLeast" w:line="480" w:before="0" w:after="0"/>
              <w:jc w:val="right"/>
              <w:rPr>
                <w:rFonts w:ascii="arial" w:hAnsi="arial"/>
                <w:sz w:val="20"/>
              </w:rPr>
            </w:pPr>
            <w:r>
              <w:rPr>
                <w:rFonts w:ascii="arial" w:hAnsi="arial"/>
                <w:sz w:val="20"/>
              </w:rPr>
              <w:t>2</w:t>
            </w:r>
          </w:p>
        </w:tc>
        <w:tc>
          <w:tcPr>
            <w:tcW w:w="692" w:type="dxa"/>
            <w:tcBorders/>
            <w:vAlign w:val="center"/>
          </w:tcPr>
          <w:p>
            <w:pPr>
              <w:pStyle w:val="TableContents"/>
              <w:bidi w:val="0"/>
              <w:spacing w:lineRule="atLeast" w:line="480" w:before="0" w:after="0"/>
              <w:jc w:val="left"/>
              <w:rPr>
                <w:rFonts w:ascii="arial" w:hAnsi="arial"/>
                <w:sz w:val="20"/>
              </w:rPr>
            </w:pPr>
            <w:r>
              <w:rPr>
                <w:rFonts w:ascii="arial" w:hAnsi="arial"/>
                <w:sz w:val="20"/>
              </w:rPr>
              <w:t>%</w:t>
            </w:r>
          </w:p>
        </w:tc>
      </w:tr>
      <w:tr>
        <w:trPr/>
        <w:tc>
          <w:tcPr>
            <w:tcW w:w="2180" w:type="dxa"/>
            <w:tcBorders/>
            <w:shd w:fill="E5E5E5" w:val="clear"/>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before="0" w:after="283"/>
              <w:jc w:val="left"/>
              <w:rPr/>
            </w:pPr>
            <w:r>
              <w:rPr/>
              <w:t> </w:t>
            </w:r>
          </w:p>
        </w:tc>
        <w:tc>
          <w:tcPr>
            <w:tcW w:w="64" w:type="dxa"/>
            <w:tcBorders/>
            <w:shd w:fill="E5E5E5" w:val="clear"/>
            <w:vAlign w:val="center"/>
          </w:tcPr>
          <w:p>
            <w:pPr>
              <w:pStyle w:val="TableContents"/>
              <w:bidi w:val="0"/>
              <w:spacing w:lineRule="atLeast" w:line="480" w:before="0" w:after="0"/>
              <w:jc w:val="left"/>
              <w:rPr/>
            </w:pPr>
            <w:r>
              <w:rPr/>
              <w:t> </w:t>
            </w:r>
          </w:p>
        </w:tc>
        <w:tc>
          <w:tcPr>
            <w:tcW w:w="1110" w:type="dxa"/>
            <w:tcBorders/>
            <w:shd w:fill="E5E5E5" w:val="clear"/>
            <w:vAlign w:val="center"/>
          </w:tcPr>
          <w:p>
            <w:pPr>
              <w:pStyle w:val="TableContents"/>
              <w:bidi w:val="0"/>
              <w:spacing w:lineRule="atLeast" w:line="480" w:before="0" w:after="0"/>
              <w:jc w:val="right"/>
              <w:rPr/>
            </w:pPr>
            <w:r>
              <w:rPr/>
              <w:t>   </w:t>
            </w:r>
            <w:r>
              <w:rPr>
                <w:rFonts w:ascii="arial" w:hAnsi="arial"/>
                <w:sz w:val="20"/>
              </w:rPr>
              <w:t>$612,000</w:t>
            </w:r>
          </w:p>
        </w:tc>
        <w:tc>
          <w:tcPr>
            <w:tcW w:w="24"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before="0" w:after="283"/>
              <w:jc w:val="left"/>
              <w:rPr/>
            </w:pPr>
            <w:r>
              <w:rPr/>
              <w:t> </w:t>
            </w:r>
          </w:p>
        </w:tc>
        <w:tc>
          <w:tcPr>
            <w:tcW w:w="192" w:type="dxa"/>
            <w:tcBorders/>
            <w:shd w:fill="E5E5E5" w:val="clear"/>
            <w:vAlign w:val="center"/>
          </w:tcPr>
          <w:p>
            <w:pPr>
              <w:pStyle w:val="TableContents"/>
              <w:bidi w:val="0"/>
              <w:spacing w:lineRule="atLeast" w:line="480" w:before="0" w:after="0"/>
              <w:jc w:val="left"/>
              <w:rPr/>
            </w:pPr>
            <w:r>
              <w:rPr/>
              <w:t> </w:t>
            </w:r>
          </w:p>
        </w:tc>
        <w:tc>
          <w:tcPr>
            <w:tcW w:w="834" w:type="dxa"/>
            <w:tcBorders/>
            <w:shd w:fill="E5E5E5" w:val="clear"/>
            <w:vAlign w:val="center"/>
          </w:tcPr>
          <w:p>
            <w:pPr>
              <w:pStyle w:val="TableContents"/>
              <w:bidi w:val="0"/>
              <w:spacing w:lineRule="atLeast" w:line="480" w:before="0" w:after="0"/>
              <w:jc w:val="right"/>
              <w:rPr>
                <w:rFonts w:ascii="arial" w:hAnsi="arial"/>
                <w:sz w:val="20"/>
              </w:rPr>
            </w:pPr>
            <w:r>
              <w:rPr>
                <w:rFonts w:ascii="arial" w:hAnsi="arial"/>
                <w:sz w:val="20"/>
              </w:rPr>
              <w:t>2</w:t>
            </w:r>
          </w:p>
        </w:tc>
        <w:tc>
          <w:tcPr>
            <w:tcW w:w="692" w:type="dxa"/>
            <w:tcBorders/>
            <w:shd w:fill="E5E5E5" w:val="clear"/>
            <w:vAlign w:val="center"/>
          </w:tcPr>
          <w:p>
            <w:pPr>
              <w:pStyle w:val="TableContents"/>
              <w:bidi w:val="0"/>
              <w:spacing w:lineRule="atLeast" w:line="480" w:before="0" w:after="0"/>
              <w:jc w:val="left"/>
              <w:rPr>
                <w:rFonts w:ascii="arial" w:hAnsi="arial"/>
                <w:sz w:val="20"/>
              </w:rPr>
            </w:pPr>
            <w:r>
              <w:rPr>
                <w:rFonts w:ascii="arial" w:hAnsi="arial"/>
                <w:sz w:val="20"/>
              </w:rPr>
              <w:t>%</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970"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lineRule="atLeast" w:line="480" w:before="0" w:after="0"/>
              <w:jc w:val="left"/>
              <w:rPr>
                <w:rFonts w:ascii="arial" w:hAnsi="arial"/>
                <w:sz w:val="20"/>
              </w:rPr>
            </w:pPr>
            <w:r>
              <w:rPr>
                <w:rFonts w:ascii="arial" w:hAnsi="arial"/>
                <w:sz w:val="20"/>
              </w:rPr>
              <w:t>Ann Bruder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lineRule="atLeast" w:line="480" w:before="0" w:after="0"/>
              <w:jc w:val="left"/>
              <w:rPr/>
            </w:pPr>
            <w:r>
              <w:rPr/>
              <w:t> </w:t>
            </w:r>
          </w:p>
        </w:tc>
        <w:tc>
          <w:tcPr>
            <w:tcW w:w="1110" w:type="dxa"/>
            <w:tcBorders/>
            <w:vAlign w:val="center"/>
          </w:tcPr>
          <w:p>
            <w:pPr>
              <w:pStyle w:val="TableContents"/>
              <w:bidi w:val="0"/>
              <w:spacing w:lineRule="atLeast" w:line="480" w:before="0" w:after="0"/>
              <w:jc w:val="right"/>
              <w:rPr/>
            </w:pPr>
            <w:r>
              <w:rPr/>
              <w:t>   </w:t>
            </w:r>
            <w:r>
              <w:rPr>
                <w:rFonts w:ascii="arial" w:hAnsi="arial"/>
                <w:sz w:val="20"/>
              </w:rPr>
              <w:t>$612,000</w:t>
            </w:r>
          </w:p>
        </w:tc>
        <w:tc>
          <w:tcPr>
            <w:tcW w:w="24"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lineRule="atLeast" w:line="480" w:before="0" w:after="0"/>
              <w:jc w:val="left"/>
              <w:rPr/>
            </w:pPr>
            <w:r>
              <w:rPr/>
              <w:t> </w:t>
            </w:r>
          </w:p>
        </w:tc>
        <w:tc>
          <w:tcPr>
            <w:tcW w:w="834" w:type="dxa"/>
            <w:tcBorders/>
            <w:vAlign w:val="center"/>
          </w:tcPr>
          <w:p>
            <w:pPr>
              <w:pStyle w:val="TableContents"/>
              <w:bidi w:val="0"/>
              <w:spacing w:lineRule="atLeast" w:line="480" w:before="0" w:after="0"/>
              <w:jc w:val="right"/>
              <w:rPr>
                <w:rFonts w:ascii="arial" w:hAnsi="arial"/>
                <w:sz w:val="20"/>
              </w:rPr>
            </w:pPr>
            <w:r>
              <w:rPr>
                <w:rFonts w:ascii="arial" w:hAnsi="arial"/>
                <w:sz w:val="20"/>
              </w:rPr>
              <w:t>2</w:t>
            </w:r>
          </w:p>
        </w:tc>
        <w:tc>
          <w:tcPr>
            <w:tcW w:w="692" w:type="dxa"/>
            <w:tcBorders/>
            <w:vAlign w:val="center"/>
          </w:tcPr>
          <w:p>
            <w:pPr>
              <w:pStyle w:val="TableContents"/>
              <w:bidi w:val="0"/>
              <w:spacing w:lineRule="atLeast" w:line="480" w:before="0" w:after="0"/>
              <w:jc w:val="left"/>
              <w:rPr>
                <w:rFonts w:ascii="arial" w:hAnsi="arial"/>
                <w:sz w:val="20"/>
              </w:rPr>
            </w:pPr>
            <w:r>
              <w:rPr>
                <w:rFonts w:ascii="arial" w:hAnsi="arial"/>
                <w:sz w:val="20"/>
              </w:rPr>
              <w:t>%</w:t>
            </w:r>
          </w:p>
        </w:tc>
      </w:tr>
    </w:tbl>
    <w:p>
      <w:pPr>
        <w:pStyle w:val="TextBody"/>
        <w:bidi w:val="0"/>
        <w:spacing w:before="240" w:after="0"/>
        <w:jc w:val="left"/>
        <w:rPr>
          <w:rFonts w:ascii="arial" w:hAnsi="arial"/>
          <w:sz w:val="22"/>
        </w:rPr>
      </w:pPr>
      <w:r>
        <w:rPr>
          <w:rFonts w:ascii="arial" w:hAnsi="arial"/>
          <w:sz w:val="22"/>
        </w:rPr>
        <w:t xml:space="preserve">As noted above, the Compensation Committee considered several factors in reviewing these base salaries, including an assessment of competitive market data and each named executive officer’s contributions towards meeting our financial objectives, as well as the objective of moving certain executives’ base salaries closer to the median of the competitive market for similarly situated executives at the companies in our compensation peer group. Following its review, the Compensation Committee determined to provide for a 2% merit increase for each of the named executive officers, other than Mr. Ekert. The Compensation Committee determined that Mr. Ekert would not receive a merit increase for 2024 in order to continue the ongoing focus on Mr. Ekert’s performance-based compensation. </w:t>
      </w:r>
    </w:p>
    <w:p>
      <w:pPr>
        <w:pStyle w:val="TextBody"/>
        <w:bidi w:val="0"/>
        <w:spacing w:before="240" w:after="0"/>
        <w:jc w:val="left"/>
        <w:rPr>
          <w:rFonts w:ascii="arial" w:hAnsi="arial"/>
          <w:sz w:val="22"/>
        </w:rPr>
      </w:pPr>
      <w:r>
        <w:rPr>
          <w:rFonts w:ascii="arial" w:hAnsi="arial"/>
          <w:sz w:val="22"/>
        </w:rPr>
        <w:t xml:space="preserve">The base salaries paid to our named executive officers during 2024 are set forth in the “2024 Summary Compensation Table” below. </w:t>
      </w:r>
    </w:p>
    <w:p>
      <w:pPr>
        <w:pStyle w:val="TextBody"/>
        <w:bidi w:val="0"/>
        <w:spacing w:before="360" w:after="0"/>
        <w:jc w:val="left"/>
        <w:rPr>
          <w:rFonts w:ascii="arial" w:hAnsi="arial"/>
          <w:i/>
          <w:sz w:val="22"/>
        </w:rPr>
      </w:pPr>
      <w:r>
        <w:rPr>
          <w:rFonts w:ascii="arial" w:hAnsi="arial"/>
          <w:i/>
          <w:sz w:val="22"/>
        </w:rPr>
        <w:t xml:space="preserve">Annual Incentive Compensation </w:t>
      </w:r>
    </w:p>
    <w:p>
      <w:pPr>
        <w:pStyle w:val="TextBody"/>
        <w:bidi w:val="0"/>
        <w:spacing w:before="120" w:after="0"/>
        <w:jc w:val="left"/>
        <w:rPr>
          <w:rFonts w:ascii="arial" w:hAnsi="arial"/>
          <w:sz w:val="22"/>
        </w:rPr>
      </w:pPr>
      <w:r>
        <w:rPr>
          <w:rFonts w:ascii="arial" w:hAnsi="arial"/>
          <w:sz w:val="22"/>
        </w:rPr>
        <w:t xml:space="preserve">We use annual incentive compensation to support and encourage the achievement of our specific annual corporate and business segment goals as reflected in our annual operating plan. Each year, our officers at the level of senior vice president or above, which includes our named executive officers, are eligible to receive annual cash incentive payments under our Executive Incentive Program, or EIP. </w:t>
      </w:r>
    </w:p>
    <w:p>
      <w:pPr>
        <w:pStyle w:val="TextBody"/>
        <w:bidi w:val="0"/>
        <w:spacing w:before="240" w:after="0"/>
        <w:jc w:val="left"/>
        <w:rPr>
          <w:rFonts w:ascii="arial" w:hAnsi="arial"/>
          <w:sz w:val="22"/>
        </w:rPr>
      </w:pPr>
      <w:r>
        <w:rPr>
          <w:rFonts w:ascii="arial" w:hAnsi="arial"/>
          <w:sz w:val="22"/>
        </w:rPr>
        <w:t xml:space="preserve">Typically, at the beginning of the fiscal year the Compensation Committee approves the terms and conditions of the EIP for the year, including the selection of one or more performance measures as the basis for determining the funding of annual cash incentive payments for the year. Subject to available funding, the EIP provides cash incentive payments based upon our achievement as measured against the pre-established target levels for these performance measures.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u w:val="single"/>
        </w:rPr>
      </w:pPr>
      <w:r>
        <w:rPr>
          <w:rFonts w:ascii="arial" w:hAnsi="arial"/>
          <w:sz w:val="22"/>
          <w:u w:val="single"/>
        </w:rPr>
        <w:t xml:space="preserve">Annual Cash Incentive Target </w:t>
      </w:r>
    </w:p>
    <w:p>
      <w:pPr>
        <w:pStyle w:val="TextBody"/>
        <w:bidi w:val="0"/>
        <w:spacing w:before="120" w:after="0"/>
        <w:jc w:val="left"/>
        <w:rPr>
          <w:rFonts w:ascii="arial" w:hAnsi="arial"/>
          <w:sz w:val="22"/>
        </w:rPr>
      </w:pPr>
      <w:r>
        <w:rPr>
          <w:rFonts w:ascii="arial" w:hAnsi="arial"/>
          <w:sz w:val="22"/>
        </w:rPr>
        <w:t xml:space="preserve">For purposes of the 2024 EIP, the annual cash incentive target for each of our eligible executive officers, including our named executive officers, was expressed as a percentage of his or her base salary during 2024 and was as follows for our named executive officers: </w:t>
      </w:r>
    </w:p>
    <w:p>
      <w:pPr>
        <w:pStyle w:val="TextBody"/>
        <w:bidi w:val="0"/>
        <w:spacing w:before="0" w:after="0"/>
        <w:jc w:val="left"/>
        <w:rPr/>
      </w:pPr>
      <w:r>
        <w:rPr/>
        <w:t> </w:t>
      </w:r>
    </w:p>
    <w:tbl>
      <w:tblPr>
        <w:tblW w:w="8263" w:type="dxa"/>
        <w:jc w:val="left"/>
        <w:tblInd w:w="0" w:type="dxa"/>
        <w:tblLayout w:type="fixed"/>
        <w:tblCellMar>
          <w:top w:w="0" w:type="dxa"/>
          <w:left w:w="0" w:type="dxa"/>
          <w:bottom w:w="0" w:type="dxa"/>
          <w:right w:w="0" w:type="dxa"/>
        </w:tblCellMar>
      </w:tblPr>
      <w:tblGrid>
        <w:gridCol w:w="2180"/>
        <w:gridCol w:w="60"/>
        <w:gridCol w:w="325"/>
        <w:gridCol w:w="325"/>
        <w:gridCol w:w="2063"/>
        <w:gridCol w:w="125"/>
        <w:gridCol w:w="60"/>
        <w:gridCol w:w="60"/>
        <w:gridCol w:w="60"/>
        <w:gridCol w:w="2930"/>
        <w:gridCol w:w="75"/>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666666"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Named Executive Officer</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838"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2024 Cash Incentive Target   </w:t>
              <w:br/>
              <w:t>(as a percentage of base salary)</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3125"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Potential Payout</w:t>
            </w:r>
          </w:p>
          <w:p>
            <w:pPr>
              <w:pStyle w:val="TableContents"/>
              <w:bidi w:val="0"/>
              <w:spacing w:before="0" w:after="20"/>
              <w:jc w:val="left"/>
              <w:rPr/>
            </w:pPr>
            <w:r>
              <w:rPr/>
              <w:t> </w:t>
            </w:r>
          </w:p>
        </w:tc>
      </w:tr>
      <w:tr>
        <w:trPr/>
        <w:tc>
          <w:tcPr>
            <w:tcW w:w="2180" w:type="dxa"/>
            <w:tcBorders/>
            <w:shd w:fill="E5E5E5" w:val="clear"/>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before="0" w:after="0"/>
              <w:jc w:val="left"/>
              <w:rPr>
                <w:rFonts w:ascii="arial" w:hAnsi="arial"/>
                <w:sz w:val="20"/>
              </w:rPr>
            </w:pP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2063" w:type="dxa"/>
            <w:tcBorders/>
            <w:shd w:fill="E5E5E5" w:val="clear"/>
            <w:vAlign w:val="center"/>
          </w:tcPr>
          <w:p>
            <w:pPr>
              <w:pStyle w:val="TableContents"/>
              <w:bidi w:val="0"/>
              <w:spacing w:before="0" w:after="283"/>
              <w:jc w:val="center"/>
              <w:rPr/>
            </w:pPr>
            <w:r>
              <w:rPr/>
              <w:t>150%</w:t>
            </w:r>
          </w:p>
        </w:tc>
        <w:tc>
          <w:tcPr>
            <w:tcW w:w="12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930" w:type="dxa"/>
            <w:tcBorders/>
            <w:shd w:fill="E5E5E5" w:val="clear"/>
            <w:vAlign w:val="center"/>
          </w:tcPr>
          <w:p>
            <w:pPr>
              <w:pStyle w:val="TableContents"/>
              <w:bidi w:val="0"/>
              <w:spacing w:before="0" w:after="283"/>
              <w:jc w:val="center"/>
              <w:rPr/>
            </w:pPr>
            <w:r>
              <w:rPr/>
              <w:t>    </w:t>
            </w:r>
            <w:r>
              <w:rPr/>
              <w:t>0% to 200% of target    </w:t>
            </w:r>
          </w:p>
        </w:tc>
        <w:tc>
          <w:tcPr>
            <w:tcW w:w="75" w:type="dxa"/>
            <w:tcBorders/>
            <w:shd w:fill="E5E5E5"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arial" w:hAnsi="arial"/>
                <w:sz w:val="20"/>
              </w:rPr>
            </w:pP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2063" w:type="dxa"/>
            <w:tcBorders/>
            <w:vAlign w:val="center"/>
          </w:tcPr>
          <w:p>
            <w:pPr>
              <w:pStyle w:val="TableContents"/>
              <w:bidi w:val="0"/>
              <w:spacing w:before="0" w:after="283"/>
              <w:jc w:val="center"/>
              <w:rPr/>
            </w:pPr>
            <w:r>
              <w:rPr/>
              <w:t>90%</w:t>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r>
              <w:rPr/>
              <w:t>0% to 200% of target    </w:t>
            </w:r>
          </w:p>
        </w:tc>
        <w:tc>
          <w:tcPr>
            <w:tcW w:w="75" w:type="dxa"/>
            <w:tcBorders/>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before="0" w:after="0"/>
              <w:jc w:val="left"/>
              <w:rPr>
                <w:rFonts w:ascii="arial" w:hAnsi="arial"/>
                <w:sz w:val="20"/>
              </w:rPr>
            </w:pPr>
            <w:r>
              <w:rPr>
                <w:rFonts w:ascii="arial" w:hAnsi="arial"/>
                <w:sz w:val="20"/>
              </w:rPr>
              <w:t>Joe DiFonzo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2063" w:type="dxa"/>
            <w:tcBorders/>
            <w:shd w:fill="E5E5E5" w:val="clear"/>
            <w:vAlign w:val="center"/>
          </w:tcPr>
          <w:p>
            <w:pPr>
              <w:pStyle w:val="TableContents"/>
              <w:bidi w:val="0"/>
              <w:spacing w:before="0" w:after="283"/>
              <w:jc w:val="center"/>
              <w:rPr/>
            </w:pPr>
            <w:r>
              <w:rPr/>
              <w:t>85%</w:t>
            </w:r>
          </w:p>
        </w:tc>
        <w:tc>
          <w:tcPr>
            <w:tcW w:w="12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930" w:type="dxa"/>
            <w:tcBorders/>
            <w:shd w:fill="E5E5E5" w:val="clear"/>
            <w:vAlign w:val="center"/>
          </w:tcPr>
          <w:p>
            <w:pPr>
              <w:pStyle w:val="TableContents"/>
              <w:bidi w:val="0"/>
              <w:spacing w:before="0" w:after="283"/>
              <w:jc w:val="center"/>
              <w:rPr/>
            </w:pPr>
            <w:r>
              <w:rPr/>
              <w:t>    </w:t>
            </w:r>
            <w:r>
              <w:rPr/>
              <w:t>0% to 200% of target    </w:t>
            </w:r>
          </w:p>
        </w:tc>
        <w:tc>
          <w:tcPr>
            <w:tcW w:w="75" w:type="dxa"/>
            <w:tcBorders/>
            <w:shd w:fill="E5E5E5"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arial" w:hAnsi="arial"/>
                <w:sz w:val="20"/>
              </w:rPr>
            </w:pPr>
            <w:r>
              <w:rPr>
                <w:rFonts w:ascii="arial" w:hAnsi="arial"/>
                <w:sz w:val="20"/>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2063" w:type="dxa"/>
            <w:tcBorders/>
            <w:vAlign w:val="center"/>
          </w:tcPr>
          <w:p>
            <w:pPr>
              <w:pStyle w:val="TableContents"/>
              <w:bidi w:val="0"/>
              <w:spacing w:before="0" w:after="283"/>
              <w:jc w:val="center"/>
              <w:rPr/>
            </w:pPr>
            <w:r>
              <w:rPr/>
              <w:t>85%</w:t>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r>
              <w:rPr/>
              <w:t>0% to 200% of target    </w:t>
            </w:r>
          </w:p>
        </w:tc>
        <w:tc>
          <w:tcPr>
            <w:tcW w:w="75" w:type="dxa"/>
            <w:tcBorders/>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180" w:type="dxa"/>
            <w:tcBorders/>
            <w:shd w:fill="E5E5E5" w:val="clear"/>
            <w:vAlign w:val="center"/>
          </w:tcPr>
          <w:p>
            <w:pPr>
              <w:pStyle w:val="TableContents"/>
              <w:bidi w:val="0"/>
              <w:spacing w:before="0" w:after="0"/>
              <w:jc w:val="left"/>
              <w:rPr>
                <w:rFonts w:ascii="arial" w:hAnsi="arial"/>
                <w:sz w:val="20"/>
              </w:rPr>
            </w:pP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325" w:type="dxa"/>
            <w:tcBorders/>
            <w:shd w:fill="E5E5E5" w:val="clear"/>
            <w:vAlign w:val="center"/>
          </w:tcPr>
          <w:p>
            <w:pPr>
              <w:pStyle w:val="TableContents"/>
              <w:bidi w:val="0"/>
              <w:spacing w:before="0" w:after="283"/>
              <w:jc w:val="left"/>
              <w:rPr/>
            </w:pPr>
            <w:r>
              <w:rPr/>
              <w:t> </w:t>
            </w:r>
          </w:p>
        </w:tc>
        <w:tc>
          <w:tcPr>
            <w:tcW w:w="2063" w:type="dxa"/>
            <w:tcBorders/>
            <w:shd w:fill="E5E5E5" w:val="clear"/>
            <w:vAlign w:val="center"/>
          </w:tcPr>
          <w:p>
            <w:pPr>
              <w:pStyle w:val="TableContents"/>
              <w:bidi w:val="0"/>
              <w:spacing w:before="0" w:after="283"/>
              <w:jc w:val="center"/>
              <w:rPr/>
            </w:pPr>
            <w:r>
              <w:rPr/>
              <w:t>85%</w:t>
            </w:r>
          </w:p>
        </w:tc>
        <w:tc>
          <w:tcPr>
            <w:tcW w:w="12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2930" w:type="dxa"/>
            <w:tcBorders/>
            <w:shd w:fill="E5E5E5" w:val="clear"/>
            <w:vAlign w:val="center"/>
          </w:tcPr>
          <w:p>
            <w:pPr>
              <w:pStyle w:val="TableContents"/>
              <w:bidi w:val="0"/>
              <w:spacing w:before="0" w:after="283"/>
              <w:jc w:val="center"/>
              <w:rPr/>
            </w:pPr>
            <w:r>
              <w:rPr/>
              <w:t>    </w:t>
            </w:r>
            <w:r>
              <w:rPr/>
              <w:t>0% to 200% of target    </w:t>
            </w:r>
          </w:p>
        </w:tc>
        <w:tc>
          <w:tcPr>
            <w:tcW w:w="75" w:type="dxa"/>
            <w:tcBorders/>
            <w:shd w:fill="E5E5E5"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2898"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318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arial" w:hAnsi="arial"/>
                <w:sz w:val="20"/>
              </w:rPr>
            </w:pPr>
            <w:r>
              <w:rPr>
                <w:rFonts w:ascii="arial" w:hAnsi="arial"/>
                <w:sz w:val="20"/>
              </w:rPr>
              <w:t>Ann Bruder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2063" w:type="dxa"/>
            <w:tcBorders/>
            <w:vAlign w:val="center"/>
          </w:tcPr>
          <w:p>
            <w:pPr>
              <w:pStyle w:val="TableContents"/>
              <w:bidi w:val="0"/>
              <w:spacing w:before="0" w:after="283"/>
              <w:jc w:val="center"/>
              <w:rPr/>
            </w:pPr>
            <w:r>
              <w:rPr/>
              <w:t>85%</w:t>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r>
              <w:rPr/>
              <w:t>0% to 200% of target    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2"/>
        </w:rPr>
      </w:pPr>
      <w:r>
        <w:rPr>
          <w:rFonts w:ascii="arial" w:hAnsi="arial"/>
          <w:sz w:val="22"/>
        </w:rPr>
        <w:t xml:space="preserve">The annual cash incentive targets were established by the Compensation Committee based on its consideration of various factors such as each named executive officer’s contribution towards meeting our financial objectives, the named executive officer’s qualifications, knowledge, experience, tenure, and scope of responsibilities, the named executive officer’s past performance as against individual goals, the named executive officer’s future potential, the recommendations of our CEO (with respect to the other named executive officers), competitive market data and practices, our desired compensation position with respect to the competitive market, internal equity, and external factors. For 2024, the Compensation Committee increased Mr. Ekert’s annual cash incentive opportunity from 135% to 150% of his base salary. In determining to make this increase, the Compensation Committee considered, in addition to the factors described above, the market positioning of his at-risk cash compensation opportunity relative to the similar opportunities of the chief executive officers at the companies in our compensation peer group, as well as its goal of further incentivizing Mr. Ekert to make significant progress in the near term on Sabre’s strategic growth initiatives. </w:t>
      </w:r>
    </w:p>
    <w:p>
      <w:pPr>
        <w:pStyle w:val="TextBody"/>
        <w:bidi w:val="0"/>
        <w:spacing w:before="360" w:after="0"/>
        <w:jc w:val="left"/>
        <w:rPr>
          <w:rFonts w:ascii="arial" w:hAnsi="arial"/>
          <w:sz w:val="22"/>
          <w:u w:val="single"/>
        </w:rPr>
      </w:pPr>
      <w:r>
        <w:rPr>
          <w:rFonts w:ascii="arial" w:hAnsi="arial"/>
          <w:sz w:val="22"/>
          <w:u w:val="single"/>
        </w:rPr>
        <w:t xml:space="preserve">Corporate Performance Measures and Weights </w:t>
      </w:r>
    </w:p>
    <w:p>
      <w:pPr>
        <w:pStyle w:val="TextBody"/>
        <w:bidi w:val="0"/>
        <w:spacing w:before="120" w:after="0"/>
        <w:jc w:val="left"/>
        <w:rPr>
          <w:rFonts w:ascii="arial" w:hAnsi="arial"/>
          <w:sz w:val="22"/>
        </w:rPr>
      </w:pPr>
      <w:r>
        <w:rPr>
          <w:rFonts w:ascii="arial" w:hAnsi="arial"/>
          <w:sz w:val="22"/>
        </w:rPr>
        <w:t xml:space="preserve">The Compensation Committee approved the following 2024 EIP performance measures for our named executive officers: </w:t>
      </w:r>
    </w:p>
    <w:p>
      <w:pPr>
        <w:pStyle w:val="TextBody"/>
        <w:bidi w:val="0"/>
        <w:spacing w:before="0" w:after="0"/>
        <w:jc w:val="left"/>
        <w:rPr/>
      </w:pPr>
      <w:r>
        <w:rPr/>
        <w:t> </w:t>
      </w:r>
    </w:p>
    <w:tbl>
      <w:tblPr>
        <w:tblW w:w="8018" w:type="dxa"/>
        <w:jc w:val="left"/>
        <w:tblInd w:w="0" w:type="dxa"/>
        <w:tblLayout w:type="fixed"/>
        <w:tblCellMar>
          <w:top w:w="0" w:type="dxa"/>
          <w:left w:w="0" w:type="dxa"/>
          <w:bottom w:w="0" w:type="dxa"/>
          <w:right w:w="0" w:type="dxa"/>
        </w:tblCellMar>
      </w:tblPr>
      <w:tblGrid>
        <w:gridCol w:w="6560"/>
        <w:gridCol w:w="60"/>
        <w:gridCol w:w="155"/>
        <w:gridCol w:w="155"/>
        <w:gridCol w:w="988"/>
        <w:gridCol w:w="100"/>
      </w:tblGrid>
      <w:tr>
        <w:trPr/>
        <w:tc>
          <w:tcPr>
            <w:tcW w:w="6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r>
      <w:tr>
        <w:trPr/>
        <w:tc>
          <w:tcPr>
            <w:tcW w:w="6560" w:type="dxa"/>
            <w:tcBorders/>
            <w:shd w:fill="666666"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Performance Measures</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98"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Weighting    </w:t>
            </w:r>
          </w:p>
          <w:p>
            <w:pPr>
              <w:pStyle w:val="TableContents"/>
              <w:bidi w:val="0"/>
              <w:spacing w:before="0" w:after="20"/>
              <w:jc w:val="left"/>
              <w:rPr/>
            </w:pPr>
            <w:r>
              <w:rPr/>
              <w:t> </w:t>
            </w:r>
          </w:p>
        </w:tc>
      </w:tr>
      <w:tr>
        <w:trPr/>
        <w:tc>
          <w:tcPr>
            <w:tcW w:w="6560" w:type="dxa"/>
            <w:tcBorders/>
            <w:shd w:fill="E5E5E5" w:val="clear"/>
            <w:vAlign w:val="center"/>
          </w:tcPr>
          <w:p>
            <w:pPr>
              <w:pStyle w:val="TableContents"/>
              <w:bidi w:val="0"/>
              <w:spacing w:before="0" w:after="0"/>
              <w:jc w:val="left"/>
              <w:rPr>
                <w:rFonts w:ascii="arial" w:hAnsi="arial"/>
                <w:sz w:val="20"/>
              </w:rPr>
            </w:pPr>
            <w:r>
              <w:rPr>
                <w:rFonts w:ascii="arial" w:hAnsi="arial"/>
                <w:sz w:val="20"/>
              </w:rPr>
              <w:t>2024 Adjusted EBITDA</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+/- 10% Free Cash Flow modifier(1)</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Amounts may be adjusted higher or lower, based on individual performance</w:t>
            </w:r>
          </w:p>
        </w:tc>
        <w:tc>
          <w:tcPr>
            <w:tcW w:w="60"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155" w:type="dxa"/>
            <w:tcBorders/>
            <w:shd w:fill="E5E5E5" w:val="clear"/>
            <w:vAlign w:val="center"/>
          </w:tcPr>
          <w:p>
            <w:pPr>
              <w:pStyle w:val="TableContents"/>
              <w:bidi w:val="0"/>
              <w:spacing w:before="0" w:after="283"/>
              <w:jc w:val="left"/>
              <w:rPr/>
            </w:pPr>
            <w:r>
              <w:rPr/>
              <w:t> </w:t>
            </w:r>
          </w:p>
        </w:tc>
        <w:tc>
          <w:tcPr>
            <w:tcW w:w="988" w:type="dxa"/>
            <w:tcBorders/>
            <w:shd w:fill="E5E5E5" w:val="clear"/>
            <w:vAlign w:val="center"/>
          </w:tcPr>
          <w:p>
            <w:pPr>
              <w:pStyle w:val="TableContents"/>
              <w:bidi w:val="0"/>
              <w:spacing w:before="0" w:after="283"/>
              <w:jc w:val="center"/>
              <w:rPr/>
            </w:pPr>
            <w:r>
              <w:rPr/>
              <w:t>100%</w:t>
            </w:r>
          </w:p>
        </w:tc>
        <w:tc>
          <w:tcPr>
            <w:tcW w:w="100"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(1)</w:t>
            </w:r>
          </w:p>
        </w:tc>
        <w:tc>
          <w:tcPr>
            <w:tcW w:w="9395" w:type="dxa"/>
            <w:tcBorders/>
            <w:vAlign w:val="center"/>
          </w:tcPr>
          <w:p>
            <w:pPr>
              <w:pStyle w:val="TableContents"/>
              <w:bidi w:val="0"/>
              <w:spacing w:before="0" w:after="0"/>
              <w:jc w:val="left"/>
              <w:rPr>
                <w:rFonts w:ascii="arial" w:hAnsi="arial"/>
                <w:sz w:val="18"/>
              </w:rPr>
            </w:pPr>
            <w:r>
              <w:rPr>
                <w:rFonts w:ascii="arial" w:hAnsi="arial"/>
                <w:sz w:val="18"/>
              </w:rPr>
              <w:t xml:space="preserve">Total funding is capped at 200% regardless of the application of the Free Cash Flow modifier or individual modifier. </w:t>
            </w:r>
          </w:p>
        </w:tc>
      </w:tr>
    </w:tbl>
    <w:p>
      <w:pPr>
        <w:pStyle w:val="TextBody"/>
        <w:bidi w:val="0"/>
        <w:spacing w:before="240" w:after="0"/>
        <w:jc w:val="left"/>
        <w:rPr>
          <w:rFonts w:ascii="arial" w:hAnsi="arial"/>
          <w:sz w:val="22"/>
        </w:rPr>
      </w:pPr>
      <w:r>
        <w:rPr>
          <w:rFonts w:ascii="arial" w:hAnsi="arial"/>
          <w:sz w:val="22"/>
        </w:rPr>
        <w:t xml:space="preserve">The Compensation Committee selected Adjusted EBITDA because it believes it is an important indicator of our overall operating performance, and it selected Free Cash Flow as a performance modifier, given the focus of stockholders on growth of our cash position. For our 2024 EIP, Adjusted EBITDA was defined as loss from continuing operations adjusted for depreciation and amortization of property and equipment, amortization of capitalized implementation costs, acquisition-related amortization, impairment and related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charges, restructuring and other costs, interest expense, net, other, net, loss on extinguishment of debt, net, acquisition-related costs, litigation costs, net, indirect tax matters, stock-based compensation, and the (benefit) provision for income taxes. For our 2024 EIP, Free Cash Flow was defined as cash provided by (used in) operating activities reduced by cash used in additions to property and equipment. These calculations of Adjusted EBITDA and Free Cash Flow are consistent with the calculations used for our external reporting. With respect to Free Cash Flow, the Compensation Committee determined to add back $19 million paid for debt modification costs associated with debt refinancing activities executed in November 2024 that took advantage of favorable market conditions to extend certain of our debt maturities. The Compensation Committee determined to make this adjustment after considering the nature of the refinancing and the Board of Directors’ goal to continue to incentivize management to proactively and effectively manage our upcoming debt maturities. The Compensation Committee also noted that the refinancing was classified as a debt modification under a technical application of GAAP, impacting Free Cash Flow, and that similar costs related to recent prior refinancing activities were classified differently under GAAP requirements and did not impact Free Cash Flow. </w:t>
      </w:r>
    </w:p>
    <w:p>
      <w:pPr>
        <w:pStyle w:val="TextBody"/>
        <w:bidi w:val="0"/>
        <w:spacing w:before="240" w:after="0"/>
        <w:jc w:val="left"/>
        <w:rPr>
          <w:rFonts w:ascii="arial" w:hAnsi="arial"/>
          <w:sz w:val="22"/>
        </w:rPr>
      </w:pPr>
      <w:r>
        <w:rPr>
          <w:rFonts w:ascii="arial" w:hAnsi="arial"/>
          <w:sz w:val="22"/>
        </w:rPr>
        <w:t xml:space="preserve">The following tables illustrate information regarding the 2024 EIP Adjusted EBITDA performance measure and the Free Cash Flow modifier, calculated as described in the preceding paragraph (amounts in millions). </w:t>
      </w:r>
    </w:p>
    <w:p>
      <w:pPr>
        <w:pStyle w:val="TextBody"/>
        <w:bidi w:val="0"/>
        <w:spacing w:before="0" w:after="0"/>
        <w:jc w:val="left"/>
        <w:rPr/>
      </w:pPr>
      <w:r>
        <w:rPr/>
        <w:t> </w:t>
      </w:r>
    </w:p>
    <w:tbl>
      <w:tblPr>
        <w:tblW w:w="7216" w:type="dxa"/>
        <w:jc w:val="left"/>
        <w:tblInd w:w="0" w:type="dxa"/>
        <w:tblLayout w:type="fixed"/>
        <w:tblCellMar>
          <w:top w:w="0" w:type="dxa"/>
          <w:left w:w="0" w:type="dxa"/>
          <w:bottom w:w="0" w:type="dxa"/>
          <w:right w:w="0" w:type="dxa"/>
        </w:tblCellMar>
      </w:tblPr>
      <w:tblGrid>
        <w:gridCol w:w="2405"/>
        <w:gridCol w:w="60"/>
        <w:gridCol w:w="127"/>
        <w:gridCol w:w="296"/>
        <w:gridCol w:w="837"/>
        <w:gridCol w:w="50"/>
        <w:gridCol w:w="60"/>
        <w:gridCol w:w="60"/>
        <w:gridCol w:w="60"/>
        <w:gridCol w:w="920"/>
        <w:gridCol w:w="23"/>
        <w:gridCol w:w="60"/>
        <w:gridCol w:w="128"/>
        <w:gridCol w:w="298"/>
        <w:gridCol w:w="1101"/>
        <w:gridCol w:w="53"/>
        <w:gridCol w:w="60"/>
        <w:gridCol w:w="60"/>
        <w:gridCol w:w="140"/>
        <w:gridCol w:w="380"/>
        <w:gridCol w:w="38"/>
      </w:tblGrid>
      <w:tr>
        <w:trPr/>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405" w:type="dxa"/>
            <w:tcBorders/>
            <w:shd w:fill="666666"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Performance Metric</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1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Threshold Goal</w:t>
              <w:br/>
              <w:t>(50%)</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63"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Target Goal</w:t>
              <w:br/>
              <w:t>(100%)</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58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Maximum Goal</w:t>
              <w:br/>
              <w:t>(150%)</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618"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Result</w:t>
            </w:r>
          </w:p>
          <w:p>
            <w:pPr>
              <w:pStyle w:val="TableContents"/>
              <w:bidi w:val="0"/>
              <w:spacing w:before="0" w:after="20"/>
              <w:jc w:val="left"/>
              <w:rPr/>
            </w:pPr>
            <w:r>
              <w:rPr/>
              <w:t> </w:t>
            </w:r>
          </w:p>
        </w:tc>
      </w:tr>
      <w:tr>
        <w:trPr/>
        <w:tc>
          <w:tcPr>
            <w:tcW w:w="2405" w:type="dxa"/>
            <w:tcBorders/>
            <w:shd w:fill="E5E5E5" w:val="clear"/>
            <w:vAlign w:val="center"/>
          </w:tcPr>
          <w:p>
            <w:pPr>
              <w:pStyle w:val="TableContents"/>
              <w:bidi w:val="0"/>
              <w:spacing w:before="0" w:after="0"/>
              <w:jc w:val="left"/>
              <w:rPr/>
            </w:pPr>
            <w:r>
              <w:rPr/>
              <w:t> </w:t>
            </w:r>
            <w:r>
              <w:rPr>
                <w:rFonts w:ascii="arial" w:hAnsi="arial"/>
                <w:sz w:val="20"/>
              </w:rPr>
              <w:t>2024 Adjusted EBITDA(1)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7" w:type="dxa"/>
            <w:tcBorders/>
            <w:shd w:fill="E5E5E5" w:val="clear"/>
            <w:vAlign w:val="center"/>
          </w:tcPr>
          <w:p>
            <w:pPr>
              <w:pStyle w:val="TableContents"/>
              <w:bidi w:val="0"/>
              <w:spacing w:before="0" w:after="283"/>
              <w:jc w:val="left"/>
              <w:rPr/>
            </w:pPr>
            <w:r>
              <w:rPr/>
              <w:t> </w:t>
            </w:r>
          </w:p>
        </w:tc>
        <w:tc>
          <w:tcPr>
            <w:tcW w:w="296" w:type="dxa"/>
            <w:tcBorders/>
            <w:shd w:fill="E5E5E5" w:val="clear"/>
            <w:vAlign w:val="center"/>
          </w:tcPr>
          <w:p>
            <w:pPr>
              <w:pStyle w:val="TableContents"/>
              <w:bidi w:val="0"/>
              <w:spacing w:before="0" w:after="283"/>
              <w:jc w:val="left"/>
              <w:rPr/>
            </w:pPr>
            <w:r>
              <w:rPr/>
              <w:t>$</w:t>
            </w:r>
          </w:p>
        </w:tc>
        <w:tc>
          <w:tcPr>
            <w:tcW w:w="837" w:type="dxa"/>
            <w:tcBorders/>
            <w:shd w:fill="E5E5E5" w:val="clear"/>
            <w:vAlign w:val="center"/>
          </w:tcPr>
          <w:p>
            <w:pPr>
              <w:pStyle w:val="TableContents"/>
              <w:bidi w:val="0"/>
              <w:spacing w:before="0" w:after="283"/>
              <w:jc w:val="right"/>
              <w:rPr/>
            </w:pPr>
            <w:r>
              <w:rPr/>
              <w:t>475</w:t>
            </w:r>
          </w:p>
        </w:tc>
        <w:tc>
          <w:tcPr>
            <w:tcW w:w="5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20" w:type="dxa"/>
            <w:tcBorders/>
            <w:shd w:fill="E5E5E5" w:val="clear"/>
            <w:vAlign w:val="center"/>
          </w:tcPr>
          <w:p>
            <w:pPr>
              <w:pStyle w:val="TableContents"/>
              <w:bidi w:val="0"/>
              <w:spacing w:before="0" w:after="283"/>
              <w:jc w:val="right"/>
              <w:rPr/>
            </w:pPr>
            <w:r>
              <w:rPr/>
              <w:t>$500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w:t>
            </w:r>
          </w:p>
        </w:tc>
        <w:tc>
          <w:tcPr>
            <w:tcW w:w="1101" w:type="dxa"/>
            <w:tcBorders/>
            <w:shd w:fill="E5E5E5" w:val="clear"/>
            <w:vAlign w:val="center"/>
          </w:tcPr>
          <w:p>
            <w:pPr>
              <w:pStyle w:val="TableContents"/>
              <w:bidi w:val="0"/>
              <w:spacing w:before="0" w:after="283"/>
              <w:jc w:val="right"/>
              <w:rPr/>
            </w:pPr>
            <w:r>
              <w:rPr/>
              <w:t>600</w:t>
            </w:r>
          </w:p>
        </w:tc>
        <w:tc>
          <w:tcPr>
            <w:tcW w:w="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380" w:type="dxa"/>
            <w:tcBorders/>
            <w:shd w:fill="E5E5E5" w:val="clear"/>
            <w:vAlign w:val="center"/>
          </w:tcPr>
          <w:p>
            <w:pPr>
              <w:pStyle w:val="TableContents"/>
              <w:bidi w:val="0"/>
              <w:spacing w:before="0" w:after="283"/>
              <w:jc w:val="right"/>
              <w:rPr/>
            </w:pPr>
            <w:r>
              <w:rPr/>
              <w:t>517</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8" w:type="dxa"/>
            <w:gridSpan w:val="4"/>
            <w:tcBorders/>
            <w:vAlign w:val="center"/>
          </w:tcPr>
          <w:p>
            <w:pPr>
              <w:pStyle w:val="TableContents"/>
              <w:bidi w:val="0"/>
              <w:spacing w:before="0" w:after="283"/>
              <w:jc w:val="left"/>
              <w:rPr/>
            </w:pPr>
            <w:r>
              <w:rPr/>
              <w:t> </w:t>
            </w:r>
          </w:p>
        </w:tc>
      </w:tr>
      <w:tr>
        <w:trPr/>
        <w:tc>
          <w:tcPr>
            <w:tcW w:w="2405" w:type="dxa"/>
            <w:tcBorders/>
            <w:shd w:fill="666666"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Performance Metric</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1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-10% Payout</w:t>
              <w:br/>
              <w:t>Modification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63"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No Payout</w:t>
              <w:br/>
              <w:t>Modification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58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+10% Modification</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618"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Result</w:t>
            </w:r>
          </w:p>
          <w:p>
            <w:pPr>
              <w:pStyle w:val="TableContents"/>
              <w:bidi w:val="0"/>
              <w:spacing w:before="0" w:after="20"/>
              <w:jc w:val="left"/>
              <w:rPr/>
            </w:pPr>
            <w:r>
              <w:rPr/>
              <w:t> </w:t>
            </w:r>
          </w:p>
        </w:tc>
      </w:tr>
      <w:tr>
        <w:trPr/>
        <w:tc>
          <w:tcPr>
            <w:tcW w:w="2405" w:type="dxa"/>
            <w:tcBorders/>
            <w:shd w:fill="E5E5E5" w:val="clear"/>
            <w:vAlign w:val="center"/>
          </w:tcPr>
          <w:p>
            <w:pPr>
              <w:pStyle w:val="TableContents"/>
              <w:bidi w:val="0"/>
              <w:spacing w:before="0" w:after="0"/>
              <w:jc w:val="left"/>
              <w:rPr/>
            </w:pPr>
            <w:r>
              <w:rPr/>
              <w:t> </w:t>
            </w:r>
            <w:r>
              <w:rPr>
                <w:rFonts w:ascii="arial" w:hAnsi="arial"/>
                <w:sz w:val="20"/>
              </w:rPr>
              <w:t>2024 Free Cash Flow(1)</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7" w:type="dxa"/>
            <w:tcBorders/>
            <w:shd w:fill="E5E5E5" w:val="clear"/>
            <w:vAlign w:val="center"/>
          </w:tcPr>
          <w:p>
            <w:pPr>
              <w:pStyle w:val="TableContents"/>
              <w:bidi w:val="0"/>
              <w:spacing w:before="0" w:after="283"/>
              <w:jc w:val="left"/>
              <w:rPr/>
            </w:pPr>
            <w:r>
              <w:rPr/>
              <w:t> </w:t>
            </w:r>
          </w:p>
        </w:tc>
        <w:tc>
          <w:tcPr>
            <w:tcW w:w="296" w:type="dxa"/>
            <w:tcBorders/>
            <w:shd w:fill="E5E5E5" w:val="clear"/>
            <w:vAlign w:val="center"/>
          </w:tcPr>
          <w:p>
            <w:pPr>
              <w:pStyle w:val="TableContents"/>
              <w:bidi w:val="0"/>
              <w:spacing w:before="0" w:after="283"/>
              <w:jc w:val="left"/>
              <w:rPr/>
            </w:pPr>
            <w:r>
              <w:rPr/>
              <w:t> </w:t>
            </w:r>
          </w:p>
        </w:tc>
        <w:tc>
          <w:tcPr>
            <w:tcW w:w="837" w:type="dxa"/>
            <w:tcBorders/>
            <w:shd w:fill="E5E5E5" w:val="clear"/>
            <w:vAlign w:val="center"/>
          </w:tcPr>
          <w:p>
            <w:pPr>
              <w:pStyle w:val="TableContents"/>
              <w:bidi w:val="0"/>
              <w:spacing w:before="0" w:after="283"/>
              <w:jc w:val="left"/>
              <w:rPr/>
            </w:pPr>
            <w:r>
              <w:rPr/>
              <w:t>&lt;$0</w:t>
            </w:r>
          </w:p>
        </w:tc>
        <w:tc>
          <w:tcPr>
            <w:tcW w:w="5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20" w:type="dxa"/>
            <w:tcBorders/>
            <w:shd w:fill="E5E5E5" w:val="clear"/>
            <w:vAlign w:val="center"/>
          </w:tcPr>
          <w:p>
            <w:pPr>
              <w:pStyle w:val="TableContents"/>
              <w:bidi w:val="0"/>
              <w:spacing w:before="0" w:after="283"/>
              <w:jc w:val="center"/>
              <w:rPr/>
            </w:pPr>
            <w:r>
              <w:rPr/>
              <w:t>$1 to $50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1101" w:type="dxa"/>
            <w:tcBorders/>
            <w:shd w:fill="E5E5E5" w:val="clear"/>
            <w:vAlign w:val="center"/>
          </w:tcPr>
          <w:p>
            <w:pPr>
              <w:pStyle w:val="TableContents"/>
              <w:bidi w:val="0"/>
              <w:spacing w:before="0" w:after="283"/>
              <w:jc w:val="left"/>
              <w:rPr/>
            </w:pPr>
            <w:r>
              <w:rPr/>
              <w:t>&gt;$50</w:t>
            </w:r>
          </w:p>
        </w:tc>
        <w:tc>
          <w:tcPr>
            <w:tcW w:w="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380" w:type="dxa"/>
            <w:tcBorders/>
            <w:shd w:fill="E5E5E5" w:val="clear"/>
            <w:vAlign w:val="center"/>
          </w:tcPr>
          <w:p>
            <w:pPr>
              <w:pStyle w:val="TableContents"/>
              <w:bidi w:val="0"/>
              <w:spacing w:before="0" w:after="283"/>
              <w:jc w:val="right"/>
              <w:rPr/>
            </w:pPr>
            <w:r>
              <w:rPr/>
              <w:t>5</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 </w:t>
            </w:r>
          </w:p>
        </w:tc>
        <w:tc>
          <w:tcPr>
            <w:tcW w:w="9913" w:type="dxa"/>
            <w:tcBorders/>
            <w:vAlign w:val="center"/>
          </w:tcPr>
          <w:p>
            <w:pPr>
              <w:pStyle w:val="TableContents"/>
              <w:bidi w:val="0"/>
              <w:spacing w:before="0" w:after="0"/>
              <w:jc w:val="left"/>
              <w:rPr>
                <w:rFonts w:ascii="arial" w:hAnsi="arial"/>
                <w:sz w:val="18"/>
              </w:rPr>
            </w:pPr>
            <w:r>
              <w:rPr>
                <w:rFonts w:ascii="arial" w:hAnsi="arial"/>
                <w:sz w:val="18"/>
              </w:rPr>
              <w:t xml:space="preserve">See </w:t>
            </w:r>
            <w:r>
              <w:rPr>
                <w:rFonts w:ascii="arial" w:hAnsi="arial"/>
                <w:sz w:val="18"/>
                <w:u w:val="single"/>
              </w:rPr>
              <w:t>Appendix B</w:t>
            </w:r>
            <w:r>
              <w:rPr>
                <w:rFonts w:ascii="arial" w:hAnsi="arial"/>
                <w:sz w:val="18"/>
              </w:rPr>
              <w:t xml:space="preserve"> for additional information on Adjusted EBITDA and Free Cash Flow, including a non-GAAP to GAAP reconciliation and the adjustment to Free Cash Flow to remove the effect of the November 2024 debt refinancing described above. </w:t>
            </w:r>
          </w:p>
        </w:tc>
      </w:tr>
    </w:tbl>
    <w:p>
      <w:pPr>
        <w:pStyle w:val="TextBody"/>
        <w:bidi w:val="0"/>
        <w:spacing w:before="240" w:after="0"/>
        <w:jc w:val="left"/>
        <w:rPr>
          <w:rFonts w:ascii="arial" w:hAnsi="arial"/>
          <w:sz w:val="22"/>
        </w:rPr>
      </w:pPr>
      <w:r>
        <w:rPr>
          <w:rFonts w:ascii="arial" w:hAnsi="arial"/>
          <w:sz w:val="22"/>
        </w:rPr>
        <w:t xml:space="preserve">Based on this review, the Compensation Committee determined that formulaic performance under the 2024 EIP would have resulted in a payout equal to 117%; however, the Compensation Committee took into account Sabre’s overall business performance in 2024 and reduced the 2025 EIP payout for each of the named executive officers, other than Messrs. DiFonzo and Mendis, to 110%. </w:t>
      </w:r>
    </w:p>
    <w:p>
      <w:pPr>
        <w:pStyle w:val="TextBody"/>
        <w:bidi w:val="0"/>
        <w:spacing w:before="240" w:after="0"/>
        <w:jc w:val="left"/>
        <w:rPr>
          <w:rFonts w:ascii="arial" w:hAnsi="arial"/>
          <w:sz w:val="22"/>
        </w:rPr>
      </w:pPr>
      <w:r>
        <w:rPr>
          <w:rFonts w:ascii="arial" w:hAnsi="arial"/>
          <w:sz w:val="22"/>
        </w:rPr>
        <w:t xml:space="preserve">After considering this set payout, the Compensation Committee approved annual cash incentive payouts as follows: </w:t>
      </w:r>
    </w:p>
    <w:p>
      <w:pPr>
        <w:pStyle w:val="TextBody"/>
        <w:bidi w:val="0"/>
        <w:spacing w:before="0" w:after="0"/>
        <w:jc w:val="left"/>
        <w:rPr/>
      </w:pPr>
      <w:r>
        <w:rPr/>
        <w:t> </w:t>
      </w:r>
    </w:p>
    <w:tbl>
      <w:tblPr>
        <w:tblW w:w="8045" w:type="dxa"/>
        <w:jc w:val="left"/>
        <w:tblInd w:w="0" w:type="dxa"/>
        <w:tblLayout w:type="fixed"/>
        <w:tblCellMar>
          <w:top w:w="0" w:type="dxa"/>
          <w:left w:w="0" w:type="dxa"/>
          <w:bottom w:w="0" w:type="dxa"/>
          <w:right w:w="0" w:type="dxa"/>
        </w:tblCellMar>
      </w:tblPr>
      <w:tblGrid>
        <w:gridCol w:w="2405"/>
        <w:gridCol w:w="60"/>
        <w:gridCol w:w="60"/>
        <w:gridCol w:w="60"/>
        <w:gridCol w:w="1520"/>
        <w:gridCol w:w="60"/>
        <w:gridCol w:w="60"/>
        <w:gridCol w:w="60"/>
        <w:gridCol w:w="60"/>
        <w:gridCol w:w="1520"/>
        <w:gridCol w:w="60"/>
        <w:gridCol w:w="60"/>
        <w:gridCol w:w="2060"/>
      </w:tblGrid>
      <w:tr>
        <w:trPr/>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2405" w:type="dxa"/>
            <w:tcBorders/>
            <w:shd w:fill="666666" w:val="clear"/>
            <w:vAlign w:val="center"/>
          </w:tcPr>
          <w:p>
            <w:pPr>
              <w:pStyle w:val="TableContents"/>
              <w:bidi w:val="0"/>
              <w:spacing w:before="0" w:after="283"/>
              <w:jc w:val="left"/>
              <w:rPr>
                <w:sz w:val="4"/>
                <w:szCs w:val="4"/>
              </w:rPr>
            </w:pPr>
            <w:r>
              <w:rPr>
                <w:sz w:val="4"/>
                <w:szCs w:val="4"/>
              </w:rPr>
            </w:r>
          </w:p>
        </w:tc>
        <w:tc>
          <w:tcPr>
            <w:tcW w:w="176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76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120" w:type="dxa"/>
            <w:gridSpan w:val="2"/>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2405" w:type="dxa"/>
            <w:tcBorders/>
            <w:shd w:fill="666666"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Named Executive Officer(1)</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70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2024</w:t>
              <w:br/>
              <w:t>Cash Incentive</w:t>
              <w:br/>
              <w:t>Target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70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2024</w:t>
              <w:br/>
              <w:t>Cash Incentive</w:t>
              <w:br/>
              <w:t>Payment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206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2024 Cash</w:t>
              <w:br/>
              <w:t>Incentive Payment as a </w:t>
              <w:br/>
              <w:t>Percentage of Cash</w:t>
              <w:br/>
              <w:t>Incentive Target</w:t>
            </w:r>
          </w:p>
          <w:p>
            <w:pPr>
              <w:pStyle w:val="TableContents"/>
              <w:bidi w:val="0"/>
              <w:spacing w:before="0" w:after="20"/>
              <w:jc w:val="left"/>
              <w:rPr/>
            </w:pPr>
            <w:r>
              <w:rPr/>
              <w:t> </w:t>
            </w:r>
          </w:p>
        </w:tc>
      </w:tr>
      <w:tr>
        <w:trPr/>
        <w:tc>
          <w:tcPr>
            <w:tcW w:w="2405" w:type="dxa"/>
            <w:tcBorders/>
            <w:shd w:fill="E5E5E5" w:val="clear"/>
            <w:vAlign w:val="center"/>
          </w:tcPr>
          <w:p>
            <w:pPr>
              <w:pStyle w:val="TableContents"/>
              <w:bidi w:val="0"/>
              <w:spacing w:before="0" w:after="0"/>
              <w:jc w:val="left"/>
              <w:rPr>
                <w:rFonts w:ascii="arial" w:hAnsi="arial"/>
                <w:sz w:val="20"/>
              </w:rPr>
            </w:pPr>
            <w:r>
              <w:rPr>
                <w:rFonts w:ascii="arial" w:hAnsi="arial"/>
                <w:sz w:val="20"/>
              </w:rPr>
              <w:t>Kurt Ekert</w:t>
            </w:r>
          </w:p>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jc w:val="left"/>
              <w:rPr/>
            </w:pPr>
            <w:r>
              <w:rPr/>
              <w:t> </w:t>
            </w:r>
          </w:p>
          <w:p>
            <w:pPr>
              <w:pStyle w:val="TableContents"/>
              <w:bidi w:val="0"/>
              <w:spacing w:before="0" w:after="20"/>
              <w:jc w:val="left"/>
              <w:rPr/>
            </w:pPr>
            <w:r>
              <w:rPr/>
              <w:t> </w:t>
            </w:r>
          </w:p>
        </w:tc>
        <w:tc>
          <w:tcPr>
            <w:tcW w:w="1520" w:type="dxa"/>
            <w:tcBorders/>
            <w:shd w:fill="E5E5E5" w:val="clear"/>
            <w:vAlign w:val="center"/>
          </w:tcPr>
          <w:p>
            <w:pPr>
              <w:pStyle w:val="TableContents"/>
              <w:bidi w:val="0"/>
              <w:jc w:val="right"/>
              <w:rPr/>
            </w:pPr>
            <w:r>
              <w:rPr/>
              <w:t>   </w:t>
            </w:r>
            <w:r>
              <w:rPr/>
              <w:t>$1,350,000   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jc w:val="left"/>
              <w:rPr/>
            </w:pPr>
            <w:r>
              <w:rPr/>
              <w:t> </w:t>
            </w:r>
          </w:p>
          <w:p>
            <w:pPr>
              <w:pStyle w:val="TableContents"/>
              <w:bidi w:val="0"/>
              <w:spacing w:before="0" w:after="20"/>
              <w:jc w:val="left"/>
              <w:rPr/>
            </w:pPr>
            <w:r>
              <w:rPr/>
              <w:t> </w:t>
            </w:r>
          </w:p>
        </w:tc>
        <w:tc>
          <w:tcPr>
            <w:tcW w:w="1520" w:type="dxa"/>
            <w:tcBorders/>
            <w:shd w:fill="E5E5E5" w:val="clear"/>
            <w:vAlign w:val="center"/>
          </w:tcPr>
          <w:p>
            <w:pPr>
              <w:pStyle w:val="TableContents"/>
              <w:bidi w:val="0"/>
              <w:jc w:val="right"/>
              <w:rPr/>
            </w:pPr>
            <w:r>
              <w:rPr/>
              <w:t>   </w:t>
            </w:r>
            <w:r>
              <w:rPr/>
              <w:t>$1,485,000   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60" w:type="dxa"/>
            <w:tcBorders/>
            <w:shd w:fill="E5E5E5" w:val="clear"/>
            <w:vAlign w:val="center"/>
          </w:tcPr>
          <w:p>
            <w:pPr>
              <w:pStyle w:val="TableContents"/>
              <w:bidi w:val="0"/>
              <w:spacing w:before="0" w:after="0"/>
              <w:jc w:val="center"/>
              <w:rPr/>
            </w:pPr>
            <w:r>
              <w:rPr/>
              <w:t>   </w:t>
            </w:r>
            <w:r>
              <w:rPr>
                <w:rFonts w:ascii="arial" w:hAnsi="arial"/>
                <w:sz w:val="20"/>
              </w:rPr>
              <w:t>110%   </w:t>
            </w:r>
          </w:p>
          <w:p>
            <w:pPr>
              <w:pStyle w:val="TableContents"/>
              <w:bidi w:val="0"/>
              <w:spacing w:before="0" w:after="20"/>
              <w:jc w:val="left"/>
              <w:rPr/>
            </w:pPr>
            <w:r>
              <w:rPr/>
              <w:t> </w:t>
            </w:r>
          </w:p>
        </w:tc>
      </w:tr>
      <w:tr>
        <w:trPr/>
        <w:tc>
          <w:tcPr>
            <w:tcW w:w="2405" w:type="dxa"/>
            <w:tcBorders/>
            <w:vAlign w:val="center"/>
          </w:tcPr>
          <w:p>
            <w:pPr>
              <w:pStyle w:val="TableContents"/>
              <w:bidi w:val="0"/>
              <w:spacing w:before="0" w:after="0"/>
              <w:jc w:val="left"/>
              <w:rPr>
                <w:rFonts w:ascii="arial" w:hAnsi="arial"/>
                <w:sz w:val="20"/>
              </w:rPr>
            </w:pPr>
            <w:r>
              <w:rPr>
                <w:rFonts w:ascii="arial" w:hAnsi="arial"/>
                <w:sz w:val="20"/>
              </w:rPr>
              <w:t>Michael Randolfi</w:t>
            </w:r>
          </w:p>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520" w:type="dxa"/>
            <w:tcBorders/>
            <w:vAlign w:val="center"/>
          </w:tcPr>
          <w:p>
            <w:pPr>
              <w:pStyle w:val="TableContents"/>
              <w:bidi w:val="0"/>
              <w:jc w:val="right"/>
              <w:rPr/>
            </w:pPr>
            <w:r>
              <w:rPr/>
              <w:t>   </w:t>
            </w:r>
            <w:r>
              <w:rPr/>
              <w:t>$590,882   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520" w:type="dxa"/>
            <w:tcBorders/>
            <w:vAlign w:val="center"/>
          </w:tcPr>
          <w:p>
            <w:pPr>
              <w:pStyle w:val="TableContents"/>
              <w:bidi w:val="0"/>
              <w:jc w:val="right"/>
              <w:rPr/>
            </w:pPr>
            <w:r>
              <w:rPr/>
              <w:t>   </w:t>
            </w:r>
            <w:r>
              <w:rPr/>
              <w:t>$649,970   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center"/>
              <w:rPr/>
            </w:pPr>
            <w:r>
              <w:rPr/>
              <w:t>   </w:t>
            </w:r>
            <w:r>
              <w:rPr>
                <w:rFonts w:ascii="arial" w:hAnsi="arial"/>
                <w:sz w:val="20"/>
              </w:rPr>
              <w:t>110%   </w:t>
            </w:r>
          </w:p>
          <w:p>
            <w:pPr>
              <w:pStyle w:val="TableContents"/>
              <w:bidi w:val="0"/>
              <w:spacing w:before="0" w:after="20"/>
              <w:jc w:val="left"/>
              <w:rPr/>
            </w:pPr>
            <w:r>
              <w:rPr/>
              <w:t> </w:t>
            </w:r>
          </w:p>
        </w:tc>
      </w:tr>
      <w:tr>
        <w:trPr/>
        <w:tc>
          <w:tcPr>
            <w:tcW w:w="2405" w:type="dxa"/>
            <w:tcBorders/>
            <w:shd w:fill="E5E5E5" w:val="clear"/>
            <w:vAlign w:val="center"/>
          </w:tcPr>
          <w:p>
            <w:pPr>
              <w:pStyle w:val="TableContents"/>
              <w:bidi w:val="0"/>
              <w:spacing w:before="0" w:after="0"/>
              <w:jc w:val="left"/>
              <w:rPr>
                <w:rFonts w:ascii="arial" w:hAnsi="arial"/>
                <w:sz w:val="20"/>
              </w:rPr>
            </w:pPr>
            <w:r>
              <w:rPr>
                <w:rFonts w:ascii="arial" w:hAnsi="arial"/>
                <w:sz w:val="20"/>
              </w:rPr>
              <w:t>Joe DiFonzo</w:t>
            </w:r>
          </w:p>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jc w:val="left"/>
              <w:rPr/>
            </w:pPr>
            <w:r>
              <w:rPr/>
              <w:t> </w:t>
            </w:r>
          </w:p>
          <w:p>
            <w:pPr>
              <w:pStyle w:val="TableContents"/>
              <w:bidi w:val="0"/>
              <w:spacing w:before="0" w:after="20"/>
              <w:jc w:val="left"/>
              <w:rPr/>
            </w:pPr>
            <w:r>
              <w:rPr/>
              <w:t> </w:t>
            </w:r>
          </w:p>
        </w:tc>
        <w:tc>
          <w:tcPr>
            <w:tcW w:w="1520" w:type="dxa"/>
            <w:tcBorders/>
            <w:shd w:fill="E5E5E5" w:val="clear"/>
            <w:vAlign w:val="center"/>
          </w:tcPr>
          <w:p>
            <w:pPr>
              <w:pStyle w:val="TableContents"/>
              <w:bidi w:val="0"/>
              <w:jc w:val="right"/>
              <w:rPr/>
            </w:pPr>
            <w:r>
              <w:rPr/>
              <w:t>   </w:t>
            </w:r>
            <w:r>
              <w:rPr/>
              <w:t>$472,201   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jc w:val="left"/>
              <w:rPr/>
            </w:pPr>
            <w:r>
              <w:rPr/>
              <w:t> </w:t>
            </w:r>
          </w:p>
          <w:p>
            <w:pPr>
              <w:pStyle w:val="TableContents"/>
              <w:bidi w:val="0"/>
              <w:spacing w:before="0" w:after="20"/>
              <w:jc w:val="left"/>
              <w:rPr/>
            </w:pPr>
            <w:r>
              <w:rPr/>
              <w:t> </w:t>
            </w:r>
          </w:p>
        </w:tc>
        <w:tc>
          <w:tcPr>
            <w:tcW w:w="1520" w:type="dxa"/>
            <w:tcBorders/>
            <w:shd w:fill="E5E5E5" w:val="clear"/>
            <w:vAlign w:val="center"/>
          </w:tcPr>
          <w:p>
            <w:pPr>
              <w:pStyle w:val="TableContents"/>
              <w:bidi w:val="0"/>
              <w:jc w:val="right"/>
              <w:rPr/>
            </w:pPr>
            <w:r>
              <w:rPr/>
              <w:t>   </w:t>
            </w:r>
            <w:r>
              <w:rPr/>
              <w:t>$552,474   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60" w:type="dxa"/>
            <w:tcBorders/>
            <w:shd w:fill="E5E5E5" w:val="clear"/>
            <w:vAlign w:val="center"/>
          </w:tcPr>
          <w:p>
            <w:pPr>
              <w:pStyle w:val="TableContents"/>
              <w:bidi w:val="0"/>
              <w:spacing w:before="0" w:after="0"/>
              <w:jc w:val="center"/>
              <w:rPr/>
            </w:pPr>
            <w:r>
              <w:rPr/>
              <w:t>   </w:t>
            </w:r>
            <w:r>
              <w:rPr>
                <w:rFonts w:ascii="arial" w:hAnsi="arial"/>
                <w:sz w:val="20"/>
              </w:rPr>
              <w:t>117%   </w:t>
            </w:r>
          </w:p>
          <w:p>
            <w:pPr>
              <w:pStyle w:val="TableContents"/>
              <w:bidi w:val="0"/>
              <w:spacing w:before="0" w:after="20"/>
              <w:jc w:val="left"/>
              <w:rPr/>
            </w:pPr>
            <w:r>
              <w:rPr/>
              <w:t> </w:t>
            </w:r>
          </w:p>
        </w:tc>
      </w:tr>
      <w:tr>
        <w:trPr/>
        <w:tc>
          <w:tcPr>
            <w:tcW w:w="2405" w:type="dxa"/>
            <w:tcBorders/>
            <w:vAlign w:val="center"/>
          </w:tcPr>
          <w:p>
            <w:pPr>
              <w:pStyle w:val="TableContents"/>
              <w:bidi w:val="0"/>
              <w:spacing w:before="0" w:after="0"/>
              <w:jc w:val="left"/>
              <w:rPr>
                <w:rFonts w:ascii="arial" w:hAnsi="arial"/>
                <w:sz w:val="20"/>
              </w:rPr>
            </w:pPr>
            <w:r>
              <w:rPr>
                <w:rFonts w:ascii="arial" w:hAnsi="arial"/>
                <w:sz w:val="20"/>
              </w:rPr>
              <w:t>Roshan Mendis</w:t>
            </w:r>
          </w:p>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520" w:type="dxa"/>
            <w:tcBorders/>
            <w:vAlign w:val="center"/>
          </w:tcPr>
          <w:p>
            <w:pPr>
              <w:pStyle w:val="TableContents"/>
              <w:bidi w:val="0"/>
              <w:jc w:val="right"/>
              <w:rPr/>
            </w:pPr>
            <w:r>
              <w:rPr/>
              <w:t>   </w:t>
            </w:r>
            <w:r>
              <w:rPr/>
              <w:t>$513,674   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520" w:type="dxa"/>
            <w:tcBorders/>
            <w:vAlign w:val="center"/>
          </w:tcPr>
          <w:p>
            <w:pPr>
              <w:pStyle w:val="TableContents"/>
              <w:bidi w:val="0"/>
              <w:jc w:val="right"/>
              <w:rPr/>
            </w:pPr>
            <w:r>
              <w:rPr/>
              <w:t>   </w:t>
            </w:r>
            <w:r>
              <w:rPr/>
              <w:t>$600,997   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center"/>
              <w:rPr/>
            </w:pPr>
            <w:r>
              <w:rPr/>
              <w:t>   </w:t>
            </w:r>
            <w:r>
              <w:rPr>
                <w:rFonts w:ascii="arial" w:hAnsi="arial"/>
                <w:sz w:val="20"/>
              </w:rPr>
              <w:t>117%   </w:t>
            </w:r>
          </w:p>
          <w:p>
            <w:pPr>
              <w:pStyle w:val="TableContents"/>
              <w:bidi w:val="0"/>
              <w:spacing w:before="0" w:after="20"/>
              <w:jc w:val="left"/>
              <w:rPr/>
            </w:pPr>
            <w:r>
              <w:rPr/>
              <w:t> </w:t>
            </w:r>
          </w:p>
        </w:tc>
      </w:tr>
      <w:tr>
        <w:trPr/>
        <w:tc>
          <w:tcPr>
            <w:tcW w:w="2405" w:type="dxa"/>
            <w:tcBorders/>
            <w:shd w:fill="E5E5E5" w:val="clear"/>
            <w:vAlign w:val="center"/>
          </w:tcPr>
          <w:p>
            <w:pPr>
              <w:pStyle w:val="TableContents"/>
              <w:bidi w:val="0"/>
              <w:spacing w:before="0" w:after="0"/>
              <w:jc w:val="left"/>
              <w:rPr>
                <w:rFonts w:ascii="arial" w:hAnsi="arial"/>
                <w:sz w:val="20"/>
              </w:rPr>
            </w:pPr>
            <w:r>
              <w:rPr>
                <w:rFonts w:ascii="arial" w:hAnsi="arial"/>
                <w:sz w:val="20"/>
              </w:rPr>
              <w:t>Garry Wiseman</w:t>
            </w:r>
          </w:p>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jc w:val="left"/>
              <w:rPr/>
            </w:pPr>
            <w:r>
              <w:rPr/>
              <w:t> </w:t>
            </w:r>
          </w:p>
          <w:p>
            <w:pPr>
              <w:pStyle w:val="TableContents"/>
              <w:bidi w:val="0"/>
              <w:spacing w:before="0" w:after="20"/>
              <w:jc w:val="left"/>
              <w:rPr/>
            </w:pPr>
            <w:r>
              <w:rPr/>
              <w:t> </w:t>
            </w:r>
          </w:p>
        </w:tc>
        <w:tc>
          <w:tcPr>
            <w:tcW w:w="1520" w:type="dxa"/>
            <w:tcBorders/>
            <w:shd w:fill="E5E5E5" w:val="clear"/>
            <w:vAlign w:val="center"/>
          </w:tcPr>
          <w:p>
            <w:pPr>
              <w:pStyle w:val="TableContents"/>
              <w:bidi w:val="0"/>
              <w:jc w:val="right"/>
              <w:rPr/>
            </w:pPr>
            <w:r>
              <w:rPr/>
              <w:t>   </w:t>
            </w:r>
            <w:r>
              <w:rPr/>
              <w:t>$515,128   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jc w:val="left"/>
              <w:rPr/>
            </w:pPr>
            <w:r>
              <w:rPr/>
              <w:t> </w:t>
            </w:r>
          </w:p>
          <w:p>
            <w:pPr>
              <w:pStyle w:val="TableContents"/>
              <w:bidi w:val="0"/>
              <w:spacing w:before="0" w:after="20"/>
              <w:jc w:val="left"/>
              <w:rPr/>
            </w:pPr>
            <w:r>
              <w:rPr/>
              <w:t> </w:t>
            </w:r>
          </w:p>
        </w:tc>
        <w:tc>
          <w:tcPr>
            <w:tcW w:w="1520" w:type="dxa"/>
            <w:tcBorders/>
            <w:shd w:fill="E5E5E5" w:val="clear"/>
            <w:vAlign w:val="center"/>
          </w:tcPr>
          <w:p>
            <w:pPr>
              <w:pStyle w:val="TableContents"/>
              <w:bidi w:val="0"/>
              <w:jc w:val="right"/>
              <w:rPr/>
            </w:pPr>
            <w:r>
              <w:rPr/>
              <w:t>   </w:t>
            </w:r>
            <w:r>
              <w:rPr/>
              <w:t>$566,641   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060" w:type="dxa"/>
            <w:tcBorders/>
            <w:shd w:fill="E5E5E5" w:val="clear"/>
            <w:vAlign w:val="center"/>
          </w:tcPr>
          <w:p>
            <w:pPr>
              <w:pStyle w:val="TableContents"/>
              <w:bidi w:val="0"/>
              <w:spacing w:before="0" w:after="0"/>
              <w:jc w:val="center"/>
              <w:rPr/>
            </w:pPr>
            <w:r>
              <w:rPr/>
              <w:t>   </w:t>
            </w:r>
            <w:r>
              <w:rPr>
                <w:rFonts w:ascii="arial" w:hAnsi="arial"/>
                <w:sz w:val="20"/>
              </w:rPr>
              <w:t>110%   </w:t>
            </w:r>
          </w:p>
          <w:p>
            <w:pPr>
              <w:pStyle w:val="TableContents"/>
              <w:bidi w:val="0"/>
              <w:spacing w:before="0" w:after="20"/>
              <w:jc w:val="left"/>
              <w:rPr/>
            </w:pPr>
            <w:r>
              <w:rPr/>
              <w:t> </w:t>
            </w:r>
          </w:p>
        </w:tc>
      </w:tr>
      <w:tr>
        <w:trPr/>
        <w:tc>
          <w:tcPr>
            <w:tcW w:w="2405" w:type="dxa"/>
            <w:tcBorders/>
            <w:vAlign w:val="center"/>
          </w:tcPr>
          <w:p>
            <w:pPr>
              <w:pStyle w:val="TableContents"/>
              <w:bidi w:val="0"/>
              <w:spacing w:before="0" w:after="0"/>
              <w:jc w:val="left"/>
              <w:rPr>
                <w:rFonts w:ascii="arial" w:hAnsi="arial"/>
                <w:sz w:val="20"/>
              </w:rPr>
            </w:pPr>
            <w:r>
              <w:rPr>
                <w:rFonts w:ascii="arial" w:hAnsi="arial"/>
                <w:sz w:val="20"/>
              </w:rPr>
              <w:t>Ann Bruder</w:t>
            </w:r>
          </w:p>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520" w:type="dxa"/>
            <w:tcBorders/>
            <w:vAlign w:val="center"/>
          </w:tcPr>
          <w:p>
            <w:pPr>
              <w:pStyle w:val="TableContents"/>
              <w:bidi w:val="0"/>
              <w:jc w:val="right"/>
              <w:rPr/>
            </w:pPr>
            <w:r>
              <w:rPr/>
              <w:t>   </w:t>
            </w:r>
            <w:r>
              <w:rPr/>
              <w:t>$515,128   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520" w:type="dxa"/>
            <w:tcBorders/>
            <w:vAlign w:val="center"/>
          </w:tcPr>
          <w:p>
            <w:pPr>
              <w:pStyle w:val="TableContents"/>
              <w:bidi w:val="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r>
    </w:tbl>
    <w:p>
      <w:pPr>
        <w:pStyle w:val="TextBody"/>
        <w:pBdr>
          <w:bottom w:val="single" w:sz="2" w:space="1" w:color="000000"/>
        </w:pBdr>
        <w:bidi w:val="0"/>
        <w:spacing w:lineRule="atLeast" w:line="160" w:before="0" w:after="40"/>
        <w:jc w:val="left"/>
        <w:rPr/>
      </w:pPr>
      <w:r>
        <w:rPr/>
        <w:t> </w:t>
      </w:r>
    </w:p>
    <w:tbl>
      <w:tblPr>
        <w:tblW w:w="8020" w:type="dxa"/>
        <w:jc w:val="left"/>
        <w:tblInd w:w="0" w:type="dxa"/>
        <w:tblLayout w:type="fixed"/>
        <w:tblCellMar>
          <w:top w:w="0" w:type="dxa"/>
          <w:left w:w="0" w:type="dxa"/>
          <w:bottom w:w="0" w:type="dxa"/>
          <w:right w:w="0" w:type="dxa"/>
        </w:tblCellMar>
      </w:tblPr>
      <w:tblGrid>
        <w:gridCol w:w="305"/>
        <w:gridCol w:w="7715"/>
      </w:tblGrid>
      <w:tr>
        <w:trPr/>
        <w:tc>
          <w:tcPr>
            <w:tcW w:w="305" w:type="dxa"/>
            <w:tcBorders/>
            <w:vAlign w:val="center"/>
          </w:tcPr>
          <w:p>
            <w:pPr>
              <w:pStyle w:val="TableContents"/>
              <w:bidi w:val="0"/>
              <w:spacing w:before="0" w:after="283"/>
              <w:jc w:val="left"/>
              <w:rPr/>
            </w:pPr>
            <w:r>
              <w:rPr/>
              <w:t>(1)</w:t>
            </w:r>
          </w:p>
        </w:tc>
        <w:tc>
          <w:tcPr>
            <w:tcW w:w="7715" w:type="dxa"/>
            <w:tcBorders/>
            <w:vAlign w:val="center"/>
          </w:tcPr>
          <w:p>
            <w:pPr>
              <w:pStyle w:val="TableContents"/>
              <w:bidi w:val="0"/>
              <w:spacing w:before="0" w:after="0"/>
              <w:jc w:val="left"/>
              <w:rPr>
                <w:rFonts w:ascii="arial" w:hAnsi="arial"/>
                <w:sz w:val="18"/>
              </w:rPr>
            </w:pPr>
            <w:r>
              <w:rPr>
                <w:rFonts w:ascii="arial" w:hAnsi="arial"/>
                <w:sz w:val="18"/>
              </w:rPr>
              <w:t xml:space="preserve">Ms. Bruder was not paid a 2024 annual cash incentive as a result of her departure from Sabre. </w:t>
            </w:r>
          </w:p>
        </w:tc>
      </w:tr>
    </w:tbl>
    <w:p>
      <w:pPr>
        <w:pStyle w:val="TextBody"/>
        <w:bidi w:val="0"/>
        <w:spacing w:before="0" w:after="0"/>
        <w:jc w:val="left"/>
        <w:rPr/>
      </w:pPr>
      <w:r>
        <w:rPr/>
        <w:t> </w:t>
      </w:r>
    </w:p>
    <w:tbl>
      <w:tblPr>
        <w:tblW w:w="6545"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1"/>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1" w:type="dxa"/>
            <w:tcBorders/>
            <w:vAlign w:val="center"/>
          </w:tcPr>
          <w:p>
            <w:pPr>
              <w:pStyle w:val="TableContents"/>
              <w:bidi w:val="0"/>
              <w:spacing w:before="0" w:after="283"/>
              <w:jc w:val="right"/>
              <w:rPr>
                <w:color w:val="CF0A2C"/>
              </w:rPr>
            </w:pPr>
            <w:r>
              <w:rPr>
                <w:color w:val="CF0A2C"/>
              </w:rPr>
              <w:drawing>
                <wp:inline distT="0" distB="0" distL="0" distR="0">
                  <wp:extent cx="505460" cy="12255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505460"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In addition to the cash incentive payout described above, the Compensation Committee approved a cash payment to Mr. DiFonzo in the amount of 8% of his 2024 EIP, or $37,777, to recognize his significant role in the accomplishment of Sabre’s technology transformation objectives. In addition, the Compensation Committee approved a cash payment to Mr. Mendis in the amount of 8% of his 2024 EIP, or $41,095, in light of his significant role in the successful completion of key customer agreements and accomplishment of key growth strategies in 2024 related to the Travel Solutions business. </w:t>
      </w:r>
    </w:p>
    <w:p>
      <w:pPr>
        <w:pStyle w:val="TextBody"/>
        <w:bidi w:val="0"/>
        <w:spacing w:before="240" w:after="0"/>
        <w:jc w:val="left"/>
        <w:rPr>
          <w:rFonts w:ascii="arial" w:hAnsi="arial"/>
          <w:sz w:val="22"/>
        </w:rPr>
      </w:pPr>
      <w:r>
        <w:rPr>
          <w:rFonts w:ascii="arial" w:hAnsi="arial"/>
          <w:sz w:val="22"/>
        </w:rPr>
        <w:t xml:space="preserve">The cash incentives paid to our named executive officers for 2024 are included in the “2024 Summary Compensation Table” below. </w:t>
      </w:r>
    </w:p>
    <w:p>
      <w:pPr>
        <w:pStyle w:val="TextBody"/>
        <w:bidi w:val="0"/>
        <w:spacing w:before="360" w:after="0"/>
        <w:jc w:val="left"/>
        <w:rPr>
          <w:rFonts w:ascii="arial" w:hAnsi="arial"/>
          <w:i/>
          <w:sz w:val="22"/>
        </w:rPr>
      </w:pPr>
      <w:r>
        <w:rPr>
          <w:rFonts w:ascii="arial" w:hAnsi="arial"/>
          <w:i/>
          <w:sz w:val="22"/>
        </w:rPr>
        <w:t xml:space="preserve">Long-Term Incentive Compensation </w:t>
      </w:r>
    </w:p>
    <w:p>
      <w:pPr>
        <w:pStyle w:val="TextBody"/>
        <w:bidi w:val="0"/>
        <w:spacing w:before="120" w:after="0"/>
        <w:jc w:val="left"/>
        <w:rPr>
          <w:rFonts w:ascii="arial" w:hAnsi="arial"/>
          <w:sz w:val="22"/>
        </w:rPr>
      </w:pPr>
      <w:r>
        <w:rPr>
          <w:rFonts w:ascii="arial" w:hAnsi="arial"/>
          <w:sz w:val="22"/>
        </w:rPr>
        <w:t xml:space="preserve">We have used long-term incentive compensation in the form of equity awards as the principal element of our executive compensation program to help align the financial interests of our executive officers, including our named executive officers, with those of our stockholders. We also have sought to retain top executive talent and drive long-term stockholder value creation through the use of equity-based long-term incentive compensation. </w:t>
      </w:r>
    </w:p>
    <w:p>
      <w:pPr>
        <w:pStyle w:val="TextBody"/>
        <w:bidi w:val="0"/>
        <w:spacing w:before="240" w:after="0"/>
        <w:jc w:val="left"/>
        <w:rPr>
          <w:rFonts w:ascii="arial" w:hAnsi="arial"/>
          <w:sz w:val="22"/>
        </w:rPr>
      </w:pPr>
      <w:r>
        <w:rPr>
          <w:rFonts w:ascii="arial" w:hAnsi="arial"/>
          <w:sz w:val="22"/>
        </w:rPr>
        <w:t xml:space="preserve">In determining the value of the long-term incentive compensation opportunities for our executive officers, including our named executive officers, the Compensation Committee considers several factors, including our financial performance, the executive officer’s contribution towards meeting our financial objectives, his or her qualifications, knowledge, experience, tenure, and scope of responsibilities, his or her past performance as against individual goals, his or her future potential, the recommendation of our CEO (with respect to our other executive officers), his or her current equity position (including the value of any unvested equity awards), competitive market data and practices, our desired compensation position with respect to the competitive market, internal equity, and external factors. </w:t>
      </w:r>
    </w:p>
    <w:p>
      <w:pPr>
        <w:pStyle w:val="TextBody"/>
        <w:bidi w:val="0"/>
        <w:spacing w:before="360" w:after="0"/>
        <w:jc w:val="left"/>
        <w:rPr>
          <w:rFonts w:ascii="arial" w:hAnsi="arial"/>
          <w:sz w:val="22"/>
          <w:u w:val="single"/>
        </w:rPr>
      </w:pPr>
      <w:r>
        <w:rPr>
          <w:rFonts w:ascii="arial" w:hAnsi="arial"/>
          <w:sz w:val="22"/>
          <w:u w:val="single"/>
        </w:rPr>
        <w:t xml:space="preserve">2024 Equity Awards </w:t>
      </w:r>
    </w:p>
    <w:p>
      <w:pPr>
        <w:pStyle w:val="TextBody"/>
        <w:bidi w:val="0"/>
        <w:spacing w:before="120" w:after="0"/>
        <w:jc w:val="left"/>
        <w:rPr>
          <w:rFonts w:ascii="arial" w:hAnsi="arial"/>
          <w:sz w:val="22"/>
        </w:rPr>
      </w:pPr>
      <w:r>
        <w:rPr>
          <w:rFonts w:ascii="arial" w:hAnsi="arial"/>
          <w:sz w:val="22"/>
        </w:rPr>
        <w:t xml:space="preserve">The Compensation Committee approved equity awards to our named executive officers, which were granted on May 15, 2024. For 2024, the Compensation Committee set the long-term incentive compensation award value for each named executive officer, with the size of the award value based on analysis of the factors discussed above. This award value for each of the named executive officers was then divided into two separate grants consisting of a PSU award and a RSU award for an equal number of shares of our common stock. </w:t>
      </w:r>
    </w:p>
    <w:p>
      <w:pPr>
        <w:pStyle w:val="TextBody"/>
        <w:bidi w:val="0"/>
        <w:spacing w:before="240" w:after="0"/>
        <w:jc w:val="left"/>
        <w:rPr>
          <w:rFonts w:ascii="arial" w:hAnsi="arial"/>
          <w:sz w:val="22"/>
        </w:rPr>
      </w:pPr>
      <w:r>
        <w:rPr>
          <w:rFonts w:ascii="arial" w:hAnsi="arial"/>
          <w:sz w:val="22"/>
        </w:rPr>
        <w:t xml:space="preserve">The following annual equity awards were granted in May 2024: </w:t>
      </w:r>
    </w:p>
    <w:p>
      <w:pPr>
        <w:pStyle w:val="TextBody"/>
        <w:bidi w:val="0"/>
        <w:spacing w:before="0" w:after="0"/>
        <w:jc w:val="left"/>
        <w:rPr/>
      </w:pPr>
      <w:r>
        <w:rPr/>
        <w:t> </w:t>
      </w:r>
    </w:p>
    <w:tbl>
      <w:tblPr>
        <w:tblW w:w="7760" w:type="dxa"/>
        <w:jc w:val="left"/>
        <w:tblInd w:w="0" w:type="dxa"/>
        <w:tblLayout w:type="fixed"/>
        <w:tblCellMar>
          <w:top w:w="0" w:type="dxa"/>
          <w:left w:w="0" w:type="dxa"/>
          <w:bottom w:w="0" w:type="dxa"/>
          <w:right w:w="0" w:type="dxa"/>
        </w:tblCellMar>
      </w:tblPr>
      <w:tblGrid>
        <w:gridCol w:w="2585"/>
        <w:gridCol w:w="60"/>
        <w:gridCol w:w="60"/>
        <w:gridCol w:w="350"/>
        <w:gridCol w:w="1190"/>
        <w:gridCol w:w="60"/>
        <w:gridCol w:w="60"/>
        <w:gridCol w:w="60"/>
        <w:gridCol w:w="350"/>
        <w:gridCol w:w="1190"/>
        <w:gridCol w:w="60"/>
        <w:gridCol w:w="60"/>
        <w:gridCol w:w="60"/>
        <w:gridCol w:w="350"/>
        <w:gridCol w:w="1190"/>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666666" w:val="clear"/>
            <w:vAlign w:val="center"/>
          </w:tcPr>
          <w:p>
            <w:pPr>
              <w:pStyle w:val="TableContents"/>
              <w:bidi w:val="0"/>
              <w:spacing w:before="0" w:after="283"/>
              <w:jc w:val="left"/>
              <w:rPr>
                <w:b/>
                <w:color w:val="FFFFFF"/>
              </w:rPr>
            </w:pPr>
            <w:r>
              <w:rPr>
                <w:b/>
                <w:color w:val="FFFFFF"/>
              </w:rPr>
              <w:t>Named Executive Officer</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6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2024 Total</w:t>
            </w:r>
          </w:p>
          <w:p>
            <w:pPr>
              <w:pStyle w:val="TableContents"/>
              <w:bidi w:val="0"/>
              <w:spacing w:before="0" w:after="0"/>
              <w:jc w:val="center"/>
              <w:rPr>
                <w:rFonts w:ascii="arial" w:hAnsi="arial"/>
                <w:b/>
                <w:color w:val="FFFFFF"/>
                <w:sz w:val="18"/>
              </w:rPr>
            </w:pPr>
            <w:r>
              <w:rPr>
                <w:rFonts w:ascii="arial" w:hAnsi="arial"/>
                <w:b/>
                <w:color w:val="FFFFFF"/>
                <w:sz w:val="18"/>
              </w:rPr>
              <w:t>Equity</w:t>
            </w:r>
          </w:p>
          <w:p>
            <w:pPr>
              <w:pStyle w:val="TableContents"/>
              <w:bidi w:val="0"/>
              <w:spacing w:before="0" w:after="20"/>
              <w:jc w:val="center"/>
              <w:rPr>
                <w:rFonts w:ascii="arial" w:hAnsi="arial"/>
                <w:b/>
                <w:color w:val="FFFFFF"/>
                <w:sz w:val="18"/>
              </w:rPr>
            </w:pPr>
            <w:r>
              <w:rPr>
                <w:rFonts w:ascii="arial" w:hAnsi="arial"/>
                <w:b/>
                <w:color w:val="FFFFFF"/>
                <w:sz w:val="18"/>
              </w:rPr>
              <w:t>Award Value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6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2024</w:t>
            </w:r>
          </w:p>
          <w:p>
            <w:pPr>
              <w:pStyle w:val="TableContents"/>
              <w:bidi w:val="0"/>
              <w:spacing w:before="0" w:after="20"/>
              <w:jc w:val="center"/>
              <w:rPr>
                <w:rFonts w:ascii="arial" w:hAnsi="arial"/>
                <w:b/>
                <w:color w:val="FFFFFF"/>
                <w:sz w:val="18"/>
              </w:rPr>
            </w:pPr>
            <w:r>
              <w:rPr>
                <w:rFonts w:ascii="arial" w:hAnsi="arial"/>
                <w:b/>
                <w:color w:val="FFFFFF"/>
                <w:sz w:val="18"/>
              </w:rPr>
              <w:t>Amount of PSU</w:t>
              <w:br/>
              <w:t>Award</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75"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2024</w:t>
            </w:r>
          </w:p>
          <w:p>
            <w:pPr>
              <w:pStyle w:val="TableContents"/>
              <w:bidi w:val="0"/>
              <w:spacing w:before="0" w:after="0"/>
              <w:jc w:val="center"/>
              <w:rPr>
                <w:rFonts w:ascii="arial" w:hAnsi="arial"/>
                <w:b/>
                <w:color w:val="FFFFFF"/>
                <w:sz w:val="18"/>
              </w:rPr>
            </w:pPr>
            <w:r>
              <w:rPr>
                <w:rFonts w:ascii="arial" w:hAnsi="arial"/>
                <w:b/>
                <w:color w:val="FFFFFF"/>
                <w:sz w:val="18"/>
              </w:rPr>
              <w:t>Amount of</w:t>
            </w:r>
          </w:p>
          <w:p>
            <w:pPr>
              <w:pStyle w:val="TableContents"/>
              <w:bidi w:val="0"/>
              <w:spacing w:before="0" w:after="0"/>
              <w:jc w:val="center"/>
              <w:rPr>
                <w:rFonts w:ascii="arial" w:hAnsi="arial"/>
                <w:b/>
                <w:color w:val="FFFFFF"/>
                <w:sz w:val="18"/>
              </w:rPr>
            </w:pPr>
            <w:r>
              <w:rPr>
                <w:rFonts w:ascii="arial" w:hAnsi="arial"/>
                <w:b/>
                <w:color w:val="FFFFFF"/>
                <w:sz w:val="18"/>
              </w:rPr>
              <w:t>RSU</w:t>
            </w:r>
          </w:p>
          <w:p>
            <w:pPr>
              <w:pStyle w:val="TableContents"/>
              <w:bidi w:val="0"/>
              <w:spacing w:before="0" w:after="20"/>
              <w:jc w:val="center"/>
              <w:rPr>
                <w:rFonts w:ascii="arial" w:hAnsi="arial"/>
                <w:b/>
                <w:color w:val="FFFFFF"/>
                <w:sz w:val="18"/>
              </w:rPr>
            </w:pPr>
            <w:r>
              <w:rPr>
                <w:rFonts w:ascii="arial" w:hAnsi="arial"/>
                <w:b/>
                <w:color w:val="FFFFFF"/>
                <w:sz w:val="18"/>
              </w:rPr>
              <w:t>Award</w:t>
            </w:r>
          </w:p>
        </w:tc>
      </w:tr>
      <w:tr>
        <w:trPr/>
        <w:tc>
          <w:tcPr>
            <w:tcW w:w="2585" w:type="dxa"/>
            <w:tcBorders/>
            <w:shd w:fill="E5E5E5" w:val="clear"/>
            <w:vAlign w:val="center"/>
          </w:tcPr>
          <w:p>
            <w:pPr>
              <w:pStyle w:val="TableContents"/>
              <w:bidi w:val="0"/>
              <w:spacing w:before="0" w:after="283"/>
              <w:jc w:val="left"/>
              <w:rPr>
                <w:sz w:val="4"/>
                <w:szCs w:val="4"/>
              </w:rPr>
            </w:pPr>
            <w:r>
              <w:rPr>
                <w:sz w:val="4"/>
                <w:szCs w:val="4"/>
              </w:rPr>
            </w:r>
          </w:p>
        </w:tc>
        <w:tc>
          <w:tcPr>
            <w:tcW w:w="17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3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585" w:type="dxa"/>
            <w:tcBorders/>
            <w:shd w:fill="E5E5E5" w:val="clear"/>
            <w:vAlign w:val="center"/>
          </w:tcPr>
          <w:p>
            <w:pPr>
              <w:pStyle w:val="TableContents"/>
              <w:bidi w:val="0"/>
              <w:spacing w:before="0" w:after="0"/>
              <w:jc w:val="left"/>
              <w:rPr>
                <w:rFonts w:ascii="arial" w:hAnsi="arial"/>
                <w:sz w:val="20"/>
              </w:rPr>
            </w:pPr>
            <w:r>
              <w:rPr>
                <w:rFonts w:ascii="arial" w:hAnsi="arial"/>
                <w:sz w:val="20"/>
              </w:rPr>
              <w:t>Kurt Ekert</w:t>
            </w:r>
          </w:p>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50" w:type="dxa"/>
            <w:tcBorders/>
            <w:shd w:fill="E5E5E5" w:val="clear"/>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shd w:fill="E5E5E5" w:val="clear"/>
            <w:vAlign w:val="center"/>
          </w:tcPr>
          <w:p>
            <w:pPr>
              <w:pStyle w:val="TableContents"/>
              <w:bidi w:val="0"/>
              <w:jc w:val="right"/>
              <w:rPr/>
            </w:pPr>
            <w:r>
              <w:rPr/>
              <w:t>6,000,000   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50" w:type="dxa"/>
            <w:tcBorders/>
            <w:shd w:fill="E5E5E5" w:val="clear"/>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shd w:fill="E5E5E5" w:val="clear"/>
            <w:vAlign w:val="center"/>
          </w:tcPr>
          <w:p>
            <w:pPr>
              <w:pStyle w:val="TableContents"/>
              <w:bidi w:val="0"/>
              <w:jc w:val="right"/>
              <w:rPr/>
            </w:pPr>
            <w:r>
              <w:rPr/>
              <w:t>3,000,000   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50" w:type="dxa"/>
            <w:tcBorders/>
            <w:shd w:fill="E5E5E5" w:val="clear"/>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shd w:fill="E5E5E5" w:val="clear"/>
            <w:vAlign w:val="center"/>
          </w:tcPr>
          <w:p>
            <w:pPr>
              <w:pStyle w:val="TableContents"/>
              <w:bidi w:val="0"/>
              <w:jc w:val="right"/>
              <w:rPr/>
            </w:pPr>
            <w:r>
              <w:rPr/>
              <w:t>3,000,000   </w:t>
            </w:r>
          </w:p>
          <w:p>
            <w:pPr>
              <w:pStyle w:val="TableContents"/>
              <w:bidi w:val="0"/>
              <w:spacing w:before="0" w:after="20"/>
              <w:jc w:val="left"/>
              <w:rPr/>
            </w:pPr>
            <w:r>
              <w:rPr/>
              <w:t> </w:t>
            </w:r>
          </w:p>
        </w:tc>
        <w:tc>
          <w:tcPr>
            <w:tcW w:w="75" w:type="dxa"/>
            <w:tcBorders/>
            <w:shd w:fill="E5E5E5" w:val="clear"/>
            <w:vAlign w:val="center"/>
          </w:tcPr>
          <w:p>
            <w:pPr>
              <w:pStyle w:val="TableContents"/>
              <w:bidi w:val="0"/>
              <w:spacing w:before="0" w:after="2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72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2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3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arial" w:hAnsi="arial"/>
                <w:sz w:val="20"/>
              </w:rPr>
            </w:pPr>
            <w:r>
              <w:rPr>
                <w:rFonts w:ascii="arial" w:hAnsi="arial"/>
                <w:sz w:val="20"/>
              </w:rPr>
              <w:t>Michael Randolfi</w:t>
            </w:r>
          </w:p>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vAlign w:val="center"/>
          </w:tcPr>
          <w:p>
            <w:pPr>
              <w:pStyle w:val="TableContents"/>
              <w:bidi w:val="0"/>
              <w:jc w:val="right"/>
              <w:rPr/>
            </w:pPr>
            <w:r>
              <w:rPr/>
              <w:t>2,000,000   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vAlign w:val="center"/>
          </w:tcPr>
          <w:p>
            <w:pPr>
              <w:pStyle w:val="TableContents"/>
              <w:bidi w:val="0"/>
              <w:jc w:val="right"/>
              <w:rPr/>
            </w:pPr>
            <w:r>
              <w:rPr/>
              <w:t>1,000,000   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vAlign w:val="center"/>
          </w:tcPr>
          <w:p>
            <w:pPr>
              <w:pStyle w:val="TableContents"/>
              <w:bidi w:val="0"/>
              <w:jc w:val="right"/>
              <w:rPr/>
            </w:pPr>
            <w:r>
              <w:rPr/>
              <w:t>1,000,000   </w:t>
            </w:r>
          </w:p>
          <w:p>
            <w:pPr>
              <w:pStyle w:val="TableContents"/>
              <w:bidi w:val="0"/>
              <w:spacing w:before="0" w:after="20"/>
              <w:jc w:val="left"/>
              <w:rPr/>
            </w:pPr>
            <w:r>
              <w:rPr/>
              <w:t> </w:t>
            </w:r>
          </w:p>
        </w:tc>
        <w:tc>
          <w:tcPr>
            <w:tcW w:w="75" w:type="dxa"/>
            <w:tcBorders/>
            <w:vAlign w:val="center"/>
          </w:tcPr>
          <w:p>
            <w:pPr>
              <w:pStyle w:val="TableContents"/>
              <w:bidi w:val="0"/>
              <w:spacing w:before="0" w:after="20"/>
              <w:jc w:val="left"/>
              <w:rPr/>
            </w:pPr>
            <w:r>
              <w:rPr/>
              <w:t> </w:t>
            </w:r>
          </w:p>
        </w:tc>
      </w:tr>
      <w:tr>
        <w:trPr/>
        <w:tc>
          <w:tcPr>
            <w:tcW w:w="2585" w:type="dxa"/>
            <w:tcBorders/>
            <w:shd w:fill="E5E5E5" w:val="clear"/>
            <w:vAlign w:val="center"/>
          </w:tcPr>
          <w:p>
            <w:pPr>
              <w:pStyle w:val="TableContents"/>
              <w:bidi w:val="0"/>
              <w:spacing w:before="0" w:after="283"/>
              <w:jc w:val="left"/>
              <w:rPr>
                <w:sz w:val="4"/>
                <w:szCs w:val="4"/>
              </w:rPr>
            </w:pPr>
            <w:r>
              <w:rPr>
                <w:sz w:val="4"/>
                <w:szCs w:val="4"/>
              </w:rPr>
            </w:r>
          </w:p>
        </w:tc>
        <w:tc>
          <w:tcPr>
            <w:tcW w:w="17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3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585" w:type="dxa"/>
            <w:tcBorders/>
            <w:shd w:fill="E5E5E5" w:val="clear"/>
            <w:vAlign w:val="center"/>
          </w:tcPr>
          <w:p>
            <w:pPr>
              <w:pStyle w:val="TableContents"/>
              <w:bidi w:val="0"/>
              <w:spacing w:before="0" w:after="0"/>
              <w:jc w:val="left"/>
              <w:rPr>
                <w:rFonts w:ascii="arial" w:hAnsi="arial"/>
                <w:sz w:val="20"/>
              </w:rPr>
            </w:pPr>
            <w:r>
              <w:rPr>
                <w:rFonts w:ascii="arial" w:hAnsi="arial"/>
                <w:sz w:val="20"/>
              </w:rPr>
              <w:t>Joe DiFonzo</w:t>
            </w:r>
          </w:p>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50" w:type="dxa"/>
            <w:tcBorders/>
            <w:shd w:fill="E5E5E5" w:val="clear"/>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shd w:fill="E5E5E5" w:val="clear"/>
            <w:vAlign w:val="center"/>
          </w:tcPr>
          <w:p>
            <w:pPr>
              <w:pStyle w:val="TableContents"/>
              <w:bidi w:val="0"/>
              <w:jc w:val="right"/>
              <w:rPr/>
            </w:pPr>
            <w:r>
              <w:rPr/>
              <w:t>1,500,000   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50" w:type="dxa"/>
            <w:tcBorders/>
            <w:shd w:fill="E5E5E5" w:val="clear"/>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shd w:fill="E5E5E5" w:val="clear"/>
            <w:vAlign w:val="center"/>
          </w:tcPr>
          <w:p>
            <w:pPr>
              <w:pStyle w:val="TableContents"/>
              <w:bidi w:val="0"/>
              <w:jc w:val="right"/>
              <w:rPr/>
            </w:pPr>
            <w:r>
              <w:rPr/>
              <w:t>750,000   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50" w:type="dxa"/>
            <w:tcBorders/>
            <w:shd w:fill="E5E5E5" w:val="clear"/>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shd w:fill="E5E5E5" w:val="clear"/>
            <w:vAlign w:val="center"/>
          </w:tcPr>
          <w:p>
            <w:pPr>
              <w:pStyle w:val="TableContents"/>
              <w:bidi w:val="0"/>
              <w:jc w:val="right"/>
              <w:rPr/>
            </w:pPr>
            <w:r>
              <w:rPr/>
              <w:t>750,000   </w:t>
            </w:r>
          </w:p>
          <w:p>
            <w:pPr>
              <w:pStyle w:val="TableContents"/>
              <w:bidi w:val="0"/>
              <w:spacing w:before="0" w:after="20"/>
              <w:jc w:val="left"/>
              <w:rPr/>
            </w:pPr>
            <w:r>
              <w:rPr/>
              <w:t> </w:t>
            </w:r>
          </w:p>
        </w:tc>
        <w:tc>
          <w:tcPr>
            <w:tcW w:w="75" w:type="dxa"/>
            <w:tcBorders/>
            <w:shd w:fill="E5E5E5" w:val="clear"/>
            <w:vAlign w:val="center"/>
          </w:tcPr>
          <w:p>
            <w:pPr>
              <w:pStyle w:val="TableContents"/>
              <w:bidi w:val="0"/>
              <w:spacing w:before="0" w:after="2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72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2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3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arial" w:hAnsi="arial"/>
                <w:sz w:val="20"/>
              </w:rPr>
            </w:pPr>
            <w:r>
              <w:rPr>
                <w:rFonts w:ascii="arial" w:hAnsi="arial"/>
                <w:sz w:val="20"/>
              </w:rPr>
              <w:t>Roshan Mendis</w:t>
            </w:r>
          </w:p>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vAlign w:val="center"/>
          </w:tcPr>
          <w:p>
            <w:pPr>
              <w:pStyle w:val="TableContents"/>
              <w:bidi w:val="0"/>
              <w:jc w:val="right"/>
              <w:rPr/>
            </w:pPr>
            <w:r>
              <w:rPr/>
              <w:t>1,500,000   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vAlign w:val="center"/>
          </w:tcPr>
          <w:p>
            <w:pPr>
              <w:pStyle w:val="TableContents"/>
              <w:bidi w:val="0"/>
              <w:jc w:val="right"/>
              <w:rPr/>
            </w:pPr>
            <w:r>
              <w:rPr/>
              <w:t>750,000   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vAlign w:val="center"/>
          </w:tcPr>
          <w:p>
            <w:pPr>
              <w:pStyle w:val="TableContents"/>
              <w:bidi w:val="0"/>
              <w:jc w:val="right"/>
              <w:rPr/>
            </w:pPr>
            <w:r>
              <w:rPr/>
              <w:t>750,000   </w:t>
            </w:r>
          </w:p>
          <w:p>
            <w:pPr>
              <w:pStyle w:val="TableContents"/>
              <w:bidi w:val="0"/>
              <w:spacing w:before="0" w:after="20"/>
              <w:jc w:val="left"/>
              <w:rPr/>
            </w:pPr>
            <w:r>
              <w:rPr/>
              <w:t> </w:t>
            </w:r>
          </w:p>
        </w:tc>
        <w:tc>
          <w:tcPr>
            <w:tcW w:w="75" w:type="dxa"/>
            <w:tcBorders/>
            <w:vAlign w:val="center"/>
          </w:tcPr>
          <w:p>
            <w:pPr>
              <w:pStyle w:val="TableContents"/>
              <w:bidi w:val="0"/>
              <w:spacing w:before="0" w:after="20"/>
              <w:jc w:val="left"/>
              <w:rPr/>
            </w:pPr>
            <w:r>
              <w:rPr/>
              <w:t> </w:t>
            </w:r>
          </w:p>
        </w:tc>
      </w:tr>
      <w:tr>
        <w:trPr/>
        <w:tc>
          <w:tcPr>
            <w:tcW w:w="2585" w:type="dxa"/>
            <w:tcBorders/>
            <w:shd w:fill="E5E5E5" w:val="clear"/>
            <w:vAlign w:val="center"/>
          </w:tcPr>
          <w:p>
            <w:pPr>
              <w:pStyle w:val="TableContents"/>
              <w:bidi w:val="0"/>
              <w:spacing w:before="0" w:after="283"/>
              <w:jc w:val="left"/>
              <w:rPr>
                <w:sz w:val="4"/>
                <w:szCs w:val="4"/>
              </w:rPr>
            </w:pPr>
            <w:r>
              <w:rPr>
                <w:sz w:val="4"/>
                <w:szCs w:val="4"/>
              </w:rPr>
            </w:r>
          </w:p>
        </w:tc>
        <w:tc>
          <w:tcPr>
            <w:tcW w:w="17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2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73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585" w:type="dxa"/>
            <w:tcBorders/>
            <w:shd w:fill="E5E5E5" w:val="clear"/>
            <w:vAlign w:val="center"/>
          </w:tcPr>
          <w:p>
            <w:pPr>
              <w:pStyle w:val="TableContents"/>
              <w:bidi w:val="0"/>
              <w:spacing w:before="0" w:after="0"/>
              <w:jc w:val="left"/>
              <w:rPr>
                <w:rFonts w:ascii="arial" w:hAnsi="arial"/>
                <w:sz w:val="20"/>
              </w:rPr>
            </w:pP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50" w:type="dxa"/>
            <w:tcBorders/>
            <w:shd w:fill="E5E5E5" w:val="clear"/>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shd w:fill="E5E5E5" w:val="clear"/>
            <w:vAlign w:val="center"/>
          </w:tcPr>
          <w:p>
            <w:pPr>
              <w:pStyle w:val="TableContents"/>
              <w:bidi w:val="0"/>
              <w:jc w:val="right"/>
              <w:rPr/>
            </w:pPr>
            <w:r>
              <w:rPr/>
              <w:t>1,500,000   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50" w:type="dxa"/>
            <w:tcBorders/>
            <w:shd w:fill="E5E5E5" w:val="clear"/>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shd w:fill="E5E5E5" w:val="clear"/>
            <w:vAlign w:val="center"/>
          </w:tcPr>
          <w:p>
            <w:pPr>
              <w:pStyle w:val="TableContents"/>
              <w:bidi w:val="0"/>
              <w:jc w:val="right"/>
              <w:rPr/>
            </w:pPr>
            <w:r>
              <w:rPr/>
              <w:t>750,000   </w:t>
            </w:r>
          </w:p>
          <w:p>
            <w:pPr>
              <w:pStyle w:val="TableContents"/>
              <w:bidi w:val="0"/>
              <w:spacing w:before="0" w:after="20"/>
              <w:jc w:val="left"/>
              <w:rPr/>
            </w:pPr>
            <w:r>
              <w:rPr/>
              <w:t> </w:t>
            </w:r>
          </w:p>
        </w:tc>
        <w:tc>
          <w:tcPr>
            <w:tcW w:w="60" w:type="dxa"/>
            <w:tcBorders/>
            <w:shd w:fill="E5E5E5" w:val="clear"/>
            <w:vAlign w:val="center"/>
          </w:tcPr>
          <w:p>
            <w:pPr>
              <w:pStyle w:val="TableContents"/>
              <w:bidi w:val="0"/>
              <w:spacing w:before="0" w:after="20"/>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350" w:type="dxa"/>
            <w:tcBorders/>
            <w:shd w:fill="E5E5E5" w:val="clear"/>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shd w:fill="E5E5E5" w:val="clear"/>
            <w:vAlign w:val="center"/>
          </w:tcPr>
          <w:p>
            <w:pPr>
              <w:pStyle w:val="TableContents"/>
              <w:bidi w:val="0"/>
              <w:jc w:val="right"/>
              <w:rPr/>
            </w:pPr>
            <w:r>
              <w:rPr/>
              <w:t>750,000   </w:t>
            </w:r>
          </w:p>
          <w:p>
            <w:pPr>
              <w:pStyle w:val="TableContents"/>
              <w:bidi w:val="0"/>
              <w:spacing w:before="0" w:after="20"/>
              <w:jc w:val="left"/>
              <w:rPr/>
            </w:pPr>
            <w:r>
              <w:rPr/>
              <w:t> </w:t>
            </w:r>
          </w:p>
        </w:tc>
        <w:tc>
          <w:tcPr>
            <w:tcW w:w="75" w:type="dxa"/>
            <w:tcBorders/>
            <w:shd w:fill="E5E5E5" w:val="clear"/>
            <w:vAlign w:val="center"/>
          </w:tcPr>
          <w:p>
            <w:pPr>
              <w:pStyle w:val="TableContents"/>
              <w:bidi w:val="0"/>
              <w:spacing w:before="0" w:after="2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72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2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73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arial" w:hAnsi="arial"/>
                <w:sz w:val="20"/>
              </w:rPr>
            </w:pPr>
            <w:r>
              <w:rPr>
                <w:rFonts w:ascii="arial" w:hAnsi="arial"/>
                <w:sz w:val="20"/>
              </w:rPr>
              <w:t>Ann Bruder(1)</w:t>
            </w:r>
          </w:p>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vAlign w:val="center"/>
          </w:tcPr>
          <w:p>
            <w:pPr>
              <w:pStyle w:val="TableContents"/>
              <w:bidi w:val="0"/>
              <w:jc w:val="right"/>
              <w:rPr/>
            </w:pPr>
            <w:r>
              <w:rPr/>
              <w:t>1,500,000   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vAlign w:val="center"/>
          </w:tcPr>
          <w:p>
            <w:pPr>
              <w:pStyle w:val="TableContents"/>
              <w:bidi w:val="0"/>
              <w:jc w:val="right"/>
              <w:rPr/>
            </w:pPr>
            <w:r>
              <w:rPr/>
              <w:t>750,000   </w:t>
            </w:r>
          </w:p>
          <w:p>
            <w:pPr>
              <w:pStyle w:val="TableContents"/>
              <w:bidi w:val="0"/>
              <w:spacing w:before="0" w:after="20"/>
              <w:jc w:val="left"/>
              <w:rPr/>
            </w:pPr>
            <w:r>
              <w:rPr/>
              <w:t> </w:t>
            </w:r>
          </w:p>
        </w:tc>
        <w:tc>
          <w:tcPr>
            <w:tcW w:w="60" w:type="dxa"/>
            <w:tcBorders/>
            <w:vAlign w:val="center"/>
          </w:tcPr>
          <w:p>
            <w:pPr>
              <w:pStyle w:val="TableContents"/>
              <w:bidi w:val="0"/>
              <w:spacing w:before="0" w:after="20"/>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jc w:val="left"/>
              <w:rPr/>
            </w:pPr>
            <w:r>
              <w:rPr/>
              <w:t>   </w:t>
            </w:r>
            <w:r>
              <w:rPr/>
              <w:t>$</w:t>
            </w:r>
          </w:p>
          <w:p>
            <w:pPr>
              <w:pStyle w:val="TableContents"/>
              <w:bidi w:val="0"/>
              <w:spacing w:before="0" w:after="20"/>
              <w:jc w:val="left"/>
              <w:rPr/>
            </w:pPr>
            <w:r>
              <w:rPr/>
              <w:t> </w:t>
            </w:r>
          </w:p>
        </w:tc>
        <w:tc>
          <w:tcPr>
            <w:tcW w:w="1190" w:type="dxa"/>
            <w:tcBorders/>
            <w:vAlign w:val="center"/>
          </w:tcPr>
          <w:p>
            <w:pPr>
              <w:pStyle w:val="TableContents"/>
              <w:bidi w:val="0"/>
              <w:jc w:val="right"/>
              <w:rPr/>
            </w:pPr>
            <w:r>
              <w:rPr/>
              <w:t>750,000   </w:t>
            </w:r>
          </w:p>
          <w:p>
            <w:pPr>
              <w:pStyle w:val="TableContents"/>
              <w:bidi w:val="0"/>
              <w:spacing w:before="0" w:after="20"/>
              <w:jc w:val="left"/>
              <w:rPr/>
            </w:pPr>
            <w:r>
              <w:rPr/>
              <w:t> </w:t>
            </w:r>
          </w:p>
        </w:tc>
        <w:tc>
          <w:tcPr>
            <w:tcW w:w="75" w:type="dxa"/>
            <w:tcBorders/>
            <w:vAlign w:val="center"/>
          </w:tcPr>
          <w:p>
            <w:pPr>
              <w:pStyle w:val="TableContents"/>
              <w:bidi w:val="0"/>
              <w:spacing w:before="0" w:after="20"/>
              <w:jc w:val="left"/>
              <w:rPr/>
            </w:pPr>
            <w:r>
              <w:rPr/>
              <w:t> </w:t>
            </w:r>
          </w:p>
        </w:tc>
      </w:tr>
    </w:tbl>
    <w:p>
      <w:pPr>
        <w:pStyle w:val="TextBody"/>
        <w:pBdr>
          <w:bottom w:val="single" w:sz="2" w:space="1" w:color="000000"/>
        </w:pBdr>
        <w:bidi w:val="0"/>
        <w:spacing w:lineRule="atLeast" w:line="160" w:before="0" w:after="40"/>
        <w:jc w:val="left"/>
        <w:rPr/>
      </w:pPr>
      <w:r>
        <w:rPr/>
        <w:t> </w:t>
      </w:r>
    </w:p>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283"/>
              <w:jc w:val="left"/>
              <w:rPr/>
            </w:pPr>
            <w:r>
              <w:rPr/>
              <w:t>(1)</w:t>
            </w:r>
          </w:p>
        </w:tc>
        <w:tc>
          <w:tcPr>
            <w:tcW w:w="8390" w:type="dxa"/>
            <w:tcBorders/>
            <w:vAlign w:val="center"/>
          </w:tcPr>
          <w:p>
            <w:pPr>
              <w:pStyle w:val="TableContents"/>
              <w:bidi w:val="0"/>
              <w:spacing w:before="0" w:after="0"/>
              <w:jc w:val="left"/>
              <w:rPr>
                <w:rFonts w:ascii="arial" w:hAnsi="arial"/>
                <w:sz w:val="18"/>
              </w:rPr>
            </w:pPr>
            <w:r>
              <w:rPr>
                <w:rFonts w:ascii="arial" w:hAnsi="arial"/>
                <w:sz w:val="18"/>
              </w:rPr>
              <w:t xml:space="preserve">Ms. Bruder’s May 2024 award was subsequently forfeited in connection with her departure from Sabre.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PSUs granted in May 2024 have the potential to earn up to 200% of the target number of PSUs based on our actual performance against our Free Cash Flow measured for each of 2024, 2025 and 2026 in each of the three years against the Free Cash Flow metric established for that year. The Compensation Committee believes that the three one-year goals (with payout at the end of the three-year cycle) help to provide an effective incentive for management in a turnaround situation. As described below, the Free Cash Flow metrics for each year were established in May 2024. </w:t>
      </w:r>
    </w:p>
    <w:p>
      <w:pPr>
        <w:pStyle w:val="TextBody"/>
        <w:bidi w:val="0"/>
        <w:spacing w:before="240" w:after="0"/>
        <w:jc w:val="left"/>
        <w:rPr>
          <w:rFonts w:ascii="arial" w:hAnsi="arial"/>
          <w:sz w:val="22"/>
        </w:rPr>
      </w:pPr>
      <w:r>
        <w:rPr>
          <w:rFonts w:ascii="arial" w:hAnsi="arial"/>
          <w:sz w:val="22"/>
        </w:rPr>
        <w:t xml:space="preserve">The PSUs granted in May 2024 utilize Free Cash Flow as the performance measure. The Compensation Committee selected Free Cash Flow as a performance measure, given the focus of stockholders on growth of our cash position. The PSUs have a three-year cliff vest, with the potential to earn up to 200% of the target number of PSUs based on our actual performance in each of the three years against the Free Cash Flow metric established for that year. These Free Cash Flow targets for each of the three years were established in May 2024 and based on our multi-year outlook as of February 2024. One-third of the grant is at risk each calendar year during the measurement period, and the executive officer will bank shares based on our Free Cash Flow performance for that year. The final aggregate award is subject to a TSR modifier, based on our common stock’s price relative performance to the S&amp;P Composite 1500 Information Technology index over the three-year measurement period from January 1, 2024 to December 31, 2026, using a 30-trading day average stock price. The TSR modifier can increase or decrease the number of PSUs earned by 10%, subject to a maximum overall payout of 200%. If our common stock’s relative performance compared to this index is at or below the 25th percentile, the number of PSUs will be reduced by 10%, and if our common stock’s relative performance is at or above the 75th percentile, the number of PSUs will be increased by 10%; otherwise, there is no adjustment to the number of PSUs. These PSUs will vest on May 15, 2027, subject to the named executive officer’s continued employment through this vesting date. </w:t>
      </w:r>
    </w:p>
    <w:p>
      <w:pPr>
        <w:pStyle w:val="TextBody"/>
        <w:bidi w:val="0"/>
        <w:spacing w:before="240" w:after="0"/>
        <w:jc w:val="left"/>
        <w:rPr>
          <w:rFonts w:ascii="arial" w:hAnsi="arial"/>
          <w:sz w:val="22"/>
        </w:rPr>
      </w:pPr>
      <w:r>
        <w:rPr>
          <w:rFonts w:ascii="arial" w:hAnsi="arial"/>
          <w:sz w:val="22"/>
        </w:rPr>
        <w:t xml:space="preserve">The total number of units eligible to be earned under the PSU awards will range from 0% to 200% of the number of units granted, depending on the degree to which we achieve our Free Cash Flow target for each of 2024, 2025, and 2026, subject to the TSR modifier described above.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326890" cy="286004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4326890" cy="286004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For 2024, the minimum, midpoint, and maximum Free Cash Flow levels were $(50) million, $14 million, and $100 million, respectively.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The midpoint of the Free Cash Flow level was consistent with our multi-year outlook as of February 2024 for internal planning purposes for our expected Free Cash Flow for each of 2024, 2025, and 2026. </w:t>
            </w:r>
          </w:p>
        </w:tc>
      </w:tr>
    </w:tbl>
    <w:p>
      <w:pPr>
        <w:pStyle w:val="TextBody"/>
        <w:bidi w:val="0"/>
        <w:spacing w:before="240" w:after="0"/>
        <w:jc w:val="left"/>
        <w:rPr>
          <w:rFonts w:ascii="arial" w:hAnsi="arial"/>
          <w:sz w:val="22"/>
        </w:rPr>
      </w:pPr>
      <w:r>
        <w:rPr>
          <w:rFonts w:ascii="arial" w:hAnsi="arial"/>
          <w:sz w:val="22"/>
        </w:rPr>
        <w:t xml:space="preserve">For these PSU awards, Free Cash Flow is defined as cash provided by (used in) operating activities reduced by cash used in additions to property and equipment. This calculation of Free Cash Flow is consistent with the calculation used for our external reporting. With respect to Free Cash Flow, however, the Compensation Committee determined to add back the cash utilized in November 2024 to successfully refinance our debt, consistent with the calculation of Free Cash Flow for the purposes of the 2024 EIP described above. See “Annual Incentive Compensation.” </w:t>
      </w:r>
      <w:r>
        <w:rPr>
          <w:rFonts w:ascii="arial" w:hAnsi="arial"/>
          <w:sz w:val="22"/>
          <w:u w:val="single"/>
        </w:rPr>
        <w:t>Appendix B</w:t>
      </w:r>
      <w:r>
        <w:rPr>
          <w:rFonts w:ascii="arial" w:hAnsi="arial"/>
          <w:sz w:val="22"/>
        </w:rPr>
        <w:t xml:space="preserve"> provides additional information on Free Cash Flow, including a non-GAAP to GAAP reconciliation. </w:t>
      </w:r>
    </w:p>
    <w:p>
      <w:pPr>
        <w:pStyle w:val="TextBody"/>
        <w:bidi w:val="0"/>
        <w:spacing w:before="240" w:after="0"/>
        <w:jc w:val="left"/>
        <w:rPr>
          <w:rFonts w:ascii="arial" w:hAnsi="arial"/>
          <w:sz w:val="22"/>
        </w:rPr>
      </w:pPr>
      <w:r>
        <w:rPr>
          <w:rFonts w:ascii="arial" w:hAnsi="arial"/>
          <w:sz w:val="22"/>
        </w:rPr>
        <w:t xml:space="preserve">In February 2025, the Compensation Committee determined that our Free Cash Flow for 2024, calculated as described in the preceding paragraph, was $5 million, resulting in a funding level of 100% with respect to the 2024 tranche of the PSU awards granted in 2024. As noted above, these PSUs will vest on May 15, 2027, subject to the named executive officer’s continued employment through this vesting date, and the final aggregate award is subject to the application of the TSR modifier over the three-year period as described above. </w:t>
      </w:r>
    </w:p>
    <w:p>
      <w:pPr>
        <w:pStyle w:val="TextBody"/>
        <w:bidi w:val="0"/>
        <w:spacing w:before="240" w:after="0"/>
        <w:jc w:val="left"/>
        <w:rPr>
          <w:rFonts w:ascii="arial" w:hAnsi="arial"/>
          <w:sz w:val="22"/>
        </w:rPr>
      </w:pPr>
      <w:r>
        <w:rPr>
          <w:rFonts w:ascii="arial" w:hAnsi="arial"/>
          <w:sz w:val="22"/>
        </w:rPr>
        <w:t xml:space="preserve">The RSUs granted in May 2024 vest ratably on an annual basis over three years, subject to the named executive officer’s continued employment through the applicable vesting date. The Compensation Committee believes that the RSUs help further align our executive officers’ interest with those of our stockholders and encourage them to remain with Sabre through the multi-year vesting schedule. </w:t>
      </w:r>
    </w:p>
    <w:p>
      <w:pPr>
        <w:pStyle w:val="TextBody"/>
        <w:bidi w:val="0"/>
        <w:spacing w:before="240" w:after="0"/>
        <w:jc w:val="left"/>
        <w:rPr>
          <w:rFonts w:ascii="arial" w:hAnsi="arial"/>
          <w:sz w:val="22"/>
        </w:rPr>
      </w:pPr>
      <w:r>
        <w:rPr>
          <w:rFonts w:ascii="arial" w:hAnsi="arial"/>
          <w:sz w:val="22"/>
        </w:rPr>
        <w:t xml:space="preserve">For additional information on these equity awards, see the “2024 Summary Compensation Table” and the “2024 Grants of Plan-Based Awards Table” below. </w:t>
      </w:r>
    </w:p>
    <w:p>
      <w:pPr>
        <w:pStyle w:val="TextBody"/>
        <w:bidi w:val="0"/>
        <w:spacing w:before="360" w:after="0"/>
        <w:jc w:val="left"/>
        <w:rPr>
          <w:rFonts w:ascii="arial" w:hAnsi="arial"/>
          <w:sz w:val="22"/>
          <w:u w:val="single"/>
        </w:rPr>
      </w:pPr>
      <w:r>
        <w:rPr>
          <w:rFonts w:ascii="arial" w:hAnsi="arial"/>
          <w:sz w:val="22"/>
          <w:u w:val="single"/>
        </w:rPr>
        <w:t xml:space="preserve">PSU Awards Granted in 2023 </w:t>
      </w:r>
    </w:p>
    <w:p>
      <w:pPr>
        <w:pStyle w:val="TextBody"/>
        <w:bidi w:val="0"/>
        <w:spacing w:before="120" w:after="0"/>
        <w:jc w:val="left"/>
        <w:rPr>
          <w:rFonts w:ascii="arial" w:hAnsi="arial"/>
          <w:sz w:val="22"/>
        </w:rPr>
      </w:pPr>
      <w:r>
        <w:rPr>
          <w:rFonts w:ascii="arial" w:hAnsi="arial"/>
          <w:sz w:val="22"/>
        </w:rPr>
        <w:t xml:space="preserve">The PSUs granted in May 2023 have the potential to earn up to 200% of the target number of PSUs based on our actual performance against our Free Cash Flow measured for each of 2023, 2024, and 2025 in each of the three years against the Free Cash Flow metric established for that year. The final aggregate award is subject to a TSR modifier, based on our common stock’s price relative performance to the S&amp;P Composite 1500 Information Technology index over the three-year measurement period. The PSUs have a three-year cliff vest, with the potential to earn up to 200% of the target number of PSUs based on our actual performance in each of the three years against the Free Cash Flow metric established for that year. These Free Cash Flow targets for each of the three years were established in May 2023 and based on our multi-year outlook as of February 2023. One-third of the grant is at risk each calendar year during the measurement period, and the executive officer will bank shares based on our Free Cash Flow performance for that year. The final aggregate award is subject to a TSR modifier, based on our common stock’s price relative performance to the S&amp;P Composite 1500 Information Technology index over the three-year measurement period from January 1, 2023 to December 31, 2025, using a 30-trading day average stock price. The TSR modifier can increase or decrease the number of PSUs earned by 10%, subject to a maximum overall payout of 200%. If our common stock’s relative performance compared to this index is at or below the 25th percentile, the number of PSUs will be reduced by 10%, and if our common stock’s relative performance is at or above the 75th percentile, the number of PSUs will be increased by 10%; otherwise, there is no adjustment to the number of PSUs. These PSUs will vest on May 15, 2026, subject to the named executive officer’s continued employment through this vesting date.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total number of units eligible to be earned under the PSU awards will range from 0% to 200% of the number of units granted, depending on the degree to which we achieve our Free Cash Flow target for each of 2023, 2024 and 2025, subject to the TSR modifier described above.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326890" cy="286004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4326890" cy="286004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2023, the minimum, midpoint and maximum Free Cash Flow levels were $(50) million, $14 million, and $125 million,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2024, the minimum, midpoint and maximum Free Cash Flow levels were $50 million, $127 million, and $240 million,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midpoint of Free Cash Flow levels of these PSU awards was consistent with our multi-year outlook as of February 2023 for internal planning purposes for our expected Free Cash Flow for each of 2023, 2024, and 2025. </w:t>
            </w:r>
          </w:p>
        </w:tc>
      </w:tr>
    </w:tbl>
    <w:p>
      <w:pPr>
        <w:pStyle w:val="TextBody"/>
        <w:bidi w:val="0"/>
        <w:spacing w:before="240" w:after="0"/>
        <w:jc w:val="left"/>
        <w:rPr>
          <w:rFonts w:ascii="arial" w:hAnsi="arial"/>
          <w:sz w:val="22"/>
        </w:rPr>
      </w:pPr>
      <w:r>
        <w:rPr>
          <w:rFonts w:ascii="arial" w:hAnsi="arial"/>
          <w:sz w:val="22"/>
        </w:rPr>
        <w:t xml:space="preserve">Based on our Free Cash Flow for 2024 of $5 million, calculated as described above, the Compensation Committee determined in February 2025 that the funding level of 2024 tranche of the PSU awards granted in 2023 was 0%. In March 2024, the Compensation Committee determined that the funding level of the 2023 tranche of the PSU awards granted in 2023 was 100%. As of the date of this proxy statement, we expect that the funding level of the 2025 tranche of the PSU awards granted in 2023 will be 0%. </w:t>
      </w:r>
    </w:p>
    <w:p>
      <w:pPr>
        <w:pStyle w:val="TextBody"/>
        <w:bidi w:val="0"/>
        <w:spacing w:before="360" w:after="0"/>
        <w:jc w:val="left"/>
        <w:rPr>
          <w:rFonts w:ascii="arial" w:hAnsi="arial"/>
          <w:sz w:val="22"/>
          <w:u w:val="single"/>
        </w:rPr>
      </w:pPr>
      <w:r>
        <w:rPr>
          <w:rFonts w:ascii="arial" w:hAnsi="arial"/>
          <w:sz w:val="22"/>
          <w:u w:val="single"/>
        </w:rPr>
        <w:t xml:space="preserve">PSU Awards Granted in 2022 </w:t>
      </w:r>
    </w:p>
    <w:p>
      <w:pPr>
        <w:pStyle w:val="TextBody"/>
        <w:bidi w:val="0"/>
        <w:spacing w:before="120" w:after="0"/>
        <w:jc w:val="left"/>
        <w:rPr>
          <w:rFonts w:ascii="arial" w:hAnsi="arial"/>
          <w:sz w:val="22"/>
        </w:rPr>
      </w:pPr>
      <w:r>
        <w:rPr>
          <w:rFonts w:ascii="arial" w:hAnsi="arial"/>
          <w:sz w:val="22"/>
        </w:rPr>
        <w:t xml:space="preserve">The PSUs granted in March 2022 had the potential to earn from 0% to 200% of the target number of PSUs based on our actual performance against our Adjusted Free Cash Flow measured for the three-year measurement period from January 1, 2022 to December 31, 2024.The Adjusted Free Cash Flow targets varied depending on the level of our GDS booking recovery for 2024. The PSUs were subject to a TSR modifier based on our common stock’s price relative performance to the S&amp;P Composite 1500 Information Technology index over the three-year measurement period from January 1, 2022 to December 31, 2024, using a 30-trading day average stock price. The TSR modifier increased or decreased the number of PSUs earned by 10%, subject to a maximum payout of 200%. If our common stock’s relative performance compared to this index is at or below the 25th percentile, the number of PSUs would have been reduced by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10%, and if our common stock’s relative performance was at or above the 75th percentile, the number of PSUs would have been increased by 10%; otherwise, there would be no adjustment to the number of PSUs. These PSUs had a three-year vesting period and vested on March 15, 2025, subject to the named executive officer’s continued employment through this vesting date. </w:t>
      </w:r>
    </w:p>
    <w:p>
      <w:pPr>
        <w:pStyle w:val="TextBody"/>
        <w:bidi w:val="0"/>
        <w:spacing w:before="240" w:after="0"/>
        <w:jc w:val="left"/>
        <w:rPr>
          <w:rFonts w:ascii="arial" w:hAnsi="arial"/>
          <w:sz w:val="22"/>
        </w:rPr>
      </w:pPr>
      <w:r>
        <w:rPr>
          <w:rFonts w:ascii="arial" w:hAnsi="arial"/>
          <w:sz w:val="22"/>
        </w:rPr>
        <w:t xml:space="preserve">The Adjusted Free Cash Flow funding levels were a diagonal line from the 25% funding levels to an initial 100% threshold; from there, the funding levels remain flat for a specified range; followed by another diagonal line to the 200% funding level. The midpoint of the target payout for these PSU awards was consistent with our multi-year outlook as of February 2022 for internal planning purposes for our expected Adjusted Free Cash Flow and our expected GDS booking recovery for 2024; at that level of GDS booking recovery, the Adjusted Free Cash Flow necessary to achieve the 25% and 200% funding levels is 80% and 120% of our expected Adjusted Free Cash Flow for 2022 through 2024, respectively. Adjusted Free Cash Flow was defined as Adjusted EBITDA less capital expenditures. The Compensation Committee excluded from Adjusted EBITDA amounts related to business losses from certain of Sabre’s operations in Russia that occurred in 2022 subsequent to the approval of these targets. </w:t>
      </w:r>
    </w:p>
    <w:p>
      <w:pPr>
        <w:pStyle w:val="TextBody"/>
        <w:bidi w:val="0"/>
        <w:spacing w:before="240" w:after="0"/>
        <w:jc w:val="left"/>
        <w:rPr>
          <w:rFonts w:ascii="arial" w:hAnsi="arial"/>
          <w:sz w:val="22"/>
        </w:rPr>
      </w:pPr>
      <w:r>
        <w:rPr>
          <w:rFonts w:ascii="arial" w:hAnsi="arial"/>
          <w:sz w:val="22"/>
        </w:rPr>
        <w:t xml:space="preserve">In February 2025, the Compensation Committee determined that the level of our GDS booking recovery for 2024 was 62%. At this booking level, the Adjusted Free Cash Flow for the three-year measurement period from January 1, 2022 to December 31, 2024 necessary to receive the 50% funding level, the midpoint funding level, and the 200% funding level was $360 million, $450 million, and $541 million, respectively. The Compensation Committee determined that our Adjusted Free Cash Flow for the three-year measurement period from January 1, 2022 to December 31, 2024, calculated as described above, was $483 million, resulting an initial funding level for the PSUs granted in 2022 of 100%. Based on the Compensation Committee’s calculation of the TSR modifier described above, the funding level was then decreased by 10%, resulting in a final funding level of 90%. </w:t>
      </w:r>
    </w:p>
    <w:p>
      <w:pPr>
        <w:pStyle w:val="TextBody"/>
        <w:bidi w:val="0"/>
        <w:spacing w:before="360" w:after="0"/>
        <w:jc w:val="left"/>
        <w:rPr>
          <w:rFonts w:ascii="arial" w:hAnsi="arial"/>
          <w:i/>
          <w:sz w:val="22"/>
        </w:rPr>
      </w:pPr>
      <w:r>
        <w:rPr>
          <w:rFonts w:ascii="arial" w:hAnsi="arial"/>
          <w:i/>
          <w:sz w:val="22"/>
        </w:rPr>
        <w:t xml:space="preserve">Health, Welfare, and Other Employee Benefits </w:t>
      </w:r>
    </w:p>
    <w:p>
      <w:pPr>
        <w:pStyle w:val="TextBody"/>
        <w:bidi w:val="0"/>
        <w:spacing w:before="120" w:after="0"/>
        <w:jc w:val="left"/>
        <w:rPr>
          <w:rFonts w:ascii="arial" w:hAnsi="arial"/>
          <w:sz w:val="22"/>
        </w:rPr>
      </w:pPr>
      <w:r>
        <w:rPr>
          <w:rFonts w:ascii="arial" w:hAnsi="arial"/>
          <w:sz w:val="22"/>
        </w:rPr>
        <w:t xml:space="preserve">We have established a defined contribution or “401(k)” retirement plan for all employees who satisfy certain eligibility requirements, including requirements relating to age and length of service. We currently match contributions made to the plan by our employees, including our named executive officers, up to 6% of their eligible compensation. We intend for the plan to qualify under Section 401(a) of the Code so that contributions by employees to the plan, and income earned on plan contributions, are not taxable to employees until withdrawn from the plan. </w:t>
      </w:r>
    </w:p>
    <w:p>
      <w:pPr>
        <w:pStyle w:val="TextBody"/>
        <w:bidi w:val="0"/>
        <w:spacing w:before="240" w:after="0"/>
        <w:jc w:val="left"/>
        <w:rPr>
          <w:rFonts w:ascii="arial" w:hAnsi="arial"/>
          <w:sz w:val="22"/>
        </w:rPr>
      </w:pPr>
      <w:r>
        <w:rPr>
          <w:rFonts w:ascii="arial" w:hAnsi="arial"/>
          <w:sz w:val="22"/>
        </w:rPr>
        <w:t xml:space="preserve">In addition, we provide other benefits to our executive officers, including our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 </w:t>
      </w:r>
    </w:p>
    <w:p>
      <w:pPr>
        <w:pStyle w:val="TextBody"/>
        <w:bidi w:val="0"/>
        <w:spacing w:before="240" w:after="0"/>
        <w:jc w:val="left"/>
        <w:rPr>
          <w:rFonts w:ascii="arial" w:hAnsi="arial"/>
          <w:sz w:val="22"/>
        </w:rPr>
      </w:pPr>
      <w:r>
        <w:rPr>
          <w:rFonts w:ascii="arial" w:hAnsi="arial"/>
          <w:sz w:val="22"/>
        </w:rPr>
        <w:t xml:space="preserve">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 </w:t>
      </w:r>
    </w:p>
    <w:p>
      <w:pPr>
        <w:pStyle w:val="TextBody"/>
        <w:bidi w:val="0"/>
        <w:spacing w:before="360" w:after="0"/>
        <w:jc w:val="left"/>
        <w:rPr>
          <w:rFonts w:ascii="arial" w:hAnsi="arial"/>
          <w:sz w:val="22"/>
          <w:u w:val="single"/>
        </w:rPr>
      </w:pPr>
      <w:r>
        <w:rPr>
          <w:rFonts w:ascii="arial" w:hAnsi="arial"/>
          <w:sz w:val="22"/>
          <w:u w:val="single"/>
        </w:rPr>
        <w:t xml:space="preserve">Perquisites and Other Personal Benefits </w:t>
      </w:r>
    </w:p>
    <w:p>
      <w:pPr>
        <w:pStyle w:val="TextBody"/>
        <w:bidi w:val="0"/>
        <w:spacing w:before="120" w:after="0"/>
        <w:jc w:val="left"/>
        <w:rPr>
          <w:rFonts w:ascii="arial" w:hAnsi="arial"/>
          <w:sz w:val="22"/>
        </w:rPr>
      </w:pPr>
      <w:r>
        <w:rPr>
          <w:rFonts w:ascii="arial" w:hAnsi="arial"/>
          <w:sz w:val="22"/>
        </w:rPr>
        <w:t xml:space="preserve">Currently, we do not view perquisites or other personal benefits as a significant component of our executive compensation program. Accordingly, we provide perquisites and other personal benefits to our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68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executive officers in situations where we believe it is appropriate to assist an individual in the performance of his or her duties, to make our executive officers more efficient and effective, and for recruitment and retention purposes. For example, each of our executive officers is eligible to receive an annual allowance of up to $13,000 per year, which can be applied towards items such as financial planning benefits, an annual physical program, tax advice and preparation, and legal advice. We also provide relocation assistance and reimbursement of certain commuting expenses, as applicable. Mr. Mendis also receives a car allowance, consistent with other senior employees located in the United Kingdom, as well as additional tax assistance under our program made available to our expatriate employees. The Compensation Committee believes that these personal benefits are a reasonable component of our overall executive compensation program and are consistent with market practices. </w:t>
      </w:r>
    </w:p>
    <w:p>
      <w:pPr>
        <w:pStyle w:val="TextBody"/>
        <w:bidi w:val="0"/>
        <w:spacing w:before="240" w:after="0"/>
        <w:jc w:val="left"/>
        <w:rPr>
          <w:rFonts w:ascii="arial" w:hAnsi="arial"/>
          <w:sz w:val="22"/>
        </w:rPr>
      </w:pPr>
      <w:r>
        <w:rPr>
          <w:rFonts w:ascii="arial" w:hAnsi="arial"/>
          <w:sz w:val="22"/>
        </w:rPr>
        <w:t xml:space="preserve">In the future, we may provide perquisites or other personal benefits in limited circumstances. Future practices with respect to perquisites or other personal benefits for named executive officers will be subject to periodic review by the Compensation Committee. </w:t>
      </w:r>
    </w:p>
    <w:p>
      <w:pPr>
        <w:pStyle w:val="TextBody"/>
        <w:bidi w:val="0"/>
        <w:spacing w:before="360" w:after="0"/>
        <w:jc w:val="left"/>
        <w:rPr>
          <w:rFonts w:ascii="arial" w:hAnsi="arial"/>
          <w:b/>
          <w:sz w:val="22"/>
        </w:rPr>
      </w:pPr>
      <w:bookmarkStart w:id="52" w:name="tx888712_50"/>
      <w:bookmarkEnd w:id="52"/>
      <w:r>
        <w:rPr>
          <w:rFonts w:ascii="arial" w:hAnsi="arial"/>
          <w:b/>
          <w:sz w:val="22"/>
        </w:rPr>
        <w:t xml:space="preserve">2025 Executive Compensation Program </w:t>
      </w:r>
    </w:p>
    <w:p>
      <w:pPr>
        <w:pStyle w:val="TextBody"/>
        <w:bidi w:val="0"/>
        <w:spacing w:before="120" w:after="0"/>
        <w:jc w:val="left"/>
        <w:rPr>
          <w:rFonts w:ascii="arial" w:hAnsi="arial"/>
          <w:sz w:val="22"/>
        </w:rPr>
      </w:pPr>
      <w:r>
        <w:rPr>
          <w:rFonts w:ascii="arial" w:hAnsi="arial"/>
          <w:sz w:val="22"/>
        </w:rPr>
        <w:t xml:space="preserve">In connection with stockholder feedback received in connection with our fall 2024 outreach program discussed above, as well as the results of our 2024 say-on-pay vote result, we believe stockholders were supportive of our executive compensation program design. After considering these results, in the first quarter of 2025, the Compensation Committee took certain actions with respect to the compensation of our named executive officers,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Annual cash incentive framework</w:t>
            </w:r>
            <w:r>
              <w:rPr>
                <w:rFonts w:ascii="arial" w:hAnsi="arial"/>
                <w:sz w:val="22"/>
              </w:rPr>
              <w:t xml:space="preserve">. For our executive officers the performance measures for 2025 under our annual cash EIP will be based on Adjusted EBITDA (100% of funding formula), with a Free Cash Flow modifier that could increase or reduce the payout by 10%, subject to a maximum overall payout of 200%. For executive officers other than our CEO and CFO, the payout amounts may be adjusted higher or lower, based on individual performance. To the extent that the payout requirements are met, the 2025 annual cash incentive is expected to be paid in March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b/>
                <w:i/>
                <w:sz w:val="22"/>
              </w:rPr>
              <w:t>Long-term incentive awards</w:t>
            </w:r>
            <w:r>
              <w:rPr>
                <w:rFonts w:ascii="arial" w:hAnsi="arial"/>
                <w:sz w:val="22"/>
              </w:rPr>
              <w:t xml:space="preserve">. We approved in February 2025 the design of the long-term incentive awards that are expected to be granted in May 2025 (subject to approval of the 2025 Omnibus Plan). These awards are expected to be divided into a grant consisting of PSUs and RSUs, as discussed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b/>
                <w:i/>
                <w:sz w:val="22"/>
              </w:rPr>
              <w:t>PSUs</w:t>
            </w:r>
            <w:r>
              <w:rPr>
                <w:rFonts w:ascii="arial" w:hAnsi="arial"/>
                <w:sz w:val="22"/>
              </w:rPr>
              <w:t xml:space="preserve">. The design of the PSUs expected to be granted in May 2025 is expected to utilize Free Cash Flow as the performance measure. The PSUs are expected to be subject to a three-year cliff vest, with the potential to earn up to 200% of the target number of PSUs based on our actual performance in each of the three years against the Free Cash Flow metric established for that year. These Free Cash Flow metrics for each year were established in February 2025. One-third of the grant will be at risk each calendar year during the measurement period, and the named executive officer will bank shares based on our Free Cash Flow performance for that year. The final aggregate award will be subject to a TSR modifier based on our common stock price relative performance to the S&amp;P Composite 1500 Information Technology index over the three-year measurement period from January 1, 2025 to December 31, 2027, which can increase or decrease the aggregate number of PSUs earned by 10%, subject to a maximum overall payout of 200%.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b/>
                <w:i/>
                <w:sz w:val="22"/>
              </w:rPr>
              <w:t>RSUs</w:t>
            </w:r>
            <w:r>
              <w:rPr>
                <w:rFonts w:ascii="arial" w:hAnsi="arial"/>
                <w:sz w:val="22"/>
              </w:rPr>
              <w:t xml:space="preserve">. The design of the RSUs expected to be granted in May 2025 provides that the RSUs will vest ratably on an annual basis over three years, subject to the named executive officer’s continued employment through the applicable vesting date.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69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53" w:name="tx888712_51"/>
      <w:bookmarkEnd w:id="53"/>
      <w:r>
        <w:rPr>
          <w:rFonts w:ascii="arial" w:hAnsi="arial"/>
          <w:b/>
          <w:color w:val="CF0A2C"/>
          <w:sz w:val="28"/>
        </w:rPr>
        <w:t xml:space="preserve">Employment Agreements and Offer Letters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We have entered into a written employment agreement or offer letter with each of our named executive officers. We believe that these agreements and letters were necessary to induce these individuals to forego other employment opportunities or leave their current employer for the uncertainty of a demanding position in a new and unfamiliar organization. </w:t>
      </w:r>
    </w:p>
    <w:p>
      <w:pPr>
        <w:pStyle w:val="TextBody"/>
        <w:bidi w:val="0"/>
        <w:spacing w:before="240" w:after="0"/>
        <w:jc w:val="left"/>
        <w:rPr>
          <w:rFonts w:ascii="arial" w:hAnsi="arial"/>
          <w:sz w:val="22"/>
        </w:rPr>
      </w:pPr>
      <w:r>
        <w:rPr>
          <w:rFonts w:ascii="arial" w:hAnsi="arial"/>
          <w:sz w:val="22"/>
        </w:rPr>
        <w:t xml:space="preserve">In filling these executive positions, the Compensation Committee was aware that it would be necessary to recruit candidates with the requisite experience and skills to manage a growing business in a dynamic and ever-changing industry. Accordingly, it recognized that it would need to develop competitive compensation packages to attract qualified candidates in a highly competitive labor market. At the same time, the Compensation Committee was sensitive to the need to integrate new executive officers into the executive compensation structure that it was seeking to develop, balancing both competitive and internal equity considerations. </w:t>
      </w:r>
    </w:p>
    <w:p>
      <w:pPr>
        <w:pStyle w:val="TextBody"/>
        <w:bidi w:val="0"/>
        <w:spacing w:before="240" w:after="0"/>
        <w:jc w:val="left"/>
        <w:rPr>
          <w:rFonts w:ascii="arial" w:hAnsi="arial"/>
          <w:sz w:val="22"/>
        </w:rPr>
      </w:pPr>
      <w:r>
        <w:rPr>
          <w:rFonts w:ascii="arial" w:hAnsi="arial"/>
          <w:sz w:val="22"/>
        </w:rPr>
        <w:t xml:space="preserve">For additional information on the employment agreements and offer letters of our named executive officers, see “—Information on Employment Agreements and Offer Letters” below. </w:t>
      </w:r>
    </w:p>
    <w:p>
      <w:pPr>
        <w:pStyle w:val="TextBody"/>
        <w:bidi w:val="0"/>
        <w:spacing w:before="360" w:after="0"/>
        <w:jc w:val="left"/>
        <w:rPr>
          <w:rFonts w:ascii="arial" w:hAnsi="arial"/>
          <w:b/>
          <w:color w:val="CF0A2C"/>
          <w:sz w:val="28"/>
        </w:rPr>
      </w:pPr>
      <w:bookmarkStart w:id="54" w:name="tx888712_52"/>
      <w:bookmarkEnd w:id="54"/>
      <w:r>
        <w:rPr>
          <w:rFonts w:ascii="arial" w:hAnsi="arial"/>
          <w:b/>
          <w:color w:val="CF0A2C"/>
          <w:sz w:val="28"/>
        </w:rPr>
        <w:t xml:space="preserve">Post-Employment Compensation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We have adopted the Sabre Corporation Executive Severance Plan (the “Executive Severance Plan”) for key executives of Sabre. Under the Executive Severance Plan, participants are eligible to receive certain payments and benefits in the event of a termination of their employment by Sabre without “cause” or a termination of employment by the participant for “good reason,” as well as upon “disability” (as each of these terms is defined in the Executive Severance Plan) and death. </w:t>
      </w:r>
    </w:p>
    <w:p>
      <w:pPr>
        <w:pStyle w:val="TextBody"/>
        <w:bidi w:val="0"/>
        <w:spacing w:before="240" w:after="0"/>
        <w:jc w:val="left"/>
        <w:rPr>
          <w:rFonts w:ascii="arial" w:hAnsi="arial"/>
          <w:sz w:val="22"/>
        </w:rPr>
      </w:pPr>
      <w:r>
        <w:rPr>
          <w:rFonts w:ascii="arial" w:hAnsi="arial"/>
          <w:sz w:val="22"/>
        </w:rPr>
        <w:t xml:space="preserve">We provide these arrangements under the Executive Severance Plan to encourage our named executive officers to work at a dynamic and growing business where their long-term compensation largely depends on future stock price appreciation. Specifically, the arrangements are intended to mitigate a potential disincentive for our named executive officers when they are evaluating a potential acquisition of Sabre, particularly when their services may not be required by the acquiring entity. In such a situation, we believe that these arrangements are necessary to encourage retention of our named executive officers through the conclusion of the transaction, and to ensure a smooth management transition. We believe that the level of benefits provided under these various agreements is consistent with market practice and help us to attract and retain key talent. For additional information, see “—Potential Payments upon Termination or Change in Control” below. </w:t>
      </w:r>
    </w:p>
    <w:p>
      <w:pPr>
        <w:pStyle w:val="TextBody"/>
        <w:bidi w:val="0"/>
        <w:spacing w:before="240" w:after="0"/>
        <w:jc w:val="left"/>
        <w:rPr>
          <w:rFonts w:ascii="arial" w:hAnsi="arial"/>
          <w:sz w:val="22"/>
        </w:rPr>
      </w:pPr>
      <w:r>
        <w:rPr>
          <w:rFonts w:ascii="arial" w:hAnsi="arial"/>
          <w:sz w:val="22"/>
        </w:rPr>
        <w:t xml:space="preserve">Change-in control payments and benefits for our named executive officers are based on a “double-trigger” arrangement (that is, they require both a change in control of Sabre plus a qualifying termination of employment before payments and benefits are paid). </w:t>
      </w:r>
    </w:p>
    <w:p>
      <w:pPr>
        <w:pStyle w:val="TextBody"/>
        <w:bidi w:val="0"/>
        <w:spacing w:before="360" w:after="0"/>
        <w:jc w:val="left"/>
        <w:rPr>
          <w:rFonts w:ascii="arial" w:hAnsi="arial"/>
          <w:b/>
          <w:color w:val="CF0A2C"/>
          <w:sz w:val="28"/>
        </w:rPr>
      </w:pPr>
      <w:bookmarkStart w:id="55" w:name="tx888712_53"/>
      <w:bookmarkEnd w:id="55"/>
      <w:r>
        <w:rPr>
          <w:rFonts w:ascii="arial" w:hAnsi="arial"/>
          <w:b/>
          <w:color w:val="CF0A2C"/>
          <w:sz w:val="28"/>
        </w:rPr>
        <w:t xml:space="preserve">Other Compensation Policies and Programs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i/>
          <w:sz w:val="22"/>
        </w:rPr>
      </w:pPr>
      <w:r>
        <w:rPr>
          <w:rFonts w:ascii="arial" w:hAnsi="arial"/>
          <w:i/>
          <w:sz w:val="22"/>
        </w:rPr>
        <w:t xml:space="preserve">Stock Ownership Guidelines for Executive Officers and Directors and Stock Retention Requirement </w:t>
      </w:r>
    </w:p>
    <w:p>
      <w:pPr>
        <w:pStyle w:val="TextBody"/>
        <w:bidi w:val="0"/>
        <w:spacing w:before="120" w:after="0"/>
        <w:jc w:val="left"/>
        <w:rPr>
          <w:rFonts w:ascii="arial" w:hAnsi="arial"/>
          <w:sz w:val="22"/>
        </w:rPr>
      </w:pPr>
      <w:r>
        <w:rPr>
          <w:rFonts w:ascii="arial" w:hAnsi="arial"/>
          <w:sz w:val="22"/>
        </w:rPr>
        <w:t xml:space="preserve">We maintain a stock ownership policy for our executive officers and the non-employee members of our Board of Directors. Under this policy, the individuals who have been designated as an executive officer or Senior Vice President are required to own that number of shares of our common stock with a value equal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to a specified multiple of their annual base salary divided by the closing price of our common stock on June 1 (or if that day is not a business day, the first business day immediately preceding that date). The guideline levels may be recalculated as of such other dates as may be requested from time to time by the Compensation Committee, the CEO, or the Chief Administrative Officer. As adopted, these stock ownership guidelines represented as base salary multiples are as follows: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2465"/>
        <w:gridCol w:w="120"/>
        <w:gridCol w:w="4025"/>
      </w:tblGrid>
      <w:tr>
        <w:trPr/>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r>
      <w:tr>
        <w:trPr/>
        <w:tc>
          <w:tcPr>
            <w:tcW w:w="2465" w:type="dxa"/>
            <w:tcBorders/>
            <w:shd w:fill="666666"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Position</w:t>
            </w:r>
          </w:p>
          <w:p>
            <w:pPr>
              <w:pStyle w:val="TableContents"/>
              <w:bidi w:val="0"/>
              <w:spacing w:before="0" w:after="20"/>
              <w:jc w:val="left"/>
              <w:rPr/>
            </w:pPr>
            <w:r>
              <w:rPr/>
              <w:t> </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402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Market Value of Stock That Must be Owned</w:t>
              <w:br/>
              <w:t>(As a Multiple of Base Salary)</w:t>
            </w:r>
          </w:p>
          <w:p>
            <w:pPr>
              <w:pStyle w:val="TableContents"/>
              <w:bidi w:val="0"/>
              <w:spacing w:before="0" w:after="20"/>
              <w:jc w:val="left"/>
              <w:rPr/>
            </w:pPr>
            <w:r>
              <w:rPr/>
              <w:t> </w:t>
            </w:r>
          </w:p>
        </w:tc>
      </w:tr>
      <w:tr>
        <w:trPr/>
        <w:tc>
          <w:tcPr>
            <w:tcW w:w="2465" w:type="dxa"/>
            <w:tcBorders/>
            <w:shd w:fill="E5E5E5" w:val="clear"/>
            <w:vAlign w:val="center"/>
          </w:tcPr>
          <w:p>
            <w:pPr>
              <w:pStyle w:val="TableContents"/>
              <w:bidi w:val="0"/>
              <w:spacing w:before="0" w:after="283"/>
              <w:jc w:val="left"/>
              <w:rPr>
                <w:sz w:val="4"/>
                <w:szCs w:val="4"/>
              </w:rPr>
            </w:pPr>
            <w:r>
              <w:rPr>
                <w:sz w:val="4"/>
                <w:szCs w:val="4"/>
              </w:rPr>
            </w:r>
          </w:p>
        </w:tc>
        <w:tc>
          <w:tcPr>
            <w:tcW w:w="4145"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465" w:type="dxa"/>
            <w:tcBorders/>
            <w:shd w:fill="E5E5E5" w:val="clear"/>
            <w:vAlign w:val="center"/>
          </w:tcPr>
          <w:p>
            <w:pPr>
              <w:pStyle w:val="TableContents"/>
              <w:bidi w:val="0"/>
              <w:spacing w:before="0" w:after="0"/>
              <w:jc w:val="left"/>
              <w:rPr/>
            </w:pPr>
            <w:r>
              <w:rPr/>
              <w:t> </w:t>
            </w:r>
            <w:r>
              <w:rPr>
                <w:rFonts w:ascii="arial" w:hAnsi="arial"/>
                <w:sz w:val="20"/>
              </w:rPr>
              <w:t>Chief Executive Officer</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025" w:type="dxa"/>
            <w:tcBorders/>
            <w:shd w:fill="E5E5E5" w:val="clear"/>
            <w:vAlign w:val="center"/>
          </w:tcPr>
          <w:p>
            <w:pPr>
              <w:pStyle w:val="TableContents"/>
              <w:bidi w:val="0"/>
              <w:spacing w:before="0" w:after="283"/>
              <w:jc w:val="center"/>
              <w:rPr/>
            </w:pPr>
            <w:r>
              <w:rPr/>
              <w:t>5x</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4145" w:type="dxa"/>
            <w:gridSpan w:val="2"/>
            <w:tcBorders>
              <w:left w:val="single" w:sz="12" w:space="0" w:color="FFFFFF"/>
            </w:tcBorders>
            <w:tcMar>
              <w:left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r>
              <w:rPr/>
              <w:t> </w:t>
            </w:r>
            <w:r>
              <w:rPr>
                <w:rFonts w:ascii="arial" w:hAnsi="arial"/>
                <w:sz w:val="20"/>
              </w:rPr>
              <w:t>Executive Vice Presidents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center"/>
              <w:rPr/>
            </w:pPr>
            <w:r>
              <w:rPr/>
              <w:t>3x</w:t>
            </w:r>
          </w:p>
        </w:tc>
      </w:tr>
      <w:tr>
        <w:trPr/>
        <w:tc>
          <w:tcPr>
            <w:tcW w:w="2465" w:type="dxa"/>
            <w:tcBorders/>
            <w:shd w:fill="E5E5E5" w:val="clear"/>
            <w:vAlign w:val="center"/>
          </w:tcPr>
          <w:p>
            <w:pPr>
              <w:pStyle w:val="TableContents"/>
              <w:bidi w:val="0"/>
              <w:spacing w:before="0" w:after="283"/>
              <w:jc w:val="left"/>
              <w:rPr>
                <w:sz w:val="4"/>
                <w:szCs w:val="4"/>
              </w:rPr>
            </w:pPr>
            <w:r>
              <w:rPr>
                <w:sz w:val="4"/>
                <w:szCs w:val="4"/>
              </w:rPr>
            </w:r>
          </w:p>
        </w:tc>
        <w:tc>
          <w:tcPr>
            <w:tcW w:w="4145"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2465" w:type="dxa"/>
            <w:tcBorders/>
            <w:shd w:fill="E5E5E5" w:val="clear"/>
            <w:vAlign w:val="center"/>
          </w:tcPr>
          <w:p>
            <w:pPr>
              <w:pStyle w:val="TableContents"/>
              <w:bidi w:val="0"/>
              <w:spacing w:before="0" w:after="0"/>
              <w:jc w:val="left"/>
              <w:rPr/>
            </w:pPr>
            <w:r>
              <w:rPr/>
              <w:t> </w:t>
            </w:r>
            <w:r>
              <w:rPr>
                <w:rFonts w:ascii="arial" w:hAnsi="arial"/>
                <w:sz w:val="20"/>
              </w:rPr>
              <w:t>Senior Vice Presidents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025" w:type="dxa"/>
            <w:tcBorders/>
            <w:shd w:fill="E5E5E5" w:val="clear"/>
            <w:vAlign w:val="center"/>
          </w:tcPr>
          <w:p>
            <w:pPr>
              <w:pStyle w:val="TableContents"/>
              <w:bidi w:val="0"/>
              <w:spacing w:before="0" w:after="283"/>
              <w:jc w:val="center"/>
              <w:rPr/>
            </w:pPr>
            <w:r>
              <w:rPr/>
              <w:t>2x</w:t>
            </w:r>
          </w:p>
        </w:tc>
      </w:tr>
    </w:tbl>
    <w:p>
      <w:pPr>
        <w:pStyle w:val="TextBody"/>
        <w:bidi w:val="0"/>
        <w:spacing w:before="240" w:after="0"/>
        <w:jc w:val="left"/>
        <w:rPr>
          <w:rFonts w:ascii="arial" w:hAnsi="arial"/>
          <w:sz w:val="22"/>
        </w:rPr>
      </w:pPr>
      <w:r>
        <w:rPr>
          <w:rFonts w:ascii="arial" w:hAnsi="arial"/>
          <w:sz w:val="22"/>
        </w:rPr>
        <w:t xml:space="preserve">In the case of the non-employee members of our Board of Directors, each individual is required to own that number of shares of our common stock with a market value equal to five times his or her annual retainer divided by the closing price of our common stock on June 1 (or if that day is not a business day, the first business day immediately preceding that date). </w:t>
      </w:r>
    </w:p>
    <w:p>
      <w:pPr>
        <w:pStyle w:val="TextBody"/>
        <w:bidi w:val="0"/>
        <w:spacing w:before="240" w:after="0"/>
        <w:jc w:val="left"/>
        <w:rPr>
          <w:rFonts w:ascii="arial" w:hAnsi="arial"/>
          <w:sz w:val="22"/>
        </w:rPr>
      </w:pPr>
      <w:r>
        <w:rPr>
          <w:rFonts w:ascii="arial" w:hAnsi="arial"/>
          <w:sz w:val="22"/>
        </w:rPr>
        <w:t xml:space="preserve">Shares of our common stock that count towards satisfaction of the guidelines include shares beneficially owned by the individual or immediate family members, including shares held in retirement or deferral accounts; shares held in trust for the benefit of the individual or immediate family members; vested and unvested shares of restricted stock; vested deferred stock units, restricted stock units, or performance share units that may only be settled in shares of stock; unvested shares of deferred stock units and restricted stock units that may only be settled in shares of stock; and shares acquired as a result of the exercise of vested options. Unvested shares of performance share units and unexercised stock options (whether vested or unvested) do not count towards satisfaction of the guidelines. </w:t>
      </w:r>
    </w:p>
    <w:p>
      <w:pPr>
        <w:pStyle w:val="TextBody"/>
        <w:bidi w:val="0"/>
        <w:spacing w:before="240" w:after="0"/>
        <w:jc w:val="left"/>
        <w:rPr>
          <w:rFonts w:ascii="arial" w:hAnsi="arial"/>
          <w:sz w:val="22"/>
        </w:rPr>
      </w:pPr>
      <w:r>
        <w:rPr>
          <w:rFonts w:ascii="arial" w:hAnsi="arial"/>
          <w:sz w:val="22"/>
        </w:rPr>
        <w:t xml:space="preserve">Once an individual has satisfied his or her applicable guideline level, the number of shares needed to satisfy the guideline level for all future calculations for that individual is fixed as of that measurement date and does not change as a result of subsequent fluctuations in the market price of our common stock, unless that individual’s ownership level falls below that amount. </w:t>
      </w:r>
    </w:p>
    <w:p>
      <w:pPr>
        <w:pStyle w:val="TextBody"/>
        <w:bidi w:val="0"/>
        <w:spacing w:before="240" w:after="0"/>
        <w:jc w:val="left"/>
        <w:rPr>
          <w:rFonts w:ascii="arial" w:hAnsi="arial"/>
          <w:sz w:val="22"/>
        </w:rPr>
      </w:pPr>
      <w:r>
        <w:rPr>
          <w:rFonts w:ascii="arial" w:hAnsi="arial"/>
          <w:sz w:val="22"/>
        </w:rPr>
        <w:t xml:space="preserve">In addition, until such time as an individual has met his or her specified ownership level as described above, he or she is required to retain an amount equal to 50% of the net shares of our common stock (i.e., shares remaining after the payment of the exercise price or the tax withholding obligations with respect to an equity award) received as the result of the exercise, vesting, or payment of any equity awards granted to him or her. </w:t>
      </w:r>
    </w:p>
    <w:p>
      <w:pPr>
        <w:pStyle w:val="TextBody"/>
        <w:bidi w:val="0"/>
        <w:spacing w:before="240" w:after="0"/>
        <w:jc w:val="left"/>
        <w:rPr>
          <w:rFonts w:ascii="arial" w:hAnsi="arial"/>
          <w:sz w:val="22"/>
        </w:rPr>
      </w:pPr>
      <w:r>
        <w:rPr>
          <w:rFonts w:ascii="arial" w:hAnsi="arial"/>
          <w:sz w:val="22"/>
        </w:rPr>
        <w:t xml:space="preserve">Our executive officers and the non-employee members of our Board of Directors are required to meet these ownership requirements within five years of becoming an executive officer or non-employee member of our Board of Directors, as applicable. These individuals are expected to continuously own sufficient shares to satisfy the applicable guideline once attained for as long as they remain subject to the guidelines. </w:t>
      </w:r>
    </w:p>
    <w:p>
      <w:pPr>
        <w:pStyle w:val="TextBody"/>
        <w:bidi w:val="0"/>
        <w:spacing w:before="240" w:after="0"/>
        <w:jc w:val="left"/>
        <w:rPr>
          <w:rFonts w:ascii="arial" w:hAnsi="arial"/>
          <w:sz w:val="22"/>
        </w:rPr>
      </w:pPr>
      <w:r>
        <w:rPr>
          <w:rFonts w:ascii="arial" w:hAnsi="arial"/>
          <w:sz w:val="22"/>
        </w:rPr>
        <w:t xml:space="preserve">As of the most recent measurement date, June 1, 2024, each of our executive officers and the non-employee members of our Board of Directors has met their stock ownership requirement or is on track to attain his or her share target by the applicable required date. The Compensation Committee believes that this stock ownership aligns the financial interests of our executive officers with those of our stockholders.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71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Compensation Recovery Policy </w:t>
      </w:r>
    </w:p>
    <w:p>
      <w:pPr>
        <w:pStyle w:val="TextBody"/>
        <w:bidi w:val="0"/>
        <w:spacing w:before="120" w:after="0"/>
        <w:jc w:val="left"/>
        <w:rPr>
          <w:rFonts w:ascii="arial" w:hAnsi="arial"/>
          <w:sz w:val="22"/>
        </w:rPr>
      </w:pPr>
      <w:r>
        <w:rPr>
          <w:rFonts w:ascii="arial" w:hAnsi="arial"/>
          <w:sz w:val="22"/>
        </w:rPr>
        <w:t xml:space="preserve">The Compensation Committee has adopted the Sabre Corporation Clawback Policy, which is consistent with Nasdaq’s listing standards adopted in connection with the SEC’s final rules related to the clawback requirement of Section 954 of the Dodd-Frank Act. The policy addresses when the Compensation Committee will be authorized to cause us to seek to recover erroneously-awarded incentive compensation in the event of an accounting restatement as specified in the policy. The policy applies to any current or former Section 16 officer during a three-year look-back period.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i/>
          <w:caps w:val="false"/>
          <w:smallCaps w:val="false"/>
          <w:spacing w:val="0"/>
          <w:sz w:val="22"/>
        </w:rPr>
      </w:pPr>
      <w:r>
        <w:rPr>
          <w:rFonts w:ascii="arial" w:hAnsi="arial"/>
          <w:i/>
          <w:caps w:val="false"/>
          <w:smallCaps w:val="false"/>
          <w:spacing w:val="0"/>
          <w:sz w:val="22"/>
        </w:rPr>
        <w:t xml:space="preserve">Equity Award Grant Policy </w:t>
      </w:r>
    </w:p>
    <w:p>
      <w:pPr>
        <w:pStyle w:val="TextBody"/>
        <w:bidi w:val="0"/>
        <w:spacing w:before="120" w:after="0"/>
        <w:jc w:val="left"/>
        <w:rPr>
          <w:rFonts w:ascii="arial" w:hAnsi="arial"/>
          <w:sz w:val="22"/>
        </w:rPr>
      </w:pPr>
      <w:r>
        <w:rPr>
          <w:rFonts w:ascii="arial" w:hAnsi="arial"/>
          <w:sz w:val="22"/>
        </w:rPr>
        <w:t>We maintain a formal policy for the timing of equity awards. The policy provides that these annual grants will be granted on the 15</w:t>
      </w:r>
    </w:p>
    <w:p>
      <w:pPr>
        <w:pStyle w:val="TextBody"/>
        <w:bidi w:val="0"/>
        <w:spacing w:before="120" w:after="0"/>
        <w:jc w:val="left"/>
        <w:rPr>
          <w:rFonts w:ascii="arial" w:hAnsi="arial"/>
          <w:sz w:val="14"/>
        </w:rPr>
      </w:pPr>
      <w:r>
        <w:rPr>
          <w:rFonts w:ascii="arial" w:hAnsi="arial"/>
          <w:sz w:val="14"/>
        </w:rPr>
        <w:t>th</w:t>
      </w:r>
    </w:p>
    <w:p>
      <w:pPr>
        <w:pStyle w:val="TextBody"/>
        <w:bidi w:val="0"/>
        <w:spacing w:before="120" w:after="0"/>
        <w:jc w:val="left"/>
        <w:rPr>
          <w:rFonts w:ascii="arial" w:hAnsi="arial"/>
          <w:sz w:val="22"/>
        </w:rPr>
      </w:pPr>
      <w:r>
        <w:rPr>
          <w:rFonts w:ascii="arial" w:hAnsi="arial"/>
          <w:sz w:val="22"/>
        </w:rPr>
        <w:t xml:space="preserve">day of the fifth month of our fiscal year, or if such day is not a business day, the first business day immediately preceding such day. In addition to our annual grant pool, we may grant equity awards to our named executive officers at other times during the year in recognition of special events, such as promotions, or for retention or other business purposes. Under our equity grant policy, all awards to our executive officers must be granted by the Compensation Committee. Annual awards to </w:t>
      </w:r>
    </w:p>
    <w:p>
      <w:pPr>
        <w:pStyle w:val="TextBody"/>
        <w:bidi w:val="0"/>
        <w:spacing w:before="120" w:after="0"/>
        <w:jc w:val="left"/>
        <w:rPr>
          <w:rFonts w:ascii="arial" w:hAnsi="arial"/>
          <w:spacing w:val="0"/>
          <w:sz w:val="22"/>
        </w:rPr>
      </w:pPr>
      <w:r>
        <w:rPr>
          <w:rFonts w:ascii="arial" w:hAnsi="arial"/>
          <w:spacing w:val="0"/>
          <w:sz w:val="22"/>
        </w:rPr>
        <w:t>non-employee</w:t>
      </w:r>
    </w:p>
    <w:p>
      <w:pPr>
        <w:pStyle w:val="TextBody"/>
        <w:bidi w:val="0"/>
        <w:spacing w:before="120" w:after="0"/>
        <w:jc w:val="left"/>
        <w:rPr>
          <w:rFonts w:ascii="arial" w:hAnsi="arial"/>
          <w:sz w:val="22"/>
        </w:rPr>
      </w:pPr>
      <w:r>
        <w:rPr>
          <w:rFonts w:ascii="arial" w:hAnsi="arial"/>
          <w:sz w:val="22"/>
        </w:rPr>
        <w:t xml:space="preserve">directors are granted on the date of the annual meeting. Awards to newly elected </w:t>
      </w:r>
    </w:p>
    <w:p>
      <w:pPr>
        <w:pStyle w:val="TextBody"/>
        <w:bidi w:val="0"/>
        <w:spacing w:before="120" w:after="0"/>
        <w:jc w:val="left"/>
        <w:rPr>
          <w:rFonts w:ascii="arial" w:hAnsi="arial"/>
          <w:spacing w:val="0"/>
          <w:sz w:val="22"/>
        </w:rPr>
      </w:pPr>
      <w:r>
        <w:rPr>
          <w:rFonts w:ascii="arial" w:hAnsi="arial"/>
          <w:spacing w:val="0"/>
          <w:sz w:val="22"/>
        </w:rPr>
        <w:t>non-employee</w:t>
      </w:r>
    </w:p>
    <w:p>
      <w:pPr>
        <w:pStyle w:val="TextBody"/>
        <w:bidi w:val="0"/>
        <w:spacing w:before="120" w:after="0"/>
        <w:jc w:val="left"/>
        <w:rPr>
          <w:rFonts w:ascii="arial" w:hAnsi="arial"/>
          <w:sz w:val="22"/>
        </w:rPr>
      </w:pPr>
      <w:r>
        <w:rPr>
          <w:rFonts w:ascii="arial" w:hAnsi="arial"/>
          <w:sz w:val="22"/>
        </w:rPr>
        <w:t xml:space="preserve">directors will be granted on the effective date of the election of the new director. If the specified grant date falls on a </w:t>
      </w:r>
    </w:p>
    <w:p>
      <w:pPr>
        <w:pStyle w:val="TextBody"/>
        <w:bidi w:val="0"/>
        <w:spacing w:before="120" w:after="0"/>
        <w:jc w:val="left"/>
        <w:rPr>
          <w:rFonts w:ascii="arial" w:hAnsi="arial"/>
          <w:spacing w:val="0"/>
          <w:sz w:val="22"/>
        </w:rPr>
      </w:pPr>
      <w:r>
        <w:rPr>
          <w:rFonts w:ascii="arial" w:hAnsi="arial"/>
          <w:spacing w:val="0"/>
          <w:sz w:val="22"/>
        </w:rPr>
        <w:t>non-business</w:t>
      </w:r>
    </w:p>
    <w:p>
      <w:pPr>
        <w:pStyle w:val="TextBody"/>
        <w:bidi w:val="0"/>
        <w:spacing w:before="120" w:after="0"/>
        <w:jc w:val="left"/>
        <w:rPr>
          <w:rFonts w:ascii="arial" w:hAnsi="arial"/>
          <w:sz w:val="22"/>
        </w:rPr>
      </w:pPr>
      <w:r>
        <w:rPr>
          <w:rFonts w:ascii="arial" w:hAnsi="arial"/>
          <w:sz w:val="22"/>
        </w:rPr>
        <w:t xml:space="preserve">day, the grant date will be the first business day immediately preceding that day. All stock options must be granted at an option price not less than the “fair market value” of a share of our common stock on the grant date. We do not schedule equity award grants in anticipation of the release of material, </w:t>
      </w:r>
    </w:p>
    <w:p>
      <w:pPr>
        <w:pStyle w:val="TextBody"/>
        <w:bidi w:val="0"/>
        <w:spacing w:before="120" w:after="0"/>
        <w:jc w:val="left"/>
        <w:rPr>
          <w:rFonts w:ascii="arial" w:hAnsi="arial"/>
          <w:spacing w:val="0"/>
          <w:sz w:val="22"/>
        </w:rPr>
      </w:pPr>
      <w:r>
        <w:rPr>
          <w:rFonts w:ascii="arial" w:hAnsi="arial"/>
          <w:spacing w:val="0"/>
          <w:sz w:val="22"/>
        </w:rPr>
        <w:t>non-public</w:t>
      </w:r>
    </w:p>
    <w:p>
      <w:pPr>
        <w:pStyle w:val="TextBody"/>
        <w:bidi w:val="0"/>
        <w:spacing w:before="120" w:after="0"/>
        <w:jc w:val="left"/>
        <w:rPr>
          <w:rFonts w:ascii="arial" w:hAnsi="arial"/>
          <w:sz w:val="22"/>
        </w:rPr>
      </w:pPr>
      <w:r>
        <w:rPr>
          <w:rFonts w:ascii="arial" w:hAnsi="arial"/>
          <w:sz w:val="22"/>
        </w:rPr>
        <w:t xml:space="preserve">information, nor do we time the release of material, </w:t>
      </w:r>
    </w:p>
    <w:p>
      <w:pPr>
        <w:pStyle w:val="TextBody"/>
        <w:bidi w:val="0"/>
        <w:spacing w:before="120" w:after="0"/>
        <w:jc w:val="left"/>
        <w:rPr>
          <w:rFonts w:ascii="arial" w:hAnsi="arial"/>
          <w:spacing w:val="0"/>
          <w:sz w:val="22"/>
        </w:rPr>
      </w:pPr>
      <w:r>
        <w:rPr>
          <w:rFonts w:ascii="arial" w:hAnsi="arial"/>
          <w:spacing w:val="0"/>
          <w:sz w:val="22"/>
        </w:rPr>
        <w:t>non-public</w:t>
      </w:r>
    </w:p>
    <w:p>
      <w:pPr>
        <w:pStyle w:val="TextBody"/>
        <w:bidi w:val="0"/>
        <w:spacing w:before="120" w:after="0"/>
        <w:jc w:val="left"/>
        <w:rPr>
          <w:rFonts w:ascii="arial" w:hAnsi="arial"/>
          <w:sz w:val="22"/>
        </w:rPr>
      </w:pPr>
      <w:r>
        <w:rPr>
          <w:rFonts w:ascii="arial" w:hAnsi="arial"/>
          <w:sz w:val="22"/>
        </w:rPr>
        <w:t xml:space="preserve">information based on equity grant dates.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arial" w:hAnsi="arial"/>
          <w:b/>
          <w:color w:val="CF0A2C"/>
          <w:spacing w:val="0"/>
          <w:sz w:val="28"/>
        </w:rPr>
      </w:pPr>
      <w:r>
        <w:rPr>
          <w:rFonts w:ascii="arial" w:hAnsi="arial"/>
          <w:b/>
          <w:color w:val="CF0A2C"/>
          <w:spacing w:val="0"/>
          <w:sz w:val="28"/>
        </w:rPr>
        <w:t xml:space="preserve">Tax and Accounting Considerations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i/>
          <w:caps w:val="false"/>
          <w:smallCaps w:val="false"/>
          <w:spacing w:val="0"/>
          <w:sz w:val="22"/>
        </w:rPr>
      </w:pPr>
      <w:r>
        <w:rPr>
          <w:rFonts w:ascii="arial" w:hAnsi="arial"/>
          <w:i/>
          <w:caps w:val="false"/>
          <w:smallCaps w:val="false"/>
          <w:spacing w:val="0"/>
          <w:sz w:val="22"/>
        </w:rPr>
        <w:t xml:space="preserve">Deductibility of Compensation </w:t>
      </w:r>
    </w:p>
    <w:p>
      <w:pPr>
        <w:pStyle w:val="TextBody"/>
        <w:bidi w:val="0"/>
        <w:spacing w:before="120" w:after="0"/>
        <w:jc w:val="left"/>
        <w:rPr>
          <w:rFonts w:ascii="arial" w:hAnsi="arial"/>
          <w:sz w:val="22"/>
        </w:rPr>
      </w:pPr>
      <w:r>
        <w:rPr>
          <w:rFonts w:ascii="arial" w:hAnsi="arial"/>
          <w:sz w:val="22"/>
        </w:rPr>
        <w:t xml:space="preserve">Section 162(m) of the Code generally disallows for public companies a tax deduction for federal income tax purposes of remuneration in excess of $1 million paid to the chief executive officer, chief financial officer, and each of the three other most </w:t>
      </w:r>
    </w:p>
    <w:p>
      <w:pPr>
        <w:pStyle w:val="TextBody"/>
        <w:bidi w:val="0"/>
        <w:spacing w:before="120" w:after="0"/>
        <w:jc w:val="left"/>
        <w:rPr>
          <w:rFonts w:ascii="arial" w:hAnsi="arial"/>
          <w:spacing w:val="0"/>
          <w:sz w:val="22"/>
        </w:rPr>
      </w:pPr>
      <w:r>
        <w:rPr>
          <w:rFonts w:ascii="arial" w:hAnsi="arial"/>
          <w:spacing w:val="0"/>
          <w:sz w:val="22"/>
        </w:rPr>
        <w:t>highly-compensated</w:t>
      </w:r>
    </w:p>
    <w:p>
      <w:pPr>
        <w:pStyle w:val="TextBody"/>
        <w:bidi w:val="0"/>
        <w:spacing w:before="120" w:after="0"/>
        <w:jc w:val="left"/>
        <w:rPr>
          <w:rFonts w:ascii="arial" w:hAnsi="arial"/>
          <w:sz w:val="22"/>
        </w:rPr>
      </w:pPr>
      <w:r>
        <w:rPr>
          <w:rFonts w:ascii="arial" w:hAnsi="arial"/>
          <w:sz w:val="22"/>
        </w:rPr>
        <w:t xml:space="preserve">executive officers in any taxable year. To maintain flexibility to compensate our executive officers in a manner designed to promote short-term and long-term corporate goals and objectives, the Compensation Committee has not adopted a policy that all compensation must be deductible. The Compensation Committee believes that our stockholder interests are best served if its discretion and flexibility in structuring compensation programs to attract, motivate, and retain key executives is not restricted, even though </w:t>
      </w:r>
    </w:p>
    <w:p>
      <w:pPr>
        <w:pStyle w:val="TextBody"/>
        <w:bidi w:val="0"/>
        <w:spacing w:before="120" w:after="0"/>
        <w:jc w:val="left"/>
        <w:rPr>
          <w:rFonts w:ascii="arial" w:hAnsi="arial"/>
          <w:spacing w:val="0"/>
          <w:sz w:val="22"/>
        </w:rPr>
      </w:pPr>
      <w:r>
        <w:rPr>
          <w:rFonts w:ascii="arial" w:hAnsi="arial"/>
          <w:spacing w:val="0"/>
          <w:sz w:val="22"/>
        </w:rPr>
        <w:t xml:space="preserve">such </w:t>
      </w:r>
    </w:p>
    <w:p>
      <w:pPr>
        <w:pStyle w:val="TextBody"/>
        <w:bidi w:val="0"/>
        <w:spacing w:before="120" w:after="0"/>
        <w:jc w:val="left"/>
        <w:rPr>
          <w:rFonts w:ascii="arial" w:hAnsi="arial"/>
          <w:sz w:val="22"/>
        </w:rPr>
      </w:pPr>
      <w:r>
        <w:rPr>
          <w:rFonts w:ascii="arial" w:hAnsi="arial"/>
          <w:sz w:val="22"/>
        </w:rPr>
        <w:t xml:space="preserve">arrangements may result in </w:t>
      </w:r>
    </w:p>
    <w:p>
      <w:pPr>
        <w:pStyle w:val="TextBody"/>
        <w:bidi w:val="0"/>
        <w:spacing w:before="120" w:after="0"/>
        <w:jc w:val="left"/>
        <w:rPr>
          <w:rFonts w:ascii="arial" w:hAnsi="arial"/>
          <w:spacing w:val="0"/>
          <w:sz w:val="22"/>
        </w:rPr>
      </w:pPr>
      <w:r>
        <w:rPr>
          <w:rFonts w:ascii="arial" w:hAnsi="arial"/>
          <w:spacing w:val="0"/>
          <w:sz w:val="22"/>
        </w:rPr>
        <w:t>non-deductible</w:t>
      </w:r>
    </w:p>
    <w:p>
      <w:pPr>
        <w:pStyle w:val="TextBody"/>
        <w:bidi w:val="0"/>
        <w:spacing w:before="120" w:after="0"/>
        <w:jc w:val="left"/>
        <w:rPr>
          <w:rFonts w:ascii="arial" w:hAnsi="arial"/>
          <w:sz w:val="22"/>
        </w:rPr>
      </w:pPr>
      <w:r>
        <w:rPr>
          <w:rFonts w:ascii="arial" w:hAnsi="arial"/>
          <w:sz w:val="22"/>
        </w:rPr>
        <w:t xml:space="preserve">compensation expense. Thus, the Compensation Committee may approve compensation for the named executive officers that does not comply with an exemption from the deduction limit when it believes that such compensation is consistent with the goals of our executive compensation program and is in the best interests of Sabre and our stockholders. </w:t>
      </w:r>
    </w:p>
    <w:p>
      <w:pPr>
        <w:pStyle w:val="TextBody"/>
        <w:bidi w:val="0"/>
        <w:spacing w:before="360" w:after="0"/>
        <w:jc w:val="left"/>
        <w:rPr>
          <w:caps w:val="false"/>
          <w:smallCaps w:val="false"/>
          <w:spacing w:val="0"/>
        </w:rPr>
      </w:pPr>
      <w:r>
        <w:rPr>
          <w:caps w:val="false"/>
          <w:smallCaps w:val="false"/>
          <w:spacing w:val="0"/>
        </w:rPr>
        <w:t>“</w:t>
      </w:r>
      <w:r>
        <w:rPr>
          <w:rFonts w:ascii="arial" w:hAnsi="arial"/>
          <w:i/>
          <w:caps w:val="false"/>
          <w:smallCaps w:val="false"/>
          <w:spacing w:val="0"/>
          <w:sz w:val="22"/>
        </w:rPr>
        <w:t xml:space="preserve">Golden Parachute” Payments </w:t>
      </w:r>
    </w:p>
    <w:p>
      <w:pPr>
        <w:pStyle w:val="TextBody"/>
        <w:bidi w:val="0"/>
        <w:spacing w:before="120" w:after="0"/>
        <w:jc w:val="left"/>
        <w:rPr>
          <w:rFonts w:ascii="arial" w:hAnsi="arial"/>
          <w:sz w:val="22"/>
        </w:rPr>
      </w:pPr>
      <w:r>
        <w:rPr>
          <w:rFonts w:ascii="arial" w:hAnsi="arial"/>
          <w:sz w:val="22"/>
        </w:rPr>
        <w:t xml:space="preserve">Sections 280G and 4999 of the Code provide that executive officers and directors who hold significant equity interests and certain other service providers may be subject to an excise tax if they receive payments or benefits in connection with a change in control of Sabre that exceeds certain prescribed limits, and that we, or a successor, may forfeit a deduction on the amounts subject to this additional tax. We did not provide any executive officer, including any named executive officer, with a </w:t>
      </w:r>
    </w:p>
    <w:p>
      <w:pPr>
        <w:pStyle w:val="TextBody"/>
        <w:bidi w:val="0"/>
        <w:spacing w:before="120" w:after="0"/>
        <w:jc w:val="left"/>
        <w:rPr>
          <w:spacing w:val="0"/>
        </w:rPr>
      </w:pPr>
      <w:r>
        <w:rPr>
          <w:spacing w:val="0"/>
        </w:rPr>
        <w:t>“</w:t>
      </w:r>
      <w:r>
        <w:rPr>
          <w:rFonts w:ascii="arial" w:hAnsi="arial"/>
          <w:spacing w:val="0"/>
          <w:sz w:val="22"/>
        </w:rPr>
        <w:t>gross-up”</w:t>
      </w:r>
    </w:p>
    <w:p>
      <w:pPr>
        <w:pStyle w:val="TextBody"/>
        <w:bidi w:val="0"/>
        <w:spacing w:before="120" w:after="0"/>
        <w:jc w:val="left"/>
        <w:rPr>
          <w:rFonts w:ascii="arial" w:hAnsi="arial"/>
          <w:sz w:val="22"/>
        </w:rPr>
      </w:pPr>
      <w:r>
        <w:rPr>
          <w:rFonts w:ascii="arial" w:hAnsi="arial"/>
          <w:sz w:val="22"/>
        </w:rPr>
        <w:t xml:space="preserve">or other reimbursement payment for any tax liability that he or she might owe as a result of the application of Sections 280G or 4999 during 2024, and we have not agreed and are not otherwise obligated to provide any named executive officer with such a </w:t>
      </w:r>
    </w:p>
    <w:p>
      <w:pPr>
        <w:pStyle w:val="TextBody"/>
        <w:bidi w:val="0"/>
        <w:spacing w:before="120" w:after="0"/>
        <w:jc w:val="left"/>
        <w:rPr>
          <w:spacing w:val="0"/>
        </w:rPr>
      </w:pPr>
      <w:r>
        <w:rPr>
          <w:spacing w:val="0"/>
        </w:rPr>
        <w:t>“</w:t>
      </w:r>
      <w:r>
        <w:rPr>
          <w:rFonts w:ascii="arial" w:hAnsi="arial"/>
          <w:spacing w:val="0"/>
          <w:sz w:val="22"/>
        </w:rPr>
        <w:t>gross-up”</w:t>
      </w:r>
    </w:p>
    <w:p>
      <w:pPr>
        <w:pStyle w:val="TextBody"/>
        <w:bidi w:val="0"/>
        <w:spacing w:before="120" w:after="0"/>
        <w:jc w:val="left"/>
        <w:rPr>
          <w:rFonts w:ascii="arial" w:hAnsi="arial"/>
          <w:sz w:val="22"/>
        </w:rPr>
      </w:pPr>
      <w:r>
        <w:rPr>
          <w:rFonts w:ascii="arial" w:hAnsi="arial"/>
          <w:sz w:val="22"/>
        </w:rPr>
        <w:t xml:space="preserve">or other reimbursement. </w:t>
      </w:r>
    </w:p>
    <w:p>
      <w:pPr>
        <w:pStyle w:val="TextBody"/>
        <w:bidi w:val="0"/>
        <w:spacing w:before="0" w:after="0"/>
        <w:jc w:val="left"/>
        <w:rPr/>
      </w:pPr>
      <w:r>
        <w:rPr/>
        <w:t> </w:t>
      </w:r>
    </w:p>
    <w:tbl>
      <w:tblPr>
        <w:tblW w:w="44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31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right"/>
              <w:rPr>
                <w:color w:val="CF0A2C"/>
                <w:spacing w:val="0"/>
              </w:rPr>
            </w:pPr>
            <w:r>
              <w:rPr>
                <w:color w:val="CF0A2C"/>
                <w:spacing w:val="0"/>
              </w:rPr>
              <w:drawing>
                <wp:inline distT="0" distB="0" distL="0" distR="0">
                  <wp:extent cx="506095" cy="12255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506095" cy="122555"/>
                          </a:xfrm>
                          <a:prstGeom prst="rect">
                            <a:avLst/>
                          </a:prstGeom>
                        </pic:spPr>
                      </pic:pic>
                    </a:graphicData>
                  </a:graphic>
                </wp:inline>
              </w:drawing>
            </w:r>
            <w:r>
              <w:rPr>
                <w:color w:val="CF0A2C"/>
                <w:spacing w:val="0"/>
              </w:rPr>
              <w:t xml:space="preserve">  </w:t>
            </w:r>
            <w:r>
              <w:rPr>
                <w:b/>
                <w:color w:val="CF0A2C"/>
                <w:spacing w:val="0"/>
              </w:rPr>
              <w:t>Sabre Corporation </w:t>
            </w:r>
          </w:p>
          <w:p>
            <w:pPr>
              <w:pStyle w:val="TableContents"/>
              <w:bidi w:val="0"/>
              <w:spacing w:before="0" w:after="0"/>
              <w:jc w:val="right"/>
              <w:rPr>
                <w:color w:val="CF0A2C"/>
                <w:spacing w:val="0"/>
              </w:rPr>
            </w:pPr>
            <w:r>
              <w:rPr>
                <w:color w:val="CF0A2C"/>
                <w:spacing w:val="0"/>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260" w:type="dxa"/>
            <w:tcBorders/>
            <w:vAlign w:val="center"/>
          </w:tcPr>
          <w:p>
            <w:pPr>
              <w:pStyle w:val="TableContents"/>
              <w:bidi w:val="0"/>
              <w:spacing w:before="0" w:after="0"/>
              <w:jc w:val="right"/>
              <w:rPr>
                <w:b/>
                <w:color w:val="666666"/>
                <w:spacing w:val="0"/>
              </w:rPr>
            </w:pPr>
            <w:r>
              <w:rPr>
                <w:b/>
                <w:color w:val="666666"/>
                <w:spacing w:val="0"/>
              </w:rPr>
              <w:t>73</w:t>
            </w:r>
          </w:p>
        </w:tc>
        <w:tc>
          <w:tcPr>
            <w:tcW w:w="75" w:type="dxa"/>
            <w:tcBorders/>
            <w:vAlign w:val="center"/>
          </w:tcPr>
          <w:p>
            <w:pPr>
              <w:pStyle w:val="TableContents"/>
              <w:bidi w:val="0"/>
              <w:spacing w:before="0" w:after="0"/>
              <w:jc w:val="left"/>
              <w:rPr>
                <w:color w:val="666666"/>
                <w:spacing w:val="0"/>
              </w:rPr>
            </w:pPr>
            <w:r>
              <w:rPr>
                <w:color w:val="666666"/>
                <w:spacing w:val="0"/>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4310"/>
        <w:gridCol w:w="60"/>
        <w:gridCol w:w="23"/>
        <w:gridCol w:w="60"/>
        <w:gridCol w:w="23"/>
        <w:gridCol w:w="60"/>
        <w:gridCol w:w="23"/>
        <w:gridCol w:w="60"/>
        <w:gridCol w:w="38"/>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Accounting for Stock-Based Compensation </w:t>
      </w:r>
    </w:p>
    <w:p>
      <w:pPr>
        <w:pStyle w:val="TextBody"/>
        <w:bidi w:val="0"/>
        <w:spacing w:before="120" w:after="0"/>
        <w:jc w:val="left"/>
        <w:rPr>
          <w:rFonts w:ascii="arial" w:hAnsi="arial"/>
          <w:sz w:val="22"/>
        </w:rPr>
      </w:pPr>
      <w:r>
        <w:rPr>
          <w:rFonts w:ascii="arial" w:hAnsi="arial"/>
          <w:sz w:val="22"/>
        </w:rPr>
        <w:t xml:space="preserve">We follow ASC Topic 718 for our stock-based compensation awards, which requires companies to measure the compensation expense for all share-based payment awards made to employees and directors, including stock options, stock appreciation rights, and other awards, based on the grant date “fair value” of these awards. This calculation is performed for accounting purposes and reported in the compensation tables below, even though our employees, including our executive officers, and directors may never realize any value from their awards. ASC Topic 718 also requires companies to recognize the compensation cost of their stock-based compensation awards in their income statements over the period that an employee or director is required to render service in exchange for the stock option, stock appreciation right, or other award.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431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COMPENSATION DISCUSSION AND ANALYSIS 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56" w:name="tx888712_55"/>
      <w:bookmarkEnd w:id="56"/>
      <w:r>
        <w:rPr>
          <w:rFonts w:ascii="arial" w:hAnsi="arial"/>
          <w:b/>
          <w:color w:val="CF0A2C"/>
          <w:sz w:val="28"/>
        </w:rPr>
        <w:t xml:space="preserve">Compensation Committee Report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Compensation Committee has reviewed and discussed the Compensation Discussion and Analysis with our management, which has the responsibility for preparing the Compensation Discussion and Analysis. Based upon this review and discussion, the Compensation Committee recommended to our Board of Directors that the Compensation Discussion and Analysis be included in this proxy statement and incorporated by reference in our Annual Report on Form 10-K filed with the SEC for the fiscal year ended December 31, 2024. </w:t>
      </w:r>
    </w:p>
    <w:p>
      <w:pPr>
        <w:pStyle w:val="TextBody"/>
        <w:bidi w:val="0"/>
        <w:spacing w:before="240" w:after="0"/>
        <w:jc w:val="left"/>
        <w:rPr>
          <w:rFonts w:ascii="arial" w:hAnsi="arial"/>
          <w:sz w:val="22"/>
        </w:rPr>
      </w:pPr>
      <w:r>
        <w:rPr>
          <w:rFonts w:ascii="arial" w:hAnsi="arial"/>
          <w:sz w:val="22"/>
        </w:rPr>
        <w:t xml:space="preserve">COMPENSATION COMMITTEE OF </w:t>
      </w:r>
    </w:p>
    <w:p>
      <w:pPr>
        <w:pStyle w:val="TextBody"/>
        <w:bidi w:val="0"/>
        <w:spacing w:before="0" w:after="0"/>
        <w:jc w:val="left"/>
        <w:rPr>
          <w:rFonts w:ascii="arial" w:hAnsi="arial"/>
          <w:sz w:val="22"/>
        </w:rPr>
      </w:pPr>
      <w:r>
        <w:rPr>
          <w:rFonts w:ascii="arial" w:hAnsi="arial"/>
          <w:sz w:val="22"/>
        </w:rPr>
        <w:t xml:space="preserve">THE BOARD OF DIRECTORS </w:t>
      </w:r>
    </w:p>
    <w:p>
      <w:pPr>
        <w:pStyle w:val="TextBody"/>
        <w:bidi w:val="0"/>
        <w:spacing w:before="240" w:after="0"/>
        <w:jc w:val="left"/>
        <w:rPr>
          <w:rFonts w:ascii="arial" w:hAnsi="arial"/>
          <w:sz w:val="22"/>
        </w:rPr>
      </w:pPr>
      <w:r>
        <w:rPr>
          <w:rFonts w:ascii="arial" w:hAnsi="arial"/>
          <w:sz w:val="22"/>
        </w:rPr>
        <w:t xml:space="preserve">John Scott, Chair </w:t>
      </w:r>
    </w:p>
    <w:p>
      <w:pPr>
        <w:pStyle w:val="TextBody"/>
        <w:bidi w:val="0"/>
        <w:spacing w:before="0" w:after="0"/>
        <w:jc w:val="left"/>
        <w:rPr>
          <w:rFonts w:ascii="arial" w:hAnsi="arial"/>
          <w:sz w:val="22"/>
        </w:rPr>
      </w:pPr>
      <w:r>
        <w:rPr>
          <w:rFonts w:ascii="arial" w:hAnsi="arial"/>
          <w:sz w:val="22"/>
        </w:rPr>
        <w:t xml:space="preserve">Gail Mandel </w:t>
      </w:r>
    </w:p>
    <w:p>
      <w:pPr>
        <w:pStyle w:val="TextBody"/>
        <w:bidi w:val="0"/>
        <w:spacing w:before="0" w:after="0"/>
        <w:jc w:val="left"/>
        <w:rPr>
          <w:rFonts w:ascii="arial" w:hAnsi="arial"/>
          <w:sz w:val="22"/>
        </w:rPr>
      </w:pPr>
      <w:r>
        <w:rPr>
          <w:rFonts w:ascii="arial" w:hAnsi="arial"/>
          <w:sz w:val="22"/>
        </w:rPr>
        <w:t xml:space="preserve">Wendi Sturgis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75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57" w:name="tx888712_56"/>
      <w:bookmarkEnd w:id="57"/>
      <w:r>
        <w:rPr>
          <w:rFonts w:ascii="arial" w:hAnsi="arial"/>
          <w:b/>
          <w:color w:val="CF0A2C"/>
          <w:sz w:val="44"/>
        </w:rPr>
        <w:t xml:space="preserve">EXECUTIVE COMPENSATION </w:t>
      </w:r>
    </w:p>
    <w:p>
      <w:pPr>
        <w:pStyle w:val="TextBody"/>
        <w:bidi w:val="0"/>
        <w:spacing w:before="0" w:after="0"/>
        <w:jc w:val="left"/>
        <w:rPr/>
      </w:pPr>
      <w:r>
        <w:rPr/>
        <w:t> </w:t>
      </w:r>
    </w:p>
    <w:p>
      <w:pPr>
        <w:pStyle w:val="TextBody"/>
        <w:bidi w:val="0"/>
        <w:spacing w:before="120" w:after="0"/>
        <w:jc w:val="left"/>
        <w:rPr>
          <w:rFonts w:ascii="arial" w:hAnsi="arial"/>
          <w:b/>
          <w:color w:val="CF0A2C"/>
          <w:sz w:val="28"/>
        </w:rPr>
      </w:pPr>
      <w:bookmarkStart w:id="58" w:name="tx888712_57"/>
      <w:bookmarkEnd w:id="58"/>
      <w:r>
        <w:rPr>
          <w:rFonts w:ascii="arial" w:hAnsi="arial"/>
          <w:b/>
          <w:color w:val="CF0A2C"/>
          <w:sz w:val="28"/>
        </w:rPr>
        <w:t xml:space="preserve">2024 Summary Compensation Table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following table sets forth the compensation paid to, received by, or earned during fiscal years 2024, 2023, and 2022 by our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15"/>
        <w:gridCol w:w="60"/>
        <w:gridCol w:w="63"/>
        <w:gridCol w:w="63"/>
        <w:gridCol w:w="539"/>
        <w:gridCol w:w="66"/>
        <w:gridCol w:w="60"/>
        <w:gridCol w:w="60"/>
        <w:gridCol w:w="140"/>
        <w:gridCol w:w="800"/>
        <w:gridCol w:w="60"/>
        <w:gridCol w:w="60"/>
        <w:gridCol w:w="60"/>
        <w:gridCol w:w="140"/>
        <w:gridCol w:w="800"/>
        <w:gridCol w:w="60"/>
        <w:gridCol w:w="60"/>
        <w:gridCol w:w="60"/>
        <w:gridCol w:w="140"/>
        <w:gridCol w:w="980"/>
        <w:gridCol w:w="60"/>
        <w:gridCol w:w="60"/>
        <w:gridCol w:w="77"/>
        <w:gridCol w:w="181"/>
        <w:gridCol w:w="1272"/>
        <w:gridCol w:w="80"/>
        <w:gridCol w:w="60"/>
        <w:gridCol w:w="77"/>
        <w:gridCol w:w="181"/>
        <w:gridCol w:w="1272"/>
        <w:gridCol w:w="80"/>
        <w:gridCol w:w="60"/>
        <w:gridCol w:w="60"/>
        <w:gridCol w:w="140"/>
        <w:gridCol w:w="980"/>
        <w:gridCol w:w="79"/>
      </w:tblGrid>
      <w:tr>
        <w:trPr/>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215" w:type="dxa"/>
            <w:tcBorders/>
            <w:shd w:fill="666666" w:val="clear"/>
            <w:vAlign w:val="center"/>
          </w:tcPr>
          <w:p>
            <w:pPr>
              <w:pStyle w:val="TableContents"/>
              <w:bidi w:val="0"/>
              <w:spacing w:before="0" w:after="283"/>
              <w:jc w:val="center"/>
              <w:rPr>
                <w:b/>
                <w:color w:val="FFFFFF"/>
              </w:rPr>
            </w:pPr>
            <w:r>
              <w:rPr>
                <w:b/>
                <w:color w:val="FFFFFF"/>
              </w:rPr>
              <w:t xml:space="preserve">Name and </w:t>
              <w:br/>
              <w:t>Principal</w:t>
              <w:br/>
              <w:t>Position(1)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731"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Fiscal </w:t>
              <w:br/>
              <w:t>Year 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60" w:type="dxa"/>
            <w:gridSpan w:val="4"/>
            <w:tcBorders/>
            <w:shd w:fill="666666" w:val="clear"/>
            <w:vAlign w:val="center"/>
          </w:tcPr>
          <w:p>
            <w:pPr>
              <w:pStyle w:val="TableContents"/>
              <w:bidi w:val="0"/>
              <w:spacing w:before="0" w:after="0"/>
              <w:jc w:val="center"/>
              <w:rPr>
                <w:color w:val="FFFFFF"/>
              </w:rPr>
            </w:pPr>
            <w:r>
              <w:rPr>
                <w:color w:val="FFFFFF"/>
              </w:rPr>
              <w:t> </w:t>
            </w:r>
            <w:r>
              <w:rPr>
                <w:rFonts w:ascii="arial" w:hAnsi="arial"/>
                <w:b/>
                <w:color w:val="FFFFFF"/>
                <w:sz w:val="18"/>
              </w:rPr>
              <w:t>Salary </w:t>
            </w:r>
          </w:p>
          <w:p>
            <w:pPr>
              <w:pStyle w:val="TableContents"/>
              <w:bidi w:val="0"/>
              <w:spacing w:before="0" w:after="20"/>
              <w:jc w:val="center"/>
              <w:rPr>
                <w:rFonts w:ascii="arial" w:hAnsi="arial"/>
                <w:b/>
                <w:color w:val="FFFFFF"/>
                <w:sz w:val="18"/>
              </w:rPr>
            </w:pPr>
            <w:r>
              <w:rPr>
                <w:rFonts w:ascii="arial" w:hAnsi="arial"/>
                <w:b/>
                <w:color w:val="FFFFFF"/>
                <w:sz w:val="18"/>
              </w:rPr>
              <w:t>($)</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6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Bonus</w:t>
            </w:r>
          </w:p>
          <w:p>
            <w:pPr>
              <w:pStyle w:val="TableContents"/>
              <w:bidi w:val="0"/>
              <w:spacing w:before="0" w:after="20"/>
              <w:jc w:val="center"/>
              <w:rPr>
                <w:rFonts w:ascii="arial" w:hAnsi="arial"/>
                <w:b/>
                <w:color w:val="FFFFFF"/>
                <w:sz w:val="18"/>
              </w:rPr>
            </w:pPr>
            <w:r>
              <w:rPr>
                <w:rFonts w:ascii="arial" w:hAnsi="arial"/>
                <w:b/>
                <w:color w:val="FFFFFF"/>
                <w:sz w:val="18"/>
              </w:rPr>
              <w:t>($)(2)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4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Stock</w:t>
            </w:r>
          </w:p>
          <w:p>
            <w:pPr>
              <w:pStyle w:val="TableContents"/>
              <w:bidi w:val="0"/>
              <w:spacing w:before="0" w:after="0"/>
              <w:jc w:val="center"/>
              <w:rPr>
                <w:rFonts w:ascii="arial" w:hAnsi="arial"/>
                <w:b/>
                <w:color w:val="FFFFFF"/>
                <w:sz w:val="18"/>
              </w:rPr>
            </w:pPr>
            <w:r>
              <w:rPr>
                <w:rFonts w:ascii="arial" w:hAnsi="arial"/>
                <w:b/>
                <w:color w:val="FFFFFF"/>
                <w:sz w:val="18"/>
              </w:rPr>
              <w:t>Awards</w:t>
            </w:r>
          </w:p>
          <w:p>
            <w:pPr>
              <w:pStyle w:val="TableContents"/>
              <w:bidi w:val="0"/>
              <w:spacing w:before="0" w:after="20"/>
              <w:jc w:val="center"/>
              <w:rPr>
                <w:rFonts w:ascii="arial" w:hAnsi="arial"/>
                <w:b/>
                <w:color w:val="FFFFFF"/>
                <w:sz w:val="18"/>
              </w:rPr>
            </w:pPr>
            <w:r>
              <w:rPr>
                <w:rFonts w:ascii="arial" w:hAnsi="arial"/>
                <w:b/>
                <w:color w:val="FFFFFF"/>
                <w:sz w:val="18"/>
              </w:rPr>
              <w:t>($)(3)</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10" w:type="dxa"/>
            <w:gridSpan w:val="4"/>
            <w:tcBorders/>
            <w:shd w:fill="666666" w:val="clear"/>
            <w:vAlign w:val="center"/>
          </w:tcPr>
          <w:p>
            <w:pPr>
              <w:pStyle w:val="TableContents"/>
              <w:bidi w:val="0"/>
              <w:spacing w:before="0" w:after="283"/>
              <w:jc w:val="center"/>
              <w:rPr>
                <w:b/>
                <w:color w:val="FFFFFF"/>
              </w:rPr>
            </w:pPr>
            <w:r>
              <w:rPr>
                <w:b/>
                <w:color w:val="FFFFFF"/>
              </w:rPr>
              <w:t>Non-Equity</w:t>
              <w:br/>
              <w:t>Incentive Plan</w:t>
              <w:br/>
              <w:t>Compensation </w:t>
              <w:br/>
              <w:t>   ($)(4)</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610" w:type="dxa"/>
            <w:gridSpan w:val="4"/>
            <w:tcBorders/>
            <w:shd w:fill="666666" w:val="clear"/>
            <w:vAlign w:val="center"/>
          </w:tcPr>
          <w:p>
            <w:pPr>
              <w:pStyle w:val="TableContents"/>
              <w:bidi w:val="0"/>
              <w:spacing w:before="0" w:after="283"/>
              <w:jc w:val="center"/>
              <w:rPr>
                <w:b/>
                <w:color w:val="FFFFFF"/>
              </w:rPr>
            </w:pPr>
            <w:r>
              <w:rPr>
                <w:b/>
                <w:color w:val="FFFFFF"/>
              </w:rPr>
              <w:t>All Other</w:t>
              <w:br/>
              <w:t>Compensation </w:t>
              <w:br/>
              <w:t> ($)(5)</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59"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center"/>
              <w:rPr>
                <w:rFonts w:ascii="arial" w:hAnsi="arial"/>
                <w:b/>
                <w:color w:val="FFFFFF"/>
                <w:sz w:val="18"/>
              </w:rPr>
            </w:pPr>
            <w:r>
              <w:rPr>
                <w:rFonts w:ascii="arial" w:hAnsi="arial"/>
                <w:b/>
                <w:color w:val="FFFFFF"/>
                <w:sz w:val="18"/>
              </w:rPr>
              <w:t>($)</w:t>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Kurt Ekert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Chief Executive Officer and</w:t>
            </w:r>
          </w:p>
          <w:p>
            <w:pPr>
              <w:pStyle w:val="TableContents"/>
              <w:bidi w:val="0"/>
              <w:spacing w:before="0" w:after="20"/>
              <w:jc w:val="left"/>
              <w:rPr>
                <w:rFonts w:ascii="arial" w:hAnsi="arial"/>
                <w:sz w:val="16"/>
              </w:rPr>
            </w:pPr>
            <w:r>
              <w:rPr>
                <w:rFonts w:ascii="arial" w:hAnsi="arial"/>
                <w:sz w:val="16"/>
              </w:rPr>
              <w:t>President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900,000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6,075,708</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1,485,000</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69,822</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8,530,530</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2023</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852,116</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6,329,742</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1,126,808</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172,024</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8,480,690</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2022</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750,000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4,101,674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932,363</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156,482</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5,940,519</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Executive Vice President</w:t>
            </w:r>
          </w:p>
          <w:p>
            <w:pPr>
              <w:pStyle w:val="TableContents"/>
              <w:bidi w:val="0"/>
              <w:spacing w:before="0" w:after="20"/>
              <w:jc w:val="left"/>
              <w:rPr>
                <w:rFonts w:ascii="arial" w:hAnsi="arial"/>
                <w:sz w:val="16"/>
              </w:rPr>
            </w:pPr>
            <w:r>
              <w:rPr>
                <w:rFonts w:ascii="arial" w:hAnsi="arial"/>
                <w:sz w:val="16"/>
              </w:rPr>
              <w:t>and Chief Financial Officer</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663,000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2,025,234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649,970</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93,234</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3,431,438</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2023</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650,000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146,250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2,301,722</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585,000</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77,925</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3,760,897</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2022</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237,500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250,000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1,540,389</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211,562</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85,812</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2,325,263</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Joe DiFonzo</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Executive Vice President</w:t>
            </w:r>
          </w:p>
          <w:p>
            <w:pPr>
              <w:pStyle w:val="TableContents"/>
              <w:bidi w:val="0"/>
              <w:spacing w:before="0" w:after="20"/>
              <w:jc w:val="left"/>
              <w:rPr>
                <w:rFonts w:ascii="arial" w:hAnsi="arial"/>
                <w:sz w:val="16"/>
              </w:rPr>
            </w:pPr>
            <w:r>
              <w:rPr>
                <w:rFonts w:ascii="arial" w:hAnsi="arial"/>
                <w:sz w:val="16"/>
              </w:rPr>
              <w:t>and Chief Information Officer</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555,500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537,777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1,518,927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552,474</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61,601</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3,226,279</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Executive Vice President</w:t>
            </w:r>
          </w:p>
          <w:p>
            <w:pPr>
              <w:pStyle w:val="TableContents"/>
              <w:bidi w:val="0"/>
              <w:spacing w:before="0" w:after="0"/>
              <w:jc w:val="left"/>
              <w:rPr>
                <w:rFonts w:ascii="arial" w:hAnsi="arial"/>
                <w:sz w:val="16"/>
              </w:rPr>
            </w:pPr>
            <w:r>
              <w:rPr>
                <w:rFonts w:ascii="arial" w:hAnsi="arial"/>
                <w:sz w:val="16"/>
              </w:rPr>
              <w:t>and Chief Commercial Officer,</w:t>
            </w:r>
          </w:p>
          <w:p>
            <w:pPr>
              <w:pStyle w:val="TableContents"/>
              <w:bidi w:val="0"/>
              <w:spacing w:before="0" w:after="20"/>
              <w:jc w:val="left"/>
              <w:rPr>
                <w:rFonts w:ascii="arial" w:hAnsi="arial"/>
                <w:sz w:val="16"/>
              </w:rPr>
            </w:pPr>
            <w:r>
              <w:rPr>
                <w:rFonts w:ascii="arial" w:hAnsi="arial"/>
                <w:sz w:val="16"/>
              </w:rPr>
              <w:t>Travel Solutions</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611,111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41,095</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1,518,927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600,997</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48,024</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2,820,154</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2023</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609,591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1,726,291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517,421</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143,394</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2,996,697</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2022</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547,628</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1,499,991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467,760</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73,282</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2,588,661</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Garry Wiseman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Executive Vice President and Chief Product</w:t>
            </w:r>
          </w:p>
          <w:p>
            <w:pPr>
              <w:pStyle w:val="TableContents"/>
              <w:bidi w:val="0"/>
              <w:spacing w:before="0" w:after="20"/>
              <w:jc w:val="left"/>
              <w:rPr>
                <w:rFonts w:ascii="arial" w:hAnsi="arial"/>
                <w:sz w:val="16"/>
              </w:rPr>
            </w:pPr>
            <w:r>
              <w:rPr>
                <w:rFonts w:ascii="arial" w:hAnsi="arial"/>
                <w:sz w:val="16"/>
              </w:rPr>
              <w:t>and Technology Officer, Travel Solutions</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606,000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1,518,927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566,641</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123,395</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2,814,963</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1215" w:type="dxa"/>
            <w:tcBorders/>
            <w:vAlign w:val="center"/>
          </w:tcPr>
          <w:p>
            <w:pPr>
              <w:pStyle w:val="TableContents"/>
              <w:bidi w:val="0"/>
              <w:spacing w:before="0" w:after="0"/>
              <w:jc w:val="left"/>
              <w:rPr>
                <w:rFonts w:ascii="arial" w:hAnsi="arial"/>
                <w:b/>
                <w:sz w:val="16"/>
              </w:rPr>
            </w:pPr>
            <w:r>
              <w:rPr>
                <w:rFonts w:ascii="arial" w:hAnsi="arial"/>
                <w:b/>
                <w:sz w:val="16"/>
              </w:rPr>
              <w:t>Ann Bruder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215" w:type="dxa"/>
            <w:vMerge w:val="restart"/>
            <w:tcBorders/>
            <w:shd w:fill="E5E5E5" w:val="clear"/>
            <w:vAlign w:val="center"/>
          </w:tcPr>
          <w:p>
            <w:pPr>
              <w:pStyle w:val="TableContents"/>
              <w:bidi w:val="0"/>
              <w:spacing w:before="0" w:after="0"/>
              <w:jc w:val="left"/>
              <w:rPr>
                <w:rFonts w:ascii="arial" w:hAnsi="arial"/>
                <w:sz w:val="16"/>
              </w:rPr>
            </w:pPr>
            <w:r>
              <w:rPr>
                <w:rFonts w:ascii="arial" w:hAnsi="arial"/>
                <w:sz w:val="16"/>
              </w:rPr>
              <w:t>Former Executive Vice President and Chief Legal Officer</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509,482</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1,518,927</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1,500,245</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3,528,654</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15" w:type="dxa"/>
            <w:vMerge w:val="continue"/>
            <w:tcBorders/>
            <w:shd w:fill="E5E5E5" w:val="clear"/>
            <w:vAlign w:val="center"/>
          </w:tcPr>
          <w:p>
            <w:pPr>
              <w:pStyle w:val="Normal"/>
              <w:bidi w:val="0"/>
              <w:jc w:val="left"/>
              <w:rPr/>
            </w:pPr>
            <w:r>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39" w:type="dxa"/>
            <w:tcBorders>
              <w:bottom w:val="single" w:sz="6" w:space="0" w:color="FFFFFF"/>
            </w:tcBorders>
            <w:shd w:fill="E5E5E5" w:val="clear"/>
            <w:tcMar>
              <w:bottom w:w="28" w:type="dxa"/>
            </w:tcMar>
            <w:vAlign w:val="center"/>
          </w:tcPr>
          <w:p>
            <w:pPr>
              <w:pStyle w:val="TableContents"/>
              <w:bidi w:val="0"/>
              <w:spacing w:before="0" w:after="283"/>
              <w:jc w:val="right"/>
              <w:rPr/>
            </w:pPr>
            <w:r>
              <w:rPr/>
              <w:t>2023</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403,846</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500,000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1,726,291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342,329</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8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272" w:type="dxa"/>
            <w:tcBorders>
              <w:bottom w:val="single" w:sz="6" w:space="0" w:color="FFFFFF"/>
            </w:tcBorders>
            <w:shd w:fill="E5E5E5" w:val="clear"/>
            <w:tcMar>
              <w:bottom w:w="28" w:type="dxa"/>
            </w:tcMar>
            <w:vAlign w:val="center"/>
          </w:tcPr>
          <w:p>
            <w:pPr>
              <w:pStyle w:val="TableContents"/>
              <w:bidi w:val="0"/>
              <w:spacing w:before="0" w:after="283"/>
              <w:jc w:val="right"/>
              <w:rPr/>
            </w:pPr>
            <w:r>
              <w:rPr/>
              <w:t>22,210</w:t>
            </w:r>
          </w:p>
        </w:tc>
        <w:tc>
          <w:tcPr>
            <w:tcW w:w="80"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2,994,676</w:t>
            </w:r>
          </w:p>
        </w:tc>
        <w:tc>
          <w:tcPr>
            <w:tcW w:w="7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left"/>
              <w:rPr>
                <w:rFonts w:ascii="arial" w:hAnsi="arial"/>
                <w:sz w:val="18"/>
              </w:rPr>
            </w:pPr>
            <w:r>
              <w:rPr>
                <w:rFonts w:ascii="arial" w:hAnsi="arial"/>
                <w:sz w:val="18"/>
              </w:rPr>
              <w:t xml:space="preserve">Ms. Bruder ceased serving as Executive Vice President and Chief Legal Officer effective as of September 13, 2024, and her last day of employment with Sabre was October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arial" w:hAnsi="arial"/>
                <w:sz w:val="18"/>
              </w:rPr>
            </w:pPr>
            <w:r>
              <w:rPr>
                <w:rFonts w:ascii="arial" w:hAnsi="arial"/>
                <w:sz w:val="18"/>
              </w:rPr>
              <w:t xml:space="preserve">For 2024, this represents (a) an additional cash payment to Mr. DiFonzo in the amount of 8% of his 2024 EIP, or $37,777, in recognition of his significant role in the accomplishment of Sabre’s technology transformation objectives, (b) the payment of $500,000 pursuant to a long-term cash incentive award granted to Mr. DiFonzo in 2021 prior to his appointment as an executive officer, and (c) an additional cash payment to Mr. Mendis in the amount of 8% of his 2024 EIP, or $41,095, in light of his role in the successful completion of key customer agreements and accomplishment of key growth strategies in 2024 related to the Travel Solutions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 the “Stock Awards” column represent the aggregate grant date fair value of the stock-based awards granted to our named executive officers in the years indicated, as computed in accordance with ASC Topic 718, disregarding the impact of estimated forfeitures. The assumptions used in calculating the grant date fair value of these stock-based awards are set forth in Note 15, Equity-Based Awards, to the audited consolidated financial statements included in our Annual Report on Form 10-K for the year ended December 31, 2024. Note that the amounts reported in this column reflect the accounting cost for these stock-based awards, and do not correspond to the actual economic value that may be received by our named executive officers from these awards. The value on the date of grant of the PSUs granted on May 15, 2024, using our closing stock price on that date of $3.17 and assuming that the highest level of the performance conditions were achieved, would have been $6,000,000, $2,000,000, $1,500,000, $1,500,000, $1,500,000, and $1,500,000 for Mr. Ekert, Mr. Randolfi, Mr. DiFonzo, Mr. Mendis, Mr. Wiseman, and Ms. Bruder,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 the “Non-Equity Incentive Plan Compensation” column represent the amounts paid to our named executive officers for the years indicated pursuant to the EIP. For a discussion of this plan, see “—Compensation Elements of Total Direct Compensation—Annual Incentive Compensation.”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in the “All Other Compensation” column are described in more detail in the following table. The amounts reported for perquisites and other personal benefits represent the actual incremental cost incurred by us in providing these benefits to the indicated named executive officer. </w:t>
            </w:r>
          </w:p>
        </w:tc>
      </w:tr>
    </w:tbl>
    <w:p>
      <w:pPr>
        <w:pStyle w:val="TextBody"/>
        <w:bidi w:val="0"/>
        <w:spacing w:before="0" w:after="0"/>
        <w:jc w:val="left"/>
        <w:rPr/>
      </w:pPr>
      <w:r>
        <w:rPr/>
        <w:t> </w:t>
      </w:r>
    </w:p>
    <w:tbl>
      <w:tblPr>
        <w:tblW w:w="12625" w:type="dxa"/>
        <w:jc w:val="left"/>
        <w:tblInd w:w="0" w:type="dxa"/>
        <w:tblLayout w:type="fixed"/>
        <w:tblCellMar>
          <w:top w:w="0" w:type="dxa"/>
          <w:left w:w="0" w:type="dxa"/>
          <w:bottom w:w="0" w:type="dxa"/>
          <w:right w:w="0" w:type="dxa"/>
        </w:tblCellMar>
      </w:tblPr>
      <w:tblGrid>
        <w:gridCol w:w="1220"/>
        <w:gridCol w:w="60"/>
        <w:gridCol w:w="60"/>
        <w:gridCol w:w="60"/>
        <w:gridCol w:w="500"/>
        <w:gridCol w:w="23"/>
        <w:gridCol w:w="60"/>
        <w:gridCol w:w="104"/>
        <w:gridCol w:w="244"/>
        <w:gridCol w:w="664"/>
        <w:gridCol w:w="43"/>
        <w:gridCol w:w="60"/>
        <w:gridCol w:w="88"/>
        <w:gridCol w:w="205"/>
        <w:gridCol w:w="997"/>
        <w:gridCol w:w="35"/>
        <w:gridCol w:w="60"/>
        <w:gridCol w:w="65"/>
        <w:gridCol w:w="151"/>
        <w:gridCol w:w="737"/>
        <w:gridCol w:w="27"/>
        <w:gridCol w:w="60"/>
        <w:gridCol w:w="73"/>
        <w:gridCol w:w="170"/>
        <w:gridCol w:w="828"/>
        <w:gridCol w:w="29"/>
        <w:gridCol w:w="60"/>
        <w:gridCol w:w="90"/>
        <w:gridCol w:w="210"/>
        <w:gridCol w:w="1020"/>
        <w:gridCol w:w="35"/>
        <w:gridCol w:w="60"/>
        <w:gridCol w:w="60"/>
        <w:gridCol w:w="140"/>
        <w:gridCol w:w="680"/>
        <w:gridCol w:w="23"/>
        <w:gridCol w:w="60"/>
        <w:gridCol w:w="60"/>
        <w:gridCol w:w="140"/>
        <w:gridCol w:w="980"/>
        <w:gridCol w:w="23"/>
        <w:gridCol w:w="60"/>
        <w:gridCol w:w="60"/>
        <w:gridCol w:w="140"/>
        <w:gridCol w:w="800"/>
        <w:gridCol w:w="23"/>
        <w:gridCol w:w="60"/>
        <w:gridCol w:w="60"/>
        <w:gridCol w:w="140"/>
        <w:gridCol w:w="980"/>
        <w:gridCol w:w="38"/>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666666"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643"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Year</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55" w:type="dxa"/>
            <w:gridSpan w:val="4"/>
            <w:tcBorders/>
            <w:shd w:fill="666666" w:val="clear"/>
            <w:vAlign w:val="center"/>
          </w:tcPr>
          <w:p>
            <w:pPr>
              <w:pStyle w:val="TableContents"/>
              <w:bidi w:val="0"/>
              <w:spacing w:before="0" w:after="283"/>
              <w:jc w:val="center"/>
              <w:rPr>
                <w:b/>
                <w:color w:val="FFFFFF"/>
              </w:rPr>
            </w:pPr>
            <w:r>
              <w:rPr>
                <w:b/>
                <w:color w:val="FFFFFF"/>
              </w:rPr>
              <w:t>Group</w:t>
              <w:br/>
              <w:t> Term Life</w:t>
              <w:br/>
              <w:t>Insurance</w:t>
              <w:br/>
              <w:t>Premiums</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25" w:type="dxa"/>
            <w:gridSpan w:val="4"/>
            <w:tcBorders/>
            <w:shd w:fill="666666" w:val="clear"/>
            <w:vAlign w:val="center"/>
          </w:tcPr>
          <w:p>
            <w:pPr>
              <w:pStyle w:val="TableContents"/>
              <w:bidi w:val="0"/>
              <w:spacing w:before="0" w:after="283"/>
              <w:jc w:val="center"/>
              <w:rPr>
                <w:b/>
                <w:color w:val="FFFFFF"/>
              </w:rPr>
            </w:pPr>
            <w:r>
              <w:rPr>
                <w:b/>
                <w:color w:val="FFFFFF"/>
              </w:rPr>
              <w:t>Executive</w:t>
              <w:br/>
              <w:t>Physical</w:t>
              <w:br/>
              <w:t>Examination</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980" w:type="dxa"/>
            <w:gridSpan w:val="4"/>
            <w:tcBorders/>
            <w:shd w:fill="666666" w:val="clear"/>
            <w:vAlign w:val="center"/>
          </w:tcPr>
          <w:p>
            <w:pPr>
              <w:pStyle w:val="TableContents"/>
              <w:bidi w:val="0"/>
              <w:spacing w:before="0" w:after="283"/>
              <w:jc w:val="center"/>
              <w:rPr>
                <w:b/>
                <w:color w:val="FFFFFF"/>
              </w:rPr>
            </w:pPr>
            <w:r>
              <w:rPr>
                <w:b/>
                <w:color w:val="FFFFFF"/>
              </w:rPr>
              <w:br/>
              <w:t> Planning</w:t>
              <w:br/>
              <w:t>Services</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00" w:type="dxa"/>
            <w:gridSpan w:val="4"/>
            <w:tcBorders/>
            <w:shd w:fill="666666" w:val="clear"/>
            <w:vAlign w:val="center"/>
          </w:tcPr>
          <w:p>
            <w:pPr>
              <w:pStyle w:val="TableContents"/>
              <w:bidi w:val="0"/>
              <w:spacing w:before="0" w:after="283"/>
              <w:jc w:val="center"/>
              <w:rPr>
                <w:b/>
                <w:color w:val="FFFFFF"/>
              </w:rPr>
            </w:pPr>
            <w:r>
              <w:rPr>
                <w:b/>
                <w:color w:val="FFFFFF"/>
              </w:rPr>
              <w:t>Relocation</w:t>
              <w:br/>
              <w:t>Assistance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55" w:type="dxa"/>
            <w:gridSpan w:val="4"/>
            <w:tcBorders/>
            <w:shd w:fill="666666" w:val="clear"/>
            <w:vAlign w:val="center"/>
          </w:tcPr>
          <w:p>
            <w:pPr>
              <w:pStyle w:val="TableContents"/>
              <w:bidi w:val="0"/>
              <w:spacing w:before="0" w:after="283"/>
              <w:jc w:val="center"/>
              <w:rPr>
                <w:b/>
                <w:color w:val="FFFFFF"/>
              </w:rPr>
            </w:pPr>
            <w:r>
              <w:rPr>
                <w:b/>
                <w:color w:val="FFFFFF"/>
              </w:rPr>
              <w:t>Section</w:t>
              <w:br/>
              <w:t>401(k) Plan</w:t>
              <w:br/>
              <w:t>Matching</w:t>
              <w:br/>
              <w:t>Contribution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903" w:type="dxa"/>
            <w:gridSpan w:val="4"/>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Tax</w:t>
            </w:r>
          </w:p>
          <w:p>
            <w:pPr>
              <w:pStyle w:val="TableContents"/>
              <w:bidi w:val="0"/>
              <w:spacing w:before="0" w:after="20"/>
              <w:jc w:val="center"/>
              <w:rPr>
                <w:color w:val="FFFFFF"/>
              </w:rPr>
            </w:pPr>
            <w:r>
              <w:rPr>
                <w:color w:val="FFFFFF"/>
              </w:rPr>
              <w:t> </w:t>
            </w:r>
            <w:r>
              <w:rPr>
                <w:rFonts w:ascii="arial" w:hAnsi="arial"/>
                <w:b/>
                <w:color w:val="FFFFFF"/>
                <w:sz w:val="16"/>
              </w:rPr>
              <w:t>Gross-Up(a)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03"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Severance(b)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23"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Other(c)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18" w:type="dxa"/>
            <w:gridSpan w:val="4"/>
            <w:tcBorders/>
            <w:shd w:fill="666666" w:val="clear"/>
            <w:vAlign w:val="center"/>
          </w:tcPr>
          <w:p>
            <w:pPr>
              <w:pStyle w:val="TableContents"/>
              <w:bidi w:val="0"/>
              <w:spacing w:before="0" w:after="283"/>
              <w:jc w:val="center"/>
              <w:rPr>
                <w:b/>
                <w:color w:val="FFFFFF"/>
              </w:rPr>
            </w:pPr>
            <w:r>
              <w:rPr>
                <w:b/>
                <w:color w:val="FFFFFF"/>
              </w:rPr>
              <w:t>Total </w:t>
            </w:r>
          </w:p>
        </w:tc>
      </w:tr>
      <w:tr>
        <w:trPr/>
        <w:tc>
          <w:tcPr>
            <w:tcW w:w="1220" w:type="dxa"/>
            <w:tcBorders/>
            <w:shd w:fill="E5E5E5" w:val="clear"/>
            <w:vAlign w:val="center"/>
          </w:tcPr>
          <w:p>
            <w:pPr>
              <w:pStyle w:val="TableContents"/>
              <w:bidi w:val="0"/>
              <w:spacing w:before="0" w:after="0"/>
              <w:jc w:val="left"/>
              <w:rPr/>
            </w:pPr>
            <w:r>
              <w:rPr/>
              <w:t> </w:t>
            </w:r>
            <w:r>
              <w:rPr>
                <w:rFonts w:ascii="arial" w:hAnsi="arial"/>
                <w:sz w:val="16"/>
              </w:rPr>
              <w:t>Kurt Ekert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E5E5E5" w:val="clear"/>
            <w:tcMar>
              <w:bottom w:w="28" w:type="dxa"/>
            </w:tcMar>
            <w:vAlign w:val="center"/>
          </w:tcPr>
          <w:p>
            <w:pPr>
              <w:pStyle w:val="TableContents"/>
              <w:bidi w:val="0"/>
              <w:spacing w:before="0" w:after="283"/>
              <w:jc w:val="right"/>
              <w:rPr/>
            </w:pPr>
            <w:r>
              <w:rPr/>
              <w:t>2024</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244"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664" w:type="dxa"/>
            <w:tcBorders>
              <w:bottom w:val="single" w:sz="6" w:space="0" w:color="FFFFFF"/>
            </w:tcBorders>
            <w:shd w:fill="E5E5E5" w:val="clear"/>
            <w:tcMar>
              <w:bottom w:w="28" w:type="dxa"/>
            </w:tcMar>
            <w:vAlign w:val="center"/>
          </w:tcPr>
          <w:p>
            <w:pPr>
              <w:pStyle w:val="TableContents"/>
              <w:bidi w:val="0"/>
              <w:spacing w:before="0" w:after="283"/>
              <w:jc w:val="right"/>
              <w:rPr/>
            </w:pPr>
            <w:r>
              <w:rPr/>
              <w:t>907</w:t>
            </w:r>
          </w:p>
        </w:tc>
        <w:tc>
          <w:tcPr>
            <w:tcW w:w="4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20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97" w:type="dxa"/>
            <w:tcBorders>
              <w:bottom w:val="single" w:sz="6" w:space="0" w:color="FFFFFF"/>
            </w:tcBorders>
            <w:shd w:fill="E5E5E5" w:val="clear"/>
            <w:tcMar>
              <w:bottom w:w="28" w:type="dxa"/>
            </w:tcMar>
            <w:vAlign w:val="center"/>
          </w:tcPr>
          <w:p>
            <w:pPr>
              <w:pStyle w:val="TableContents"/>
              <w:bidi w:val="0"/>
              <w:spacing w:before="0" w:after="283"/>
              <w:jc w:val="right"/>
              <w:rPr/>
            </w:pPr>
            <w:r>
              <w:rPr/>
              <w:t>4,666</w:t>
            </w:r>
          </w:p>
        </w:tc>
        <w:tc>
          <w:tcPr>
            <w:tcW w:w="3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5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737" w:type="dxa"/>
            <w:tcBorders>
              <w:bottom w:val="single" w:sz="6" w:space="0" w:color="FFFFFF"/>
            </w:tcBorders>
            <w:shd w:fill="E5E5E5" w:val="clear"/>
            <w:tcMar>
              <w:bottom w:w="28" w:type="dxa"/>
            </w:tcMar>
            <w:vAlign w:val="center"/>
          </w:tcPr>
          <w:p>
            <w:pPr>
              <w:pStyle w:val="TableContents"/>
              <w:bidi w:val="0"/>
              <w:spacing w:before="0" w:after="283"/>
              <w:jc w:val="right"/>
              <w:rPr/>
            </w:pPr>
            <w:r>
              <w:rPr/>
              <w:t>7,300</w:t>
            </w:r>
          </w:p>
        </w:tc>
        <w:tc>
          <w:tcPr>
            <w:tcW w:w="2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7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28"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21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0" w:type="dxa"/>
            <w:tcBorders>
              <w:bottom w:val="single" w:sz="6" w:space="0" w:color="FFFFFF"/>
            </w:tcBorders>
            <w:shd w:fill="E5E5E5" w:val="clear"/>
            <w:tcMar>
              <w:bottom w:w="28" w:type="dxa"/>
            </w:tcMar>
            <w:vAlign w:val="center"/>
          </w:tcPr>
          <w:p>
            <w:pPr>
              <w:pStyle w:val="TableContents"/>
              <w:bidi w:val="0"/>
              <w:spacing w:before="0" w:after="283"/>
              <w:jc w:val="right"/>
              <w:rPr/>
            </w:pPr>
            <w:r>
              <w:rPr/>
              <w:t>10,350</w:t>
            </w:r>
          </w:p>
        </w:tc>
        <w:tc>
          <w:tcPr>
            <w:tcW w:w="3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680" w:type="dxa"/>
            <w:tcBorders>
              <w:bottom w:val="single" w:sz="6" w:space="0" w:color="FFFFFF"/>
            </w:tcBorders>
            <w:shd w:fill="E5E5E5" w:val="clear"/>
            <w:tcMar>
              <w:bottom w:w="28" w:type="dxa"/>
            </w:tcMar>
            <w:vAlign w:val="center"/>
          </w:tcPr>
          <w:p>
            <w:pPr>
              <w:pStyle w:val="TableContents"/>
              <w:bidi w:val="0"/>
              <w:spacing w:before="0" w:after="283"/>
              <w:jc w:val="right"/>
              <w:rPr/>
            </w:pPr>
            <w:r>
              <w:rPr/>
              <w:t>30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46,569</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69,822 </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2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E5E5E5" w:val="clear"/>
            <w:tcMar>
              <w:bottom w:w="28" w:type="dxa"/>
            </w:tcMar>
            <w:vAlign w:val="center"/>
          </w:tcPr>
          <w:p>
            <w:pPr>
              <w:pStyle w:val="TableContents"/>
              <w:bidi w:val="0"/>
              <w:spacing w:before="0" w:after="283"/>
              <w:jc w:val="right"/>
              <w:rPr/>
            </w:pPr>
            <w:r>
              <w:rPr/>
              <w:t>2023</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244"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664" w:type="dxa"/>
            <w:tcBorders>
              <w:bottom w:val="single" w:sz="6" w:space="0" w:color="FFFFFF"/>
            </w:tcBorders>
            <w:shd w:fill="E5E5E5" w:val="clear"/>
            <w:tcMar>
              <w:bottom w:w="28" w:type="dxa"/>
            </w:tcMar>
            <w:vAlign w:val="center"/>
          </w:tcPr>
          <w:p>
            <w:pPr>
              <w:pStyle w:val="TableContents"/>
              <w:bidi w:val="0"/>
              <w:spacing w:before="0" w:after="283"/>
              <w:jc w:val="right"/>
              <w:rPr/>
            </w:pPr>
            <w:r>
              <w:rPr/>
              <w:t>757</w:t>
            </w:r>
          </w:p>
        </w:tc>
        <w:tc>
          <w:tcPr>
            <w:tcW w:w="4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20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97"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3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5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737" w:type="dxa"/>
            <w:tcBorders>
              <w:bottom w:val="single" w:sz="6" w:space="0" w:color="FFFFFF"/>
            </w:tcBorders>
            <w:shd w:fill="E5E5E5" w:val="clear"/>
            <w:tcMar>
              <w:bottom w:w="28" w:type="dxa"/>
            </w:tcMar>
            <w:vAlign w:val="center"/>
          </w:tcPr>
          <w:p>
            <w:pPr>
              <w:pStyle w:val="TableContents"/>
              <w:bidi w:val="0"/>
              <w:spacing w:before="0" w:after="283"/>
              <w:jc w:val="right"/>
              <w:rPr/>
            </w:pPr>
            <w:r>
              <w:rPr/>
              <w:t>12,535</w:t>
            </w:r>
          </w:p>
        </w:tc>
        <w:tc>
          <w:tcPr>
            <w:tcW w:w="2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7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28"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21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0" w:type="dxa"/>
            <w:tcBorders>
              <w:bottom w:val="single" w:sz="6" w:space="0" w:color="FFFFFF"/>
            </w:tcBorders>
            <w:shd w:fill="E5E5E5" w:val="clear"/>
            <w:tcMar>
              <w:bottom w:w="28" w:type="dxa"/>
            </w:tcMar>
            <w:vAlign w:val="center"/>
          </w:tcPr>
          <w:p>
            <w:pPr>
              <w:pStyle w:val="TableContents"/>
              <w:bidi w:val="0"/>
              <w:spacing w:before="0" w:after="283"/>
              <w:jc w:val="right"/>
              <w:rPr/>
            </w:pPr>
            <w:r>
              <w:rPr/>
              <w:t>9,900</w:t>
            </w:r>
          </w:p>
        </w:tc>
        <w:tc>
          <w:tcPr>
            <w:tcW w:w="3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148,832</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172,024 </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2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E5E5E5" w:val="clear"/>
            <w:tcMar>
              <w:bottom w:w="28" w:type="dxa"/>
            </w:tcMar>
            <w:vAlign w:val="center"/>
          </w:tcPr>
          <w:p>
            <w:pPr>
              <w:pStyle w:val="TableContents"/>
              <w:bidi w:val="0"/>
              <w:spacing w:before="0" w:after="283"/>
              <w:jc w:val="right"/>
              <w:rPr/>
            </w:pPr>
            <w:r>
              <w:rPr/>
              <w:t>2022</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4"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244"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664" w:type="dxa"/>
            <w:tcBorders>
              <w:bottom w:val="single" w:sz="6" w:space="0" w:color="FFFFFF"/>
            </w:tcBorders>
            <w:shd w:fill="E5E5E5" w:val="clear"/>
            <w:tcMar>
              <w:bottom w:w="28" w:type="dxa"/>
            </w:tcMar>
            <w:vAlign w:val="center"/>
          </w:tcPr>
          <w:p>
            <w:pPr>
              <w:pStyle w:val="TableContents"/>
              <w:bidi w:val="0"/>
              <w:spacing w:before="0" w:after="283"/>
              <w:jc w:val="right"/>
              <w:rPr/>
            </w:pPr>
            <w:r>
              <w:rPr/>
              <w:t>757</w:t>
            </w:r>
          </w:p>
        </w:tc>
        <w:tc>
          <w:tcPr>
            <w:tcW w:w="4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205"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97" w:type="dxa"/>
            <w:tcBorders>
              <w:bottom w:val="single" w:sz="6" w:space="0" w:color="FFFFFF"/>
            </w:tcBorders>
            <w:shd w:fill="E5E5E5" w:val="clear"/>
            <w:tcMar>
              <w:bottom w:w="28" w:type="dxa"/>
            </w:tcMar>
            <w:vAlign w:val="center"/>
          </w:tcPr>
          <w:p>
            <w:pPr>
              <w:pStyle w:val="TableContents"/>
              <w:bidi w:val="0"/>
              <w:spacing w:before="0" w:after="283"/>
              <w:jc w:val="right"/>
              <w:rPr/>
            </w:pPr>
            <w:r>
              <w:rPr/>
              <w:t>3,873</w:t>
            </w:r>
          </w:p>
        </w:tc>
        <w:tc>
          <w:tcPr>
            <w:tcW w:w="3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51"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737" w:type="dxa"/>
            <w:tcBorders>
              <w:bottom w:val="single" w:sz="6" w:space="0" w:color="FFFFFF"/>
            </w:tcBorders>
            <w:shd w:fill="E5E5E5" w:val="clear"/>
            <w:tcMar>
              <w:bottom w:w="28" w:type="dxa"/>
            </w:tcMar>
            <w:vAlign w:val="center"/>
          </w:tcPr>
          <w:p>
            <w:pPr>
              <w:pStyle w:val="TableContents"/>
              <w:bidi w:val="0"/>
              <w:spacing w:before="0" w:after="283"/>
              <w:jc w:val="right"/>
              <w:rPr/>
            </w:pPr>
            <w:r>
              <w:rPr/>
              <w:t>6,900</w:t>
            </w:r>
          </w:p>
        </w:tc>
        <w:tc>
          <w:tcPr>
            <w:tcW w:w="27"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7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7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28" w:type="dxa"/>
            <w:tcBorders>
              <w:bottom w:val="single" w:sz="6" w:space="0" w:color="FFFFFF"/>
            </w:tcBorders>
            <w:shd w:fill="E5E5E5" w:val="clear"/>
            <w:tcMar>
              <w:bottom w:w="28" w:type="dxa"/>
            </w:tcMar>
            <w:vAlign w:val="center"/>
          </w:tcPr>
          <w:p>
            <w:pPr>
              <w:pStyle w:val="TableContents"/>
              <w:bidi w:val="0"/>
              <w:spacing w:before="0" w:after="283"/>
              <w:jc w:val="right"/>
              <w:rPr/>
            </w:pPr>
            <w:r>
              <w:rPr/>
              <w:t>70,950</w:t>
            </w:r>
          </w:p>
        </w:tc>
        <w:tc>
          <w:tcPr>
            <w:tcW w:w="29"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9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21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20" w:type="dxa"/>
            <w:tcBorders>
              <w:bottom w:val="single" w:sz="6" w:space="0" w:color="FFFFFF"/>
            </w:tcBorders>
            <w:shd w:fill="E5E5E5" w:val="clear"/>
            <w:tcMar>
              <w:bottom w:w="28" w:type="dxa"/>
            </w:tcMar>
            <w:vAlign w:val="center"/>
          </w:tcPr>
          <w:p>
            <w:pPr>
              <w:pStyle w:val="TableContents"/>
              <w:bidi w:val="0"/>
              <w:spacing w:before="0" w:after="283"/>
              <w:jc w:val="right"/>
              <w:rPr/>
            </w:pPr>
            <w:r>
              <w:rPr/>
              <w:t>8,717</w:t>
            </w:r>
          </w:p>
        </w:tc>
        <w:tc>
          <w:tcPr>
            <w:tcW w:w="35"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680" w:type="dxa"/>
            <w:tcBorders>
              <w:bottom w:val="single" w:sz="6" w:space="0" w:color="FFFFFF"/>
            </w:tcBorders>
            <w:shd w:fill="E5E5E5" w:val="clear"/>
            <w:tcMar>
              <w:bottom w:w="28" w:type="dxa"/>
            </w:tcMar>
            <w:vAlign w:val="center"/>
          </w:tcPr>
          <w:p>
            <w:pPr>
              <w:pStyle w:val="TableContents"/>
              <w:bidi w:val="0"/>
              <w:spacing w:before="0" w:after="283"/>
              <w:jc w:val="right"/>
              <w:rPr/>
            </w:pPr>
            <w:r>
              <w:rPr/>
              <w:t>33,598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31,687</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156,482 </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pPr>
            <w:r>
              <w:rPr/>
              <w:t> </w:t>
            </w:r>
            <w:r>
              <w:rPr>
                <w:rFonts w:ascii="arial" w:hAnsi="arial"/>
                <w:sz w:val="16"/>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655</w:t>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737" w:type="dxa"/>
            <w:tcBorders/>
            <w:vAlign w:val="center"/>
          </w:tcPr>
          <w:p>
            <w:pPr>
              <w:pStyle w:val="TableContents"/>
              <w:bidi w:val="0"/>
              <w:spacing w:before="0" w:after="283"/>
              <w:jc w:val="right"/>
              <w:rPr/>
            </w:pPr>
            <w:r>
              <w:rPr/>
              <w:t>13,000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20,700</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58,879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93,234 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655</w:t>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737" w:type="dxa"/>
            <w:tcBorders/>
            <w:vAlign w:val="center"/>
          </w:tcPr>
          <w:p>
            <w:pPr>
              <w:pStyle w:val="TableContents"/>
              <w:bidi w:val="0"/>
              <w:spacing w:before="0" w:after="283"/>
              <w:jc w:val="right"/>
              <w:rPr/>
            </w:pPr>
            <w:r>
              <w:rPr/>
              <w:t>7,897</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16,500</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52,843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77,925 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225</w:t>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737" w:type="dxa"/>
            <w:tcBorders/>
            <w:vAlign w:val="center"/>
          </w:tcPr>
          <w:p>
            <w:pPr>
              <w:pStyle w:val="TableContents"/>
              <w:bidi w:val="0"/>
              <w:spacing w:before="0" w:after="283"/>
              <w:jc w:val="right"/>
              <w:rPr/>
            </w:pPr>
            <w:r>
              <w:rPr/>
              <w:t>10,108</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54,367</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6,500</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14,612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85,812 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E5E5E5" w:val="clear"/>
            <w:vAlign w:val="center"/>
          </w:tcPr>
          <w:p>
            <w:pPr>
              <w:pStyle w:val="TableContents"/>
              <w:bidi w:val="0"/>
              <w:spacing w:before="0" w:after="0"/>
              <w:jc w:val="left"/>
              <w:rPr/>
            </w:pPr>
            <w:r>
              <w:rPr/>
              <w:t> </w:t>
            </w:r>
            <w:r>
              <w:rPr>
                <w:rFonts w:ascii="arial" w:hAnsi="arial"/>
                <w:sz w:val="16"/>
              </w:rPr>
              <w:t>Joe DiFonzo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244" w:type="dxa"/>
            <w:tcBorders/>
            <w:shd w:fill="E5E5E5" w:val="clear"/>
            <w:vAlign w:val="center"/>
          </w:tcPr>
          <w:p>
            <w:pPr>
              <w:pStyle w:val="TableContents"/>
              <w:bidi w:val="0"/>
              <w:spacing w:before="0" w:after="283"/>
              <w:jc w:val="left"/>
              <w:rPr/>
            </w:pPr>
            <w:r>
              <w:rPr/>
              <w:t>$</w:t>
            </w:r>
          </w:p>
        </w:tc>
        <w:tc>
          <w:tcPr>
            <w:tcW w:w="664" w:type="dxa"/>
            <w:tcBorders/>
            <w:shd w:fill="E5E5E5" w:val="clear"/>
            <w:vAlign w:val="center"/>
          </w:tcPr>
          <w:p>
            <w:pPr>
              <w:pStyle w:val="TableContents"/>
              <w:bidi w:val="0"/>
              <w:spacing w:before="0" w:after="283"/>
              <w:jc w:val="right"/>
              <w:rPr/>
            </w:pPr>
            <w:r>
              <w:rPr/>
              <w:t>554</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205"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5" w:type="dxa"/>
            <w:tcBorders/>
            <w:shd w:fill="E5E5E5" w:val="clear"/>
            <w:vAlign w:val="center"/>
          </w:tcPr>
          <w:p>
            <w:pPr>
              <w:pStyle w:val="TableContents"/>
              <w:bidi w:val="0"/>
              <w:spacing w:before="0" w:after="283"/>
              <w:jc w:val="left"/>
              <w:rPr/>
            </w:pPr>
            <w:r>
              <w:rPr/>
              <w:t> </w:t>
            </w:r>
          </w:p>
        </w:tc>
        <w:tc>
          <w:tcPr>
            <w:tcW w:w="151" w:type="dxa"/>
            <w:tcBorders/>
            <w:shd w:fill="E5E5E5" w:val="clear"/>
            <w:vAlign w:val="center"/>
          </w:tcPr>
          <w:p>
            <w:pPr>
              <w:pStyle w:val="TableContents"/>
              <w:bidi w:val="0"/>
              <w:spacing w:before="0" w:after="283"/>
              <w:jc w:val="left"/>
              <w:rPr/>
            </w:pPr>
            <w:r>
              <w:rPr/>
              <w:t>$</w:t>
            </w:r>
          </w:p>
        </w:tc>
        <w:tc>
          <w:tcPr>
            <w:tcW w:w="737" w:type="dxa"/>
            <w:tcBorders/>
            <w:shd w:fill="E5E5E5" w:val="clear"/>
            <w:vAlign w:val="center"/>
          </w:tcPr>
          <w:p>
            <w:pPr>
              <w:pStyle w:val="TableContents"/>
              <w:bidi w:val="0"/>
              <w:spacing w:before="0" w:after="283"/>
              <w:jc w:val="right"/>
              <w:rPr/>
            </w:pPr>
            <w:r>
              <w:rPr/>
              <w:t>895</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70" w:type="dxa"/>
            <w:tcBorders/>
            <w:shd w:fill="E5E5E5" w:val="clear"/>
            <w:vAlign w:val="center"/>
          </w:tcPr>
          <w:p>
            <w:pPr>
              <w:pStyle w:val="TableContents"/>
              <w:bidi w:val="0"/>
              <w:spacing w:before="0" w:after="283"/>
              <w:jc w:val="left"/>
              <w:rPr/>
            </w:pPr>
            <w:r>
              <w:rPr/>
              <w:t> </w:t>
            </w:r>
          </w:p>
        </w:tc>
        <w:tc>
          <w:tcPr>
            <w:tcW w:w="828" w:type="dxa"/>
            <w:tcBorders/>
            <w:shd w:fill="E5E5E5" w:val="clear"/>
            <w:vAlign w:val="center"/>
          </w:tcPr>
          <w:p>
            <w:pPr>
              <w:pStyle w:val="TableContents"/>
              <w:bidi w:val="0"/>
              <w:spacing w:before="0" w:after="283"/>
              <w:jc w:val="right"/>
              <w:rPr/>
            </w:pPr>
            <w:r>
              <w:rPr/>
              <w:t>—</w:t>
            </w:r>
          </w:p>
        </w:tc>
        <w:tc>
          <w:tcPr>
            <w:tcW w:w="29"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210" w:type="dxa"/>
            <w:tcBorders/>
            <w:shd w:fill="E5E5E5" w:val="clear"/>
            <w:vAlign w:val="center"/>
          </w:tcPr>
          <w:p>
            <w:pPr>
              <w:pStyle w:val="TableContents"/>
              <w:bidi w:val="0"/>
              <w:spacing w:before="0" w:after="283"/>
              <w:jc w:val="left"/>
              <w:rPr/>
            </w:pPr>
            <w:r>
              <w:rPr/>
              <w:t>$</w:t>
            </w:r>
          </w:p>
        </w:tc>
        <w:tc>
          <w:tcPr>
            <w:tcW w:w="1020" w:type="dxa"/>
            <w:tcBorders/>
            <w:shd w:fill="E5E5E5" w:val="clear"/>
            <w:vAlign w:val="center"/>
          </w:tcPr>
          <w:p>
            <w:pPr>
              <w:pStyle w:val="TableContents"/>
              <w:bidi w:val="0"/>
              <w:spacing w:before="0" w:after="283"/>
              <w:jc w:val="right"/>
              <w:rPr/>
            </w:pPr>
            <w:r>
              <w:rPr/>
              <w:t>20,700</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39,452</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980" w:type="dxa"/>
            <w:tcBorders/>
            <w:shd w:fill="E5E5E5" w:val="clear"/>
            <w:vAlign w:val="center"/>
          </w:tcPr>
          <w:p>
            <w:pPr>
              <w:pStyle w:val="TableContents"/>
              <w:bidi w:val="0"/>
              <w:spacing w:before="0" w:after="283"/>
              <w:jc w:val="right"/>
              <w:rPr/>
            </w:pPr>
            <w:r>
              <w:rPr/>
              <w:t>61,601 </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pPr>
            <w:r>
              <w:rPr/>
              <w:t> </w:t>
            </w:r>
            <w:r>
              <w:rPr>
                <w:rFonts w:ascii="arial" w:hAnsi="arial"/>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w:t>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737" w:type="dxa"/>
            <w:tcBorders/>
            <w:vAlign w:val="center"/>
          </w:tcPr>
          <w:p>
            <w:pPr>
              <w:pStyle w:val="TableContents"/>
              <w:bidi w:val="0"/>
              <w:spacing w:before="0" w:after="283"/>
              <w:jc w:val="right"/>
              <w:rPr/>
            </w:pPr>
            <w:r>
              <w:rPr/>
              <w:t>16,264</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31,760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48,024 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w:t>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737" w:type="dxa"/>
            <w:tcBorders/>
            <w:vAlign w:val="center"/>
          </w:tcPr>
          <w:p>
            <w:pPr>
              <w:pStyle w:val="TableContents"/>
              <w:bidi w:val="0"/>
              <w:spacing w:before="0" w:after="283"/>
              <w:jc w:val="right"/>
              <w:rPr/>
            </w:pPr>
            <w:r>
              <w:rPr/>
              <w:t>15,853</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48,767</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78,774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143,394 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w:t>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737" w:type="dxa"/>
            <w:tcBorders/>
            <w:vAlign w:val="center"/>
          </w:tcPr>
          <w:p>
            <w:pPr>
              <w:pStyle w:val="TableContents"/>
              <w:bidi w:val="0"/>
              <w:spacing w:before="0" w:after="283"/>
              <w:jc w:val="right"/>
              <w:rPr/>
            </w:pPr>
            <w:r>
              <w:rPr/>
              <w:t>25,234</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33,408</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102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14,538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73,282 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E5E5E5" w:val="clear"/>
            <w:vAlign w:val="center"/>
          </w:tcPr>
          <w:p>
            <w:pPr>
              <w:pStyle w:val="TableContents"/>
              <w:bidi w:val="0"/>
              <w:spacing w:before="0" w:after="0"/>
              <w:jc w:val="left"/>
              <w:rPr/>
            </w:pPr>
            <w:r>
              <w:rPr/>
              <w:t> </w:t>
            </w:r>
            <w:r>
              <w:rPr>
                <w:rFonts w:ascii="arial" w:hAnsi="arial"/>
                <w:sz w:val="16"/>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244" w:type="dxa"/>
            <w:tcBorders/>
            <w:shd w:fill="E5E5E5" w:val="clear"/>
            <w:vAlign w:val="center"/>
          </w:tcPr>
          <w:p>
            <w:pPr>
              <w:pStyle w:val="TableContents"/>
              <w:bidi w:val="0"/>
              <w:spacing w:before="0" w:after="283"/>
              <w:jc w:val="left"/>
              <w:rPr/>
            </w:pPr>
            <w:r>
              <w:rPr/>
              <w:t>$</w:t>
            </w:r>
          </w:p>
        </w:tc>
        <w:tc>
          <w:tcPr>
            <w:tcW w:w="664" w:type="dxa"/>
            <w:tcBorders/>
            <w:shd w:fill="E5E5E5" w:val="clear"/>
            <w:vAlign w:val="center"/>
          </w:tcPr>
          <w:p>
            <w:pPr>
              <w:pStyle w:val="TableContents"/>
              <w:bidi w:val="0"/>
              <w:spacing w:before="0" w:after="283"/>
              <w:jc w:val="right"/>
              <w:rPr/>
            </w:pPr>
            <w:r>
              <w:rPr/>
              <w:t>605</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205" w:type="dxa"/>
            <w:tcBorders/>
            <w:shd w:fill="E5E5E5" w:val="clear"/>
            <w:vAlign w:val="center"/>
          </w:tcPr>
          <w:p>
            <w:pPr>
              <w:pStyle w:val="TableContents"/>
              <w:bidi w:val="0"/>
              <w:spacing w:before="0" w:after="283"/>
              <w:jc w:val="left"/>
              <w:rPr/>
            </w:pPr>
            <w:r>
              <w:rPr/>
              <w:t>$</w:t>
            </w:r>
          </w:p>
        </w:tc>
        <w:tc>
          <w:tcPr>
            <w:tcW w:w="997" w:type="dxa"/>
            <w:tcBorders/>
            <w:shd w:fill="E5E5E5" w:val="clear"/>
            <w:vAlign w:val="center"/>
          </w:tcPr>
          <w:p>
            <w:pPr>
              <w:pStyle w:val="TableContents"/>
              <w:bidi w:val="0"/>
              <w:spacing w:before="0" w:after="283"/>
              <w:jc w:val="right"/>
              <w:rPr/>
            </w:pPr>
            <w:r>
              <w:rPr/>
              <w:t>10,000</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5" w:type="dxa"/>
            <w:tcBorders/>
            <w:shd w:fill="E5E5E5" w:val="clear"/>
            <w:vAlign w:val="center"/>
          </w:tcPr>
          <w:p>
            <w:pPr>
              <w:pStyle w:val="TableContents"/>
              <w:bidi w:val="0"/>
              <w:spacing w:before="0" w:after="283"/>
              <w:jc w:val="left"/>
              <w:rPr/>
            </w:pPr>
            <w:r>
              <w:rPr/>
              <w:t> </w:t>
            </w:r>
          </w:p>
        </w:tc>
        <w:tc>
          <w:tcPr>
            <w:tcW w:w="151" w:type="dxa"/>
            <w:tcBorders/>
            <w:shd w:fill="E5E5E5" w:val="clear"/>
            <w:vAlign w:val="center"/>
          </w:tcPr>
          <w:p>
            <w:pPr>
              <w:pStyle w:val="TableContents"/>
              <w:bidi w:val="0"/>
              <w:spacing w:before="0" w:after="283"/>
              <w:jc w:val="left"/>
              <w:rPr/>
            </w:pPr>
            <w:r>
              <w:rPr/>
              <w:t> </w:t>
            </w:r>
          </w:p>
        </w:tc>
        <w:tc>
          <w:tcPr>
            <w:tcW w:w="737" w:type="dxa"/>
            <w:tcBorders/>
            <w:shd w:fill="E5E5E5" w:val="clear"/>
            <w:vAlign w:val="center"/>
          </w:tcPr>
          <w:p>
            <w:pPr>
              <w:pStyle w:val="TableContents"/>
              <w:bidi w:val="0"/>
              <w:spacing w:before="0" w:after="283"/>
              <w:jc w:val="right"/>
              <w:rPr/>
            </w:pPr>
            <w:r>
              <w:rPr/>
              <w:t>—</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70" w:type="dxa"/>
            <w:tcBorders/>
            <w:shd w:fill="E5E5E5" w:val="clear"/>
            <w:vAlign w:val="center"/>
          </w:tcPr>
          <w:p>
            <w:pPr>
              <w:pStyle w:val="TableContents"/>
              <w:bidi w:val="0"/>
              <w:spacing w:before="0" w:after="283"/>
              <w:jc w:val="left"/>
              <w:rPr/>
            </w:pPr>
            <w:r>
              <w:rPr/>
              <w:t> </w:t>
            </w:r>
          </w:p>
        </w:tc>
        <w:tc>
          <w:tcPr>
            <w:tcW w:w="828" w:type="dxa"/>
            <w:tcBorders/>
            <w:shd w:fill="E5E5E5" w:val="clear"/>
            <w:vAlign w:val="center"/>
          </w:tcPr>
          <w:p>
            <w:pPr>
              <w:pStyle w:val="TableContents"/>
              <w:bidi w:val="0"/>
              <w:spacing w:before="0" w:after="283"/>
              <w:jc w:val="right"/>
              <w:rPr/>
            </w:pPr>
            <w:r>
              <w:rPr/>
              <w:t>—</w:t>
            </w:r>
          </w:p>
        </w:tc>
        <w:tc>
          <w:tcPr>
            <w:tcW w:w="29"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210" w:type="dxa"/>
            <w:tcBorders/>
            <w:shd w:fill="E5E5E5" w:val="clear"/>
            <w:vAlign w:val="center"/>
          </w:tcPr>
          <w:p>
            <w:pPr>
              <w:pStyle w:val="TableContents"/>
              <w:bidi w:val="0"/>
              <w:spacing w:before="0" w:after="283"/>
              <w:jc w:val="left"/>
              <w:rPr/>
            </w:pPr>
            <w:r>
              <w:rPr/>
              <w:t>$</w:t>
            </w:r>
          </w:p>
        </w:tc>
        <w:tc>
          <w:tcPr>
            <w:tcW w:w="1020" w:type="dxa"/>
            <w:tcBorders/>
            <w:shd w:fill="E5E5E5" w:val="clear"/>
            <w:vAlign w:val="center"/>
          </w:tcPr>
          <w:p>
            <w:pPr>
              <w:pStyle w:val="TableContents"/>
              <w:bidi w:val="0"/>
              <w:spacing w:before="0" w:after="283"/>
              <w:jc w:val="right"/>
              <w:rPr/>
            </w:pPr>
            <w:r>
              <w:rPr/>
              <w:t>20,700</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6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00" w:type="dxa"/>
            <w:tcBorders/>
            <w:shd w:fill="E5E5E5" w:val="clear"/>
            <w:vAlign w:val="center"/>
          </w:tcPr>
          <w:p>
            <w:pPr>
              <w:pStyle w:val="TableContents"/>
              <w:bidi w:val="0"/>
              <w:spacing w:before="0" w:after="283"/>
              <w:jc w:val="right"/>
              <w:rPr/>
            </w:pPr>
            <w:r>
              <w:rPr/>
              <w:t>92,090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980" w:type="dxa"/>
            <w:tcBorders/>
            <w:shd w:fill="E5E5E5" w:val="clear"/>
            <w:vAlign w:val="center"/>
          </w:tcPr>
          <w:p>
            <w:pPr>
              <w:pStyle w:val="TableContents"/>
              <w:bidi w:val="0"/>
              <w:spacing w:before="0" w:after="283"/>
              <w:jc w:val="right"/>
              <w:rPr/>
            </w:pPr>
            <w:r>
              <w:rPr/>
              <w:t>123,395 </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pPr>
            <w:r>
              <w:rPr/>
              <w:t> </w:t>
            </w:r>
            <w:r>
              <w:rPr>
                <w:rFonts w:ascii="arial" w:hAnsi="arial"/>
                <w:sz w:val="16"/>
              </w:rPr>
              <w:t>Ann Bruder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504</w:t>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20,700</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1,479,000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1,500,245 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410</w:t>
            </w:r>
          </w:p>
        </w:tc>
        <w:tc>
          <w:tcPr>
            <w:tcW w:w="4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19,800</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22,210 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0"/>
              <w:jc w:val="left"/>
              <w:rPr>
                <w:rFonts w:ascii="arial" w:hAnsi="arial"/>
                <w:sz w:val="18"/>
              </w:rPr>
            </w:pPr>
            <w:r>
              <w:rPr>
                <w:rFonts w:ascii="arial" w:hAnsi="arial"/>
                <w:sz w:val="18"/>
              </w:rPr>
              <w:t>For 2024, this represents a tax gross up for amounts paid in connection with a years-of-service award received by Mr. Ekert and Ms. Bruder as described in note (c).</w:t>
            </w:r>
            <w:r>
              <w:rPr>
                <w:rFonts w:ascii="arial" w:hAnsi="arial"/>
                <w:strike/>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(b)</w:t>
            </w:r>
          </w:p>
        </w:tc>
        <w:tc>
          <w:tcPr>
            <w:tcW w:w="9876" w:type="dxa"/>
            <w:tcBorders/>
            <w:vAlign w:val="center"/>
          </w:tcPr>
          <w:p>
            <w:pPr>
              <w:pStyle w:val="TableContents"/>
              <w:bidi w:val="0"/>
              <w:spacing w:before="0" w:after="0"/>
              <w:jc w:val="left"/>
              <w:rPr>
                <w:rFonts w:ascii="arial" w:hAnsi="arial"/>
                <w:sz w:val="18"/>
              </w:rPr>
            </w:pPr>
            <w:r>
              <w:rPr>
                <w:rFonts w:ascii="arial" w:hAnsi="arial"/>
                <w:sz w:val="18"/>
              </w:rPr>
              <w:t xml:space="preserve">Represents a severance payment pursuant to the Executive Severance Plan. See “Potential Payments upon a Termination or Change in Control—Summary of Estimated Payments and Benefits”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0"/>
              <w:jc w:val="left"/>
              <w:rPr>
                <w:rFonts w:ascii="arial" w:hAnsi="arial"/>
                <w:sz w:val="18"/>
              </w:rPr>
            </w:pPr>
            <w:r>
              <w:rPr>
                <w:rFonts w:ascii="arial" w:hAnsi="arial"/>
                <w:sz w:val="18"/>
              </w:rPr>
              <w:t xml:space="preserve">For 2024, amounts represent (a) a years-of-service award received by Mr. Ekert and Ms. Bruder, (b) the value of a President’s Club sales incentive award in the amount of $2,383 and a UK car allowance of $15,013 provided to Mr. Mendis; the latter item is in connection with Mr. Mendis’ service in the UK, and (c) commuting expenses, including the value of temporary housing assistance for Messrs. Randolfi and Wiseman, of $46,554, $58,879, $39,452, $14,364, and $92,090 for Messrs. Ekert, Randolfi, DiFonzo, Mendis, and Wiseman, respectively.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77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59" w:name="tx888712_58"/>
      <w:bookmarkEnd w:id="59"/>
      <w:r>
        <w:rPr>
          <w:rFonts w:ascii="arial" w:hAnsi="arial"/>
          <w:b/>
          <w:color w:val="CF0A2C"/>
          <w:sz w:val="28"/>
        </w:rPr>
        <w:t xml:space="preserve">2024 Grants of Plan-Based Awards Table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following table sets forth, for each of our named executive officers, the plan-based awards granted during 2024. </w:t>
      </w:r>
    </w:p>
    <w:p>
      <w:pPr>
        <w:pStyle w:val="TextBody"/>
        <w:bidi w:val="0"/>
        <w:spacing w:before="0" w:after="0"/>
        <w:jc w:val="left"/>
        <w:rPr/>
      </w:pPr>
      <w:r>
        <w:rPr/>
        <w:t> </w:t>
      </w:r>
    </w:p>
    <w:tbl>
      <w:tblPr>
        <w:tblW w:w="10525" w:type="dxa"/>
        <w:jc w:val="left"/>
        <w:tblInd w:w="0" w:type="dxa"/>
        <w:tblLayout w:type="fixed"/>
        <w:tblCellMar>
          <w:top w:w="0" w:type="dxa"/>
          <w:left w:w="0" w:type="dxa"/>
          <w:bottom w:w="0" w:type="dxa"/>
          <w:right w:w="0" w:type="dxa"/>
        </w:tblCellMar>
      </w:tblPr>
      <w:tblGrid>
        <w:gridCol w:w="755"/>
        <w:gridCol w:w="60"/>
        <w:gridCol w:w="1835"/>
        <w:gridCol w:w="60"/>
        <w:gridCol w:w="60"/>
        <w:gridCol w:w="575"/>
        <w:gridCol w:w="60"/>
        <w:gridCol w:w="60"/>
        <w:gridCol w:w="60"/>
        <w:gridCol w:w="935"/>
        <w:gridCol w:w="60"/>
        <w:gridCol w:w="60"/>
        <w:gridCol w:w="140"/>
        <w:gridCol w:w="980"/>
        <w:gridCol w:w="60"/>
        <w:gridCol w:w="60"/>
        <w:gridCol w:w="143"/>
        <w:gridCol w:w="1002"/>
        <w:gridCol w:w="60"/>
        <w:gridCol w:w="60"/>
        <w:gridCol w:w="60"/>
        <w:gridCol w:w="800"/>
        <w:gridCol w:w="60"/>
        <w:gridCol w:w="60"/>
        <w:gridCol w:w="66"/>
        <w:gridCol w:w="1079"/>
        <w:gridCol w:w="60"/>
        <w:gridCol w:w="60"/>
        <w:gridCol w:w="140"/>
        <w:gridCol w:w="980"/>
        <w:gridCol w:w="7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666666"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835" w:type="dxa"/>
            <w:tcBorders/>
            <w:shd w:fill="666666" w:val="clear"/>
            <w:vAlign w:val="center"/>
          </w:tcPr>
          <w:p>
            <w:pPr>
              <w:pStyle w:val="TableContents"/>
              <w:bidi w:val="0"/>
              <w:spacing w:before="0" w:after="283"/>
              <w:jc w:val="center"/>
              <w:rPr>
                <w:color w:val="FFFFFF"/>
              </w:rPr>
            </w:pPr>
            <w:r>
              <w:rPr>
                <w:color w:val="FFFFFF"/>
              </w:rPr>
              <w:t> </w:t>
            </w:r>
            <w:r>
              <w:rPr>
                <w:b/>
                <w:color w:val="FFFFFF"/>
              </w:rPr>
              <w:t>Grant Type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635" w:type="dxa"/>
            <w:gridSpan w:val="2"/>
            <w:tcBorders/>
            <w:shd w:fill="666666" w:val="clear"/>
            <w:vAlign w:val="center"/>
          </w:tcPr>
          <w:p>
            <w:pPr>
              <w:pStyle w:val="TableContents"/>
              <w:bidi w:val="0"/>
              <w:spacing w:before="0" w:after="283"/>
              <w:jc w:val="center"/>
              <w:rPr>
                <w:b/>
                <w:color w:val="FFFFFF"/>
              </w:rPr>
            </w:pPr>
            <w:r>
              <w:rPr>
                <w:b/>
                <w:color w:val="FFFFFF"/>
              </w:rPr>
              <w:t>Grant</w:t>
              <w:br/>
              <w:t>Date</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995" w:type="dxa"/>
            <w:gridSpan w:val="2"/>
            <w:tcBorders/>
            <w:shd w:fill="666666" w:val="clear"/>
            <w:vAlign w:val="center"/>
          </w:tcPr>
          <w:p>
            <w:pPr>
              <w:pStyle w:val="TableContents"/>
              <w:bidi w:val="0"/>
              <w:spacing w:before="0" w:after="283"/>
              <w:jc w:val="center"/>
              <w:rPr>
                <w:b/>
                <w:color w:val="FFFFFF"/>
              </w:rPr>
            </w:pPr>
            <w:r>
              <w:rPr>
                <w:b/>
                <w:color w:val="FFFFFF"/>
              </w:rPr>
              <w:t>Approval</w:t>
              <w:br/>
              <w:t>Date(1)</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20" w:type="dxa"/>
            <w:gridSpan w:val="2"/>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Estimated</w:t>
              <w:br/>
              <w:t>Future</w:t>
              <w:br/>
              <w:t>Payouts</w:t>
              <w:br/>
              <w:t>Under</w:t>
              <w:br/>
              <w:t>Non-</w:t>
              <w:br/>
              <w:t>Equity</w:t>
              <w:br/>
              <w:t>Incentive</w:t>
              <w:br/>
              <w:t>Plan</w:t>
              <w:br/>
              <w:t>Awards</w:t>
              <w:br/>
              <w:t>(Target)</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45" w:type="dxa"/>
            <w:gridSpan w:val="2"/>
            <w:tcBorders/>
            <w:shd w:fill="666666" w:val="clear"/>
            <w:vAlign w:val="center"/>
          </w:tcPr>
          <w:p>
            <w:pPr>
              <w:pStyle w:val="TableContents"/>
              <w:bidi w:val="0"/>
              <w:spacing w:before="0" w:after="283"/>
              <w:jc w:val="center"/>
              <w:rPr>
                <w:b/>
                <w:color w:val="FFFFFF"/>
              </w:rPr>
            </w:pPr>
            <w:r>
              <w:rPr>
                <w:b/>
                <w:color w:val="FFFFFF"/>
              </w:rPr>
              <w:t>Estimated</w:t>
              <w:br/>
              <w:t>Future</w:t>
              <w:br/>
              <w:t>Payouts</w:t>
              <w:br/>
              <w:t>Under Non-</w:t>
              <w:br/>
              <w:t>Equity</w:t>
              <w:br/>
              <w:t>Incentive</w:t>
              <w:br/>
              <w:t>Plan</w:t>
              <w:br/>
              <w:t>Awards</w:t>
              <w:br/>
              <w:t>(Maximum)</w:t>
              <w:br/>
              <w:t>($)</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860" w:type="dxa"/>
            <w:gridSpan w:val="2"/>
            <w:tcBorders/>
            <w:shd w:fill="666666"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Estimated</w:t>
              <w:br/>
              <w:t>Future</w:t>
              <w:br/>
              <w:t>Payouts</w:t>
              <w:br/>
              <w:t>Under</w:t>
              <w:br/>
              <w:t>Equity</w:t>
              <w:br/>
              <w:t>Incentive</w:t>
              <w:br/>
              <w:t>Plan</w:t>
              <w:br/>
              <w:t>Awards</w:t>
              <w:br/>
              <w:t>(Target)</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45" w:type="dxa"/>
            <w:gridSpan w:val="2"/>
            <w:tcBorders/>
            <w:shd w:fill="666666" w:val="clear"/>
            <w:vAlign w:val="center"/>
          </w:tcPr>
          <w:p>
            <w:pPr>
              <w:pStyle w:val="TableContents"/>
              <w:bidi w:val="0"/>
              <w:spacing w:before="0" w:after="283"/>
              <w:jc w:val="center"/>
              <w:rPr>
                <w:b/>
                <w:color w:val="FFFFFF"/>
              </w:rPr>
            </w:pPr>
            <w:r>
              <w:rPr>
                <w:b/>
                <w:color w:val="FFFFFF"/>
              </w:rPr>
              <w:t>Estimated</w:t>
              <w:br/>
              <w:t>Future</w:t>
              <w:br/>
              <w:t>Payouts</w:t>
              <w:br/>
              <w:t>Under</w:t>
              <w:br/>
              <w:t>Equity</w:t>
              <w:br/>
              <w:t>Incentive</w:t>
              <w:br/>
              <w:t>Plan</w:t>
              <w:br/>
              <w:t>Awards</w:t>
              <w:br/>
              <w:t>(Maximum)</w:t>
              <w:br/>
              <w:t>(#)</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20" w:type="dxa"/>
            <w:gridSpan w:val="2"/>
            <w:tcBorders/>
            <w:shd w:fill="666666" w:val="clear"/>
            <w:vAlign w:val="center"/>
          </w:tcPr>
          <w:p>
            <w:pPr>
              <w:pStyle w:val="TableContents"/>
              <w:bidi w:val="0"/>
              <w:spacing w:before="0" w:after="283"/>
              <w:jc w:val="center"/>
              <w:rPr>
                <w:b/>
                <w:color w:val="FFFFFF"/>
              </w:rPr>
            </w:pPr>
            <w:r>
              <w:rPr>
                <w:b/>
                <w:color w:val="FFFFFF"/>
              </w:rPr>
              <w:t>Grant</w:t>
              <w:br/>
              <w:t>Date</w:t>
              <w:br/>
              <w:t>Fair Value</w:t>
              <w:br/>
              <w:t>of Stock</w:t>
              <w:br/>
              <w:t>Awards</w:t>
              <w:br/>
              <w:t>($)(4)</w:t>
            </w:r>
          </w:p>
        </w:tc>
        <w:tc>
          <w:tcPr>
            <w:tcW w:w="75" w:type="dxa"/>
            <w:tcBorders/>
            <w:shd w:fill="666666" w:val="cle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0"/>
              <w:jc w:val="left"/>
              <w:rPr>
                <w:rFonts w:ascii="arial" w:hAnsi="arial"/>
                <w:b/>
                <w:sz w:val="16"/>
              </w:rPr>
            </w:pPr>
            <w:r>
              <w:rPr>
                <w:rFonts w:ascii="arial" w:hAnsi="arial"/>
                <w:b/>
                <w:sz w:val="16"/>
              </w:rPr>
              <w:t>Kurt Ekert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FFFFFF"/>
            </w:tcBorders>
            <w:shd w:fill="E5E5E5" w:val="clear"/>
            <w:tcMar>
              <w:bottom w:w="28" w:type="dxa"/>
            </w:tcMar>
            <w:vAlign w:val="center"/>
          </w:tcPr>
          <w:p>
            <w:pPr>
              <w:pStyle w:val="TableContents"/>
              <w:bidi w:val="0"/>
              <w:spacing w:before="0" w:after="283"/>
              <w:jc w:val="left"/>
              <w:rPr/>
            </w:pPr>
            <w:r>
              <w:rPr/>
              <w:t>Annual cash incentive(2)</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1,350,000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right"/>
              <w:rPr/>
            </w:pPr>
            <w:r>
              <w:rPr/>
              <w:t>2,700,000</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FFFFFF"/>
            </w:tcBorders>
            <w:shd w:fill="E5E5E5" w:val="clear"/>
            <w:tcMar>
              <w:bottom w:w="28" w:type="dxa"/>
            </w:tcMar>
            <w:vAlign w:val="center"/>
          </w:tcPr>
          <w:p>
            <w:pPr>
              <w:pStyle w:val="TableContents"/>
              <w:bidi w:val="0"/>
              <w:spacing w:before="0" w:after="283"/>
              <w:jc w:val="left"/>
              <w:rPr/>
            </w:pPr>
            <w:r>
              <w:rPr/>
              <w:t>Performance-based RSU(3)</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04/24/2024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946,372</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right"/>
              <w:rPr/>
            </w:pPr>
            <w:r>
              <w:rPr/>
              <w:t>1,892,744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3,075,709</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FFFFFF"/>
            </w:tcBorders>
            <w:shd w:fill="E5E5E5" w:val="clear"/>
            <w:tcMar>
              <w:bottom w:w="28" w:type="dxa"/>
            </w:tcMar>
            <w:vAlign w:val="center"/>
          </w:tcPr>
          <w:p>
            <w:pPr>
              <w:pStyle w:val="TableContents"/>
              <w:bidi w:val="0"/>
              <w:spacing w:before="0" w:after="283"/>
              <w:jc w:val="left"/>
              <w:rPr/>
            </w:pPr>
            <w:r>
              <w:rPr/>
              <w:t>Time-based RSU(5)</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04/24/2024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946,372</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right"/>
              <w:rPr/>
            </w:pPr>
            <w:r>
              <w:rPr/>
              <w:t>946,372</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2,999,999</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0"/>
              <w:jc w:val="left"/>
              <w:rPr>
                <w:rFonts w:ascii="arial" w:hAnsi="arial"/>
                <w:b/>
                <w:sz w:val="16"/>
              </w:rPr>
            </w:pPr>
            <w:r>
              <w:rPr>
                <w:rFonts w:ascii="arial" w:hAnsi="arial"/>
                <w:b/>
                <w:sz w:val="16"/>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Annual cash incentive(2)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590,882</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1,181,764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Performance-based RSU(3)</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04/24/2024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315,457</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630,914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1,025,235</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Time-based RSU(5)</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04/24/2024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315,457</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315,457</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999,999</w:t>
            </w:r>
          </w:p>
        </w:tc>
        <w:tc>
          <w:tcPr>
            <w:tcW w:w="75" w:type="dxa"/>
            <w:tcBorders/>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0"/>
              <w:jc w:val="left"/>
              <w:rPr>
                <w:rFonts w:ascii="arial" w:hAnsi="arial"/>
                <w:b/>
                <w:sz w:val="16"/>
              </w:rPr>
            </w:pPr>
            <w:r>
              <w:rPr>
                <w:rFonts w:ascii="arial" w:hAnsi="arial"/>
                <w:b/>
                <w:sz w:val="16"/>
              </w:rPr>
              <w:t>Joe DiFonzo</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FFFFFF"/>
            </w:tcBorders>
            <w:shd w:fill="E5E5E5" w:val="clear"/>
            <w:tcMar>
              <w:bottom w:w="28" w:type="dxa"/>
            </w:tcMar>
            <w:vAlign w:val="center"/>
          </w:tcPr>
          <w:p>
            <w:pPr>
              <w:pStyle w:val="TableContents"/>
              <w:bidi w:val="0"/>
              <w:spacing w:before="0" w:after="283"/>
              <w:jc w:val="left"/>
              <w:rPr/>
            </w:pPr>
            <w:r>
              <w:rPr/>
              <w:t>Annual cash incentive(2)</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472,201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right"/>
              <w:rPr/>
            </w:pPr>
            <w:r>
              <w:rPr/>
              <w:t>944,401</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FFFFFF"/>
            </w:tcBorders>
            <w:shd w:fill="E5E5E5" w:val="clear"/>
            <w:tcMar>
              <w:bottom w:w="28" w:type="dxa"/>
            </w:tcMar>
            <w:vAlign w:val="center"/>
          </w:tcPr>
          <w:p>
            <w:pPr>
              <w:pStyle w:val="TableContents"/>
              <w:bidi w:val="0"/>
              <w:spacing w:before="0" w:after="283"/>
              <w:jc w:val="left"/>
              <w:rPr/>
            </w:pPr>
            <w:r>
              <w:rPr/>
              <w:t>Performance-based RSU(3)</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04/24/2024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236,593</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right"/>
              <w:rPr/>
            </w:pPr>
            <w:r>
              <w:rPr/>
              <w:t>473,186</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768,927</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FFFFFF"/>
            </w:tcBorders>
            <w:shd w:fill="E5E5E5" w:val="clear"/>
            <w:tcMar>
              <w:bottom w:w="28" w:type="dxa"/>
            </w:tcMar>
            <w:vAlign w:val="center"/>
          </w:tcPr>
          <w:p>
            <w:pPr>
              <w:pStyle w:val="TableContents"/>
              <w:bidi w:val="0"/>
              <w:spacing w:before="0" w:after="283"/>
              <w:jc w:val="left"/>
              <w:rPr/>
            </w:pPr>
            <w:r>
              <w:rPr/>
              <w:t>Time-based RSU(5)</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04/24/2024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236,593</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right"/>
              <w:rPr/>
            </w:pPr>
            <w:r>
              <w:rPr/>
              <w:t>236,593</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750,000</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0"/>
              <w:jc w:val="left"/>
              <w:rPr>
                <w:rFonts w:ascii="arial" w:hAnsi="arial"/>
                <w:b/>
                <w:sz w:val="16"/>
              </w:rPr>
            </w:pPr>
            <w:r>
              <w:rPr>
                <w:rFonts w:ascii="arial" w:hAnsi="arial"/>
                <w:b/>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Annual cash incentive(2)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529,563</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1,059,126</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Performance-based RSU(3)</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04/24/2024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236,593</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473,186</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768,927</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Time-based RSU(5)</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04/24/2024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236,593</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236,593</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750,000</w:t>
            </w:r>
          </w:p>
        </w:tc>
        <w:tc>
          <w:tcPr>
            <w:tcW w:w="75" w:type="dxa"/>
            <w:tcBorders/>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0"/>
              <w:jc w:val="left"/>
              <w:rPr>
                <w:rFonts w:ascii="arial" w:hAnsi="arial"/>
                <w:b/>
                <w:sz w:val="16"/>
              </w:rPr>
            </w:pPr>
            <w:r>
              <w:rPr>
                <w:rFonts w:ascii="arial" w:hAnsi="arial"/>
                <w:b/>
                <w:sz w:val="16"/>
              </w:rPr>
              <w:t>Garry Wiseman</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FFFFFF"/>
            </w:tcBorders>
            <w:shd w:fill="E5E5E5" w:val="clear"/>
            <w:tcMar>
              <w:bottom w:w="28" w:type="dxa"/>
            </w:tcMar>
            <w:vAlign w:val="center"/>
          </w:tcPr>
          <w:p>
            <w:pPr>
              <w:pStyle w:val="TableContents"/>
              <w:bidi w:val="0"/>
              <w:spacing w:before="0" w:after="283"/>
              <w:jc w:val="left"/>
              <w:rPr/>
            </w:pPr>
            <w:r>
              <w:rPr/>
              <w:t>Annual cash incentive(2)</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515,128</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right"/>
              <w:rPr/>
            </w:pPr>
            <w:r>
              <w:rPr/>
              <w:t>1,030,256</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FFFFFF"/>
            </w:tcBorders>
            <w:shd w:fill="E5E5E5" w:val="clear"/>
            <w:tcMar>
              <w:bottom w:w="28" w:type="dxa"/>
            </w:tcMar>
            <w:vAlign w:val="center"/>
          </w:tcPr>
          <w:p>
            <w:pPr>
              <w:pStyle w:val="TableContents"/>
              <w:bidi w:val="0"/>
              <w:spacing w:before="0" w:after="283"/>
              <w:jc w:val="left"/>
              <w:rPr/>
            </w:pPr>
            <w:r>
              <w:rPr/>
              <w:t>Performance-based RSU(3)</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04/24/2024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236,593</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right"/>
              <w:rPr/>
            </w:pPr>
            <w:r>
              <w:rPr/>
              <w:t>473,186</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768,927</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FFFFFF"/>
            </w:tcBorders>
            <w:shd w:fill="E5E5E5" w:val="clear"/>
            <w:tcMar>
              <w:bottom w:w="28" w:type="dxa"/>
            </w:tcMar>
            <w:vAlign w:val="center"/>
          </w:tcPr>
          <w:p>
            <w:pPr>
              <w:pStyle w:val="TableContents"/>
              <w:bidi w:val="0"/>
              <w:spacing w:before="0" w:after="283"/>
              <w:jc w:val="left"/>
              <w:rPr/>
            </w:pPr>
            <w:r>
              <w:rPr/>
              <w:t>Time-based RSU(5)</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575" w:type="dxa"/>
            <w:tcBorders>
              <w:bottom w:val="single" w:sz="6" w:space="0" w:color="FFFFFF"/>
            </w:tcBorders>
            <w:shd w:fill="E5E5E5" w:val="clear"/>
            <w:tcMar>
              <w:bottom w:w="28" w:type="dxa"/>
            </w:tcMar>
            <w:vAlign w:val="center"/>
          </w:tcPr>
          <w:p>
            <w:pPr>
              <w:pStyle w:val="TableContents"/>
              <w:bidi w:val="0"/>
              <w:spacing w:before="0" w:after="283"/>
              <w:jc w:val="right"/>
              <w:rPr/>
            </w:pPr>
            <w:r>
              <w:rPr/>
              <w:t>05/15/2024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35" w:type="dxa"/>
            <w:tcBorders>
              <w:bottom w:val="single" w:sz="6" w:space="0" w:color="FFFFFF"/>
            </w:tcBorders>
            <w:shd w:fill="E5E5E5" w:val="clear"/>
            <w:tcMar>
              <w:bottom w:w="28" w:type="dxa"/>
            </w:tcMar>
            <w:vAlign w:val="center"/>
          </w:tcPr>
          <w:p>
            <w:pPr>
              <w:pStyle w:val="TableContents"/>
              <w:bidi w:val="0"/>
              <w:spacing w:before="0" w:after="283"/>
              <w:jc w:val="right"/>
              <w:rPr/>
            </w:pPr>
            <w:r>
              <w:rPr/>
              <w:t>04/24/2024</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3"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02"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E5E5E5" w:val="clear"/>
            <w:tcMar>
              <w:bottom w:w="28" w:type="dxa"/>
            </w:tcMar>
            <w:vAlign w:val="center"/>
          </w:tcPr>
          <w:p>
            <w:pPr>
              <w:pStyle w:val="TableContents"/>
              <w:bidi w:val="0"/>
              <w:spacing w:before="0" w:after="283"/>
              <w:jc w:val="right"/>
              <w:rPr/>
            </w:pPr>
            <w:r>
              <w:rPr/>
              <w:t>236,593</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6"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079" w:type="dxa"/>
            <w:tcBorders>
              <w:bottom w:val="single" w:sz="6" w:space="0" w:color="FFFFFF"/>
            </w:tcBorders>
            <w:shd w:fill="E5E5E5" w:val="clear"/>
            <w:tcMar>
              <w:bottom w:w="28" w:type="dxa"/>
            </w:tcMar>
            <w:vAlign w:val="center"/>
          </w:tcPr>
          <w:p>
            <w:pPr>
              <w:pStyle w:val="TableContents"/>
              <w:bidi w:val="0"/>
              <w:spacing w:before="0" w:after="283"/>
              <w:jc w:val="right"/>
              <w:rPr/>
            </w:pPr>
            <w:r>
              <w:rPr/>
              <w:t>236,593</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750,000</w:t>
            </w:r>
          </w:p>
        </w:tc>
        <w:tc>
          <w:tcPr>
            <w:tcW w:w="75"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0"/>
              <w:jc w:val="left"/>
              <w:rPr>
                <w:rFonts w:ascii="arial" w:hAnsi="arial"/>
                <w:b/>
                <w:sz w:val="16"/>
              </w:rPr>
            </w:pPr>
            <w:r>
              <w:rPr>
                <w:rFonts w:ascii="arial" w:hAnsi="arial"/>
                <w:b/>
                <w:sz w:val="16"/>
              </w:rPr>
              <w:t>Ann Bruder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Annual cash incentive(2)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515,128</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1,030,256</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Performance-based RSU(3)</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04/24/2024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236,593</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473,186</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768,927</w:t>
            </w:r>
          </w:p>
        </w:tc>
        <w:tc>
          <w:tcPr>
            <w:tcW w:w="7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Time-based RSU(5)</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05/15/2024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04/24/2024</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236,593</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236,593</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750,000</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830" w:type="dxa"/>
        <w:jc w:val="left"/>
        <w:tblInd w:w="0" w:type="dxa"/>
        <w:tblLayout w:type="fixed"/>
        <w:tblCellMar>
          <w:top w:w="0" w:type="dxa"/>
          <w:left w:w="0" w:type="dxa"/>
          <w:bottom w:w="0" w:type="dxa"/>
          <w:right w:w="0" w:type="dxa"/>
        </w:tblCellMar>
      </w:tblPr>
      <w:tblGrid>
        <w:gridCol w:w="305"/>
        <w:gridCol w:w="5525"/>
      </w:tblGrid>
      <w:tr>
        <w:trPr/>
        <w:tc>
          <w:tcPr>
            <w:tcW w:w="305" w:type="dxa"/>
            <w:tcBorders/>
            <w:vAlign w:val="center"/>
          </w:tcPr>
          <w:p>
            <w:pPr>
              <w:pStyle w:val="TableContents"/>
              <w:bidi w:val="0"/>
              <w:spacing w:before="0" w:after="283"/>
              <w:jc w:val="left"/>
              <w:rPr/>
            </w:pPr>
            <w:r>
              <w:rPr/>
              <w:t>(1)</w:t>
            </w:r>
          </w:p>
        </w:tc>
        <w:tc>
          <w:tcPr>
            <w:tcW w:w="5525" w:type="dxa"/>
            <w:tcBorders/>
            <w:vAlign w:val="center"/>
          </w:tcPr>
          <w:p>
            <w:pPr>
              <w:pStyle w:val="TableContents"/>
              <w:bidi w:val="0"/>
              <w:spacing w:before="0" w:after="0"/>
              <w:jc w:val="left"/>
              <w:rPr>
                <w:rFonts w:ascii="arial" w:hAnsi="arial"/>
                <w:sz w:val="18"/>
              </w:rPr>
            </w:pPr>
            <w:r>
              <w:rPr>
                <w:rFonts w:ascii="arial" w:hAnsi="arial"/>
                <w:sz w:val="18"/>
              </w:rPr>
              <w:t xml:space="preserve">Date of Compensation Committee approval of the reported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18"/>
              </w:rPr>
            </w:pPr>
            <w:r>
              <w:rPr>
                <w:rFonts w:ascii="arial" w:hAnsi="arial"/>
                <w:sz w:val="18"/>
              </w:rPr>
              <w:t xml:space="preserve">The amounts reported reflect the target and maximum annual cash incentive targets payable to our named executive officers under the 2024 EIP as approved by the Compensation Committee in March 2024. See “Compensation Elements of 2024 Total Direct Compensation—Annual Incentive Compensation”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arial" w:hAnsi="arial"/>
                <w:sz w:val="18"/>
              </w:rPr>
            </w:pPr>
            <w:r>
              <w:rPr>
                <w:rFonts w:ascii="arial" w:hAnsi="arial"/>
                <w:sz w:val="18"/>
              </w:rPr>
              <w:t xml:space="preserve">These PSUs were granted under the 2024 Omnibus Plan to our named executive officers and will vest on May 15, 2027, subject to the named executive officer’s continued employment through such vesting date. The total number of units eligible to be earned ranges from 0% to 200% of the number of units granted based on our actual performance in each of the three years against the Free Cash Flow metric established for that year. One-third of the grant is at risk each calendar year during the measurement period, and the executive officer will bank shares based on our Free Cash Flow performance for that year. The final aggregate award is subject to a TSR modifier based on our common stock’s price relative performance to the S&amp;P Composite 1500 Information Technology index over the three-year measurement period from January 1, 2024 to December 31, 2026, which can increase or decrease the aggregate number of PSUs earned by 10%, subject to a maximum overall payout of 200%. See “Compensation Elements of 2024 Total Direct Compensation—Long-Term Incentive Compensation—2024 Equity Awards” for additional information.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305"/>
        <w:gridCol w:w="9785"/>
      </w:tblGrid>
      <w:tr>
        <w:trPr/>
        <w:tc>
          <w:tcPr>
            <w:tcW w:w="305" w:type="dxa"/>
            <w:tcBorders/>
            <w:vAlign w:val="center"/>
          </w:tcPr>
          <w:p>
            <w:pPr>
              <w:pStyle w:val="TableContents"/>
              <w:bidi w:val="0"/>
              <w:spacing w:before="0" w:after="283"/>
              <w:jc w:val="left"/>
              <w:rPr/>
            </w:pPr>
            <w:r>
              <w:rPr/>
              <w:t>(4)</w:t>
            </w:r>
          </w:p>
        </w:tc>
        <w:tc>
          <w:tcPr>
            <w:tcW w:w="9785" w:type="dxa"/>
            <w:tcBorders/>
            <w:vAlign w:val="center"/>
          </w:tcPr>
          <w:p>
            <w:pPr>
              <w:pStyle w:val="TableContents"/>
              <w:bidi w:val="0"/>
              <w:spacing w:before="0" w:after="0"/>
              <w:jc w:val="left"/>
              <w:rPr>
                <w:rFonts w:ascii="arial" w:hAnsi="arial"/>
                <w:sz w:val="18"/>
              </w:rPr>
            </w:pPr>
            <w:r>
              <w:rPr>
                <w:rFonts w:ascii="arial" w:hAnsi="arial"/>
                <w:sz w:val="18"/>
              </w:rPr>
              <w:t xml:space="preserve">These amounts reflect the aggregate grant date fair value of stock awards computed in accordance with ASC Topic 718.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0"/>
              <w:jc w:val="left"/>
              <w:rPr>
                <w:rFonts w:ascii="arial" w:hAnsi="arial"/>
                <w:sz w:val="18"/>
              </w:rPr>
            </w:pPr>
            <w:r>
              <w:rPr>
                <w:rFonts w:ascii="arial" w:hAnsi="arial"/>
                <w:sz w:val="18"/>
              </w:rPr>
              <w:t xml:space="preserve">These restricted stock unit awards were granted under the 2024 Omnibus Plan and vest as to one-third of the shares of our common stock on each of the three anniversaries of the date of grant, subject to the named executive officer’s continued employment through each vesting date.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78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60" w:name="tx888712_59"/>
      <w:bookmarkEnd w:id="60"/>
      <w:r>
        <w:rPr>
          <w:rFonts w:ascii="arial" w:hAnsi="arial"/>
          <w:b/>
          <w:color w:val="CF0A2C"/>
          <w:sz w:val="28"/>
        </w:rPr>
        <w:t xml:space="preserve">2024 Outstanding Equity Awards at Fiscal Year-End Table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following table sets forth, for each of our named executive officers, their equity awards outstanding as of December 31, 2024. </w:t>
      </w:r>
    </w:p>
    <w:p>
      <w:pPr>
        <w:pStyle w:val="TextBody"/>
        <w:bidi w:val="0"/>
        <w:spacing w:before="0" w:after="0"/>
        <w:jc w:val="left"/>
        <w:rPr/>
      </w:pPr>
      <w:r>
        <w:rPr/>
        <w:t> </w:t>
      </w:r>
    </w:p>
    <w:tbl>
      <w:tblPr>
        <w:tblW w:w="13725" w:type="dxa"/>
        <w:jc w:val="left"/>
        <w:tblInd w:w="0" w:type="dxa"/>
        <w:tblLayout w:type="fixed"/>
        <w:tblCellMar>
          <w:top w:w="0" w:type="dxa"/>
          <w:left w:w="0" w:type="dxa"/>
          <w:bottom w:w="0" w:type="dxa"/>
          <w:right w:w="0" w:type="dxa"/>
        </w:tblCellMar>
      </w:tblPr>
      <w:tblGrid>
        <w:gridCol w:w="755"/>
        <w:gridCol w:w="60"/>
        <w:gridCol w:w="168"/>
        <w:gridCol w:w="168"/>
        <w:gridCol w:w="1403"/>
        <w:gridCol w:w="66"/>
        <w:gridCol w:w="60"/>
        <w:gridCol w:w="60"/>
        <w:gridCol w:w="60"/>
        <w:gridCol w:w="680"/>
        <w:gridCol w:w="60"/>
        <w:gridCol w:w="60"/>
        <w:gridCol w:w="207"/>
        <w:gridCol w:w="207"/>
        <w:gridCol w:w="898"/>
        <w:gridCol w:w="208"/>
        <w:gridCol w:w="60"/>
        <w:gridCol w:w="87"/>
        <w:gridCol w:w="203"/>
        <w:gridCol w:w="812"/>
        <w:gridCol w:w="88"/>
        <w:gridCol w:w="60"/>
        <w:gridCol w:w="108"/>
        <w:gridCol w:w="108"/>
        <w:gridCol w:w="908"/>
        <w:gridCol w:w="111"/>
        <w:gridCol w:w="60"/>
        <w:gridCol w:w="60"/>
        <w:gridCol w:w="60"/>
        <w:gridCol w:w="800"/>
        <w:gridCol w:w="215"/>
        <w:gridCol w:w="60"/>
        <w:gridCol w:w="60"/>
        <w:gridCol w:w="140"/>
        <w:gridCol w:w="980"/>
        <w:gridCol w:w="60"/>
        <w:gridCol w:w="60"/>
        <w:gridCol w:w="84"/>
        <w:gridCol w:w="84"/>
        <w:gridCol w:w="1124"/>
        <w:gridCol w:w="303"/>
        <w:gridCol w:w="60"/>
        <w:gridCol w:w="88"/>
        <w:gridCol w:w="206"/>
        <w:gridCol w:w="1444"/>
        <w:gridCol w:w="112"/>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666666"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805"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Date of Grant of </w:t>
              <w:br/>
              <w:t>Equity Award</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860" w:type="dxa"/>
            <w:gridSpan w:val="4"/>
            <w:tcBorders/>
            <w:shd w:fill="666666"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Option</w:t>
            </w:r>
          </w:p>
          <w:p>
            <w:pPr>
              <w:pStyle w:val="TableContents"/>
              <w:bidi w:val="0"/>
              <w:spacing w:before="0" w:after="20"/>
              <w:jc w:val="center"/>
              <w:rPr>
                <w:rFonts w:ascii="arial" w:hAnsi="arial"/>
                <w:b/>
                <w:color w:val="FFFFFF"/>
                <w:sz w:val="14"/>
              </w:rPr>
            </w:pPr>
            <w:r>
              <w:rPr>
                <w:rFonts w:ascii="arial" w:hAnsi="arial"/>
                <w:b/>
                <w:color w:val="FFFFFF"/>
                <w:sz w:val="14"/>
              </w:rPr>
              <w:t>Awards—</w:t>
              <w:br/>
              <w:t>Number of</w:t>
              <w:br/>
              <w:t>Securities</w:t>
              <w:br/>
              <w:t>Underlying</w:t>
              <w:br/>
              <w:t>Unexercised</w:t>
              <w:br/>
              <w:t>Options (#)</w:t>
              <w:br/>
              <w:t>Exercisable(1)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520" w:type="dxa"/>
            <w:gridSpan w:val="4"/>
            <w:tcBorders/>
            <w:shd w:fill="666666" w:val="clear"/>
            <w:vAlign w:val="center"/>
          </w:tcPr>
          <w:p>
            <w:pPr>
              <w:pStyle w:val="TableContents"/>
              <w:bidi w:val="0"/>
              <w:spacing w:before="0" w:after="283"/>
              <w:jc w:val="center"/>
              <w:rPr>
                <w:b/>
                <w:color w:val="FFFFFF"/>
              </w:rPr>
            </w:pPr>
            <w:r>
              <w:rPr>
                <w:b/>
                <w:color w:val="FFFFFF"/>
              </w:rPr>
              <w:t>Option</w:t>
              <w:br/>
              <w:t>Awards—</w:t>
              <w:br/>
              <w:t>Number of</w:t>
              <w:br/>
              <w:t>Securities</w:t>
              <w:br/>
              <w:t>Underlying</w:t>
              <w:br/>
              <w:t>Unexercised</w:t>
              <w:br/>
              <w:t>Options (#)</w:t>
              <w:br/>
              <w:t>Unexercisable(1)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90" w:type="dxa"/>
            <w:gridSpan w:val="4"/>
            <w:tcBorders/>
            <w:shd w:fill="666666" w:val="clear"/>
            <w:vAlign w:val="center"/>
          </w:tcPr>
          <w:p>
            <w:pPr>
              <w:pStyle w:val="TableContents"/>
              <w:bidi w:val="0"/>
              <w:spacing w:before="0" w:after="283"/>
              <w:jc w:val="center"/>
              <w:rPr>
                <w:b/>
                <w:color w:val="FFFFFF"/>
              </w:rPr>
            </w:pPr>
            <w:r>
              <w:rPr>
                <w:b/>
                <w:color w:val="FFFFFF"/>
              </w:rPr>
              <w:t>Option</w:t>
              <w:br/>
              <w:t> Awards—</w:t>
              <w:br/>
              <w:t>Option</w:t>
              <w:br/>
              <w:t>Exercise</w:t>
              <w:br/>
              <w:t>  Price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35" w:type="dxa"/>
            <w:gridSpan w:val="4"/>
            <w:tcBorders/>
            <w:shd w:fill="666666" w:val="clear"/>
            <w:vAlign w:val="center"/>
          </w:tcPr>
          <w:p>
            <w:pPr>
              <w:pStyle w:val="TableContents"/>
              <w:bidi w:val="0"/>
              <w:spacing w:before="0" w:after="283"/>
              <w:jc w:val="center"/>
              <w:rPr>
                <w:b/>
                <w:color w:val="FFFFFF"/>
              </w:rPr>
            </w:pPr>
            <w:r>
              <w:rPr>
                <w:b/>
                <w:color w:val="FFFFFF"/>
              </w:rPr>
              <w:t>Option</w:t>
              <w:br/>
              <w:t>Awards—</w:t>
              <w:br/>
              <w:t>Option</w:t>
              <w:br/>
              <w:t> Expiration</w:t>
              <w:br/>
              <w:t>   Date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35" w:type="dxa"/>
            <w:gridSpan w:val="4"/>
            <w:tcBorders/>
            <w:shd w:fill="666666" w:val="clear"/>
            <w:vAlign w:val="center"/>
          </w:tcPr>
          <w:p>
            <w:pPr>
              <w:pStyle w:val="TableContents"/>
              <w:bidi w:val="0"/>
              <w:spacing w:before="0" w:after="283"/>
              <w:jc w:val="center"/>
              <w:rPr>
                <w:b/>
                <w:color w:val="FFFFFF"/>
              </w:rPr>
            </w:pPr>
            <w:r>
              <w:rPr>
                <w:b/>
                <w:color w:val="FFFFFF"/>
              </w:rPr>
              <w:t>Number of</w:t>
              <w:br/>
              <w:t> Shares or</w:t>
              <w:br/>
              <w:t>Units of</w:t>
              <w:br/>
              <w:t>Stock</w:t>
              <w:br/>
              <w:t>That  Have</w:t>
              <w:br/>
              <w:t>Not</w:t>
              <w:br/>
              <w:t>Vested</w:t>
              <w:br/>
              <w:t>(#)(2)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40" w:type="dxa"/>
            <w:gridSpan w:val="4"/>
            <w:tcBorders/>
            <w:shd w:fill="666666"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br/>
              <w:t>Market</w:t>
            </w:r>
          </w:p>
          <w:p>
            <w:pPr>
              <w:pStyle w:val="TableContents"/>
              <w:bidi w:val="0"/>
              <w:spacing w:before="0" w:after="0"/>
              <w:jc w:val="center"/>
              <w:rPr>
                <w:rFonts w:ascii="arial" w:hAnsi="arial"/>
                <w:b/>
                <w:color w:val="FFFFFF"/>
                <w:sz w:val="14"/>
              </w:rPr>
            </w:pPr>
            <w:r>
              <w:rPr>
                <w:rFonts w:ascii="arial" w:hAnsi="arial"/>
                <w:b/>
                <w:color w:val="FFFFFF"/>
                <w:sz w:val="14"/>
              </w:rPr>
              <w:t>Value of</w:t>
              <w:br/>
              <w:t>Shares</w:t>
            </w:r>
          </w:p>
          <w:p>
            <w:pPr>
              <w:pStyle w:val="TableContents"/>
              <w:bidi w:val="0"/>
              <w:spacing w:before="0" w:after="0"/>
              <w:jc w:val="center"/>
              <w:rPr>
                <w:rFonts w:ascii="arial" w:hAnsi="arial"/>
                <w:b/>
                <w:color w:val="FFFFFF"/>
                <w:sz w:val="14"/>
              </w:rPr>
            </w:pPr>
            <w:r>
              <w:rPr>
                <w:rFonts w:ascii="arial" w:hAnsi="arial"/>
                <w:b/>
                <w:color w:val="FFFFFF"/>
                <w:sz w:val="14"/>
              </w:rPr>
              <w:t>or Units</w:t>
            </w:r>
          </w:p>
          <w:p>
            <w:pPr>
              <w:pStyle w:val="TableContents"/>
              <w:bidi w:val="0"/>
              <w:spacing w:before="0" w:after="20"/>
              <w:jc w:val="center"/>
              <w:rPr>
                <w:rFonts w:ascii="arial" w:hAnsi="arial"/>
                <w:b/>
                <w:color w:val="FFFFFF"/>
                <w:sz w:val="14"/>
              </w:rPr>
            </w:pPr>
            <w:r>
              <w:rPr>
                <w:rFonts w:ascii="arial" w:hAnsi="arial"/>
                <w:b/>
                <w:color w:val="FFFFFF"/>
                <w:sz w:val="14"/>
              </w:rPr>
              <w:t>of Stock</w:t>
              <w:br/>
              <w:t>That Have</w:t>
              <w:br/>
              <w:t>Not</w:t>
              <w:br/>
              <w:t>Vested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595" w:type="dxa"/>
            <w:gridSpan w:val="4"/>
            <w:tcBorders/>
            <w:shd w:fill="666666" w:val="clear"/>
            <w:vAlign w:val="center"/>
          </w:tcPr>
          <w:p>
            <w:pPr>
              <w:pStyle w:val="TableContents"/>
              <w:bidi w:val="0"/>
              <w:spacing w:before="0" w:after="283"/>
              <w:jc w:val="center"/>
              <w:rPr>
                <w:b/>
                <w:color w:val="FFFFFF"/>
              </w:rPr>
            </w:pPr>
            <w:r>
              <w:rPr>
                <w:b/>
                <w:color w:val="FFFFFF"/>
              </w:rPr>
              <w:t>Equity</w:t>
              <w:br/>
              <w:t>Incentive Plan </w:t>
              <w:br/>
              <w:t>  Awards—</w:t>
              <w:br/>
              <w:t>Number of</w:t>
              <w:br/>
              <w:t>Unearned</w:t>
              <w:br/>
              <w:t>Shares,</w:t>
              <w:br/>
              <w:t>Units, or</w:t>
              <w:br/>
              <w:t>Other Rights</w:t>
              <w:br/>
              <w:t>That Have</w:t>
              <w:br/>
              <w:t>Not</w:t>
              <w:br/>
              <w:t> Vested (#)(2) 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850" w:type="dxa"/>
            <w:gridSpan w:val="4"/>
            <w:tcBorders/>
            <w:shd w:fill="666666" w:val="clear"/>
            <w:vAlign w:val="center"/>
          </w:tcPr>
          <w:p>
            <w:pPr>
              <w:pStyle w:val="TableContents"/>
              <w:bidi w:val="0"/>
              <w:spacing w:before="0" w:after="283"/>
              <w:jc w:val="center"/>
              <w:rPr>
                <w:b/>
                <w:color w:val="FFFFFF"/>
              </w:rPr>
            </w:pPr>
            <w:r>
              <w:rPr>
                <w:b/>
                <w:color w:val="FFFFFF"/>
              </w:rPr>
              <w:t>Equity</w:t>
              <w:br/>
              <w:t> Incentive Plan</w:t>
              <w:br/>
              <w:t> Awards—</w:t>
              <w:br/>
              <w:t>Market or</w:t>
              <w:br/>
              <w:t>Payout Value of  </w:t>
              <w:br/>
              <w:t> Unearned</w:t>
              <w:br/>
              <w:t> Shares, Units,</w:t>
              <w:br/>
              <w:t>  Other Rights</w:t>
              <w:br/>
              <w:t>That Have</w:t>
              <w:br/>
              <w:t>Not</w:t>
              <w:br/>
              <w:t>Vested ($)</w:t>
            </w:r>
          </w:p>
        </w:tc>
      </w:tr>
      <w:tr>
        <w:trPr/>
        <w:tc>
          <w:tcPr>
            <w:tcW w:w="755" w:type="dxa"/>
            <w:tcBorders/>
            <w:shd w:fill="E5E5E5" w:val="clear"/>
            <w:vAlign w:val="center"/>
          </w:tcPr>
          <w:p>
            <w:pPr>
              <w:pStyle w:val="TableContents"/>
              <w:bidi w:val="0"/>
              <w:spacing w:before="0" w:after="0"/>
              <w:jc w:val="left"/>
              <w:rPr/>
            </w:pPr>
            <w:r>
              <w:rPr/>
              <w:t> </w:t>
            </w:r>
            <w:r>
              <w:rPr>
                <w:rFonts w:ascii="arial" w:hAnsi="arial"/>
                <w:b/>
                <w:sz w:val="16"/>
              </w:rPr>
              <w:t>Kurt</w:t>
            </w:r>
            <w:r>
              <w:rPr>
                <w:rFonts w:ascii="arial" w:hAnsi="arial"/>
                <w:sz w:val="16"/>
              </w:rPr>
              <w:t xml:space="preserve"> </w:t>
            </w:r>
            <w:r>
              <w:rPr>
                <w:rFonts w:ascii="arial" w:hAnsi="arial"/>
                <w:b/>
                <w:sz w:val="16"/>
              </w:rPr>
              <w:t>Ekert</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03/15/2022</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right"/>
              <w:rPr/>
            </w:pPr>
            <w:r>
              <w:rPr/>
              <w:t>156,413</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(3)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right"/>
              <w:rPr/>
            </w:pPr>
            <w:r>
              <w:rPr/>
              <w:t>570,907</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right"/>
              <w:rPr/>
            </w:pPr>
            <w:r>
              <w:rPr/>
              <w:t>790,230</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(4)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right"/>
              <w:rPr/>
            </w:pPr>
            <w:r>
              <w:rPr/>
              <w:t>2,884,340</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right"/>
              <w:rPr/>
            </w:pPr>
            <w:r>
              <w:rPr/>
              <w:t>946,372</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(5)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right"/>
              <w:rPr/>
            </w:pPr>
            <w:r>
              <w:rPr/>
              <w:t>3,454,258</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01/14/2022</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68,942</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251,638</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03/15/2022</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52,138</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190,304</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526,820</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1,922,893</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946,372</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3,454,258</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0"/>
              <w:jc w:val="left"/>
              <w:rPr/>
            </w:pPr>
            <w:r>
              <w:rPr/>
              <w:t> </w:t>
            </w:r>
            <w:r>
              <w:rPr>
                <w:rFonts w:ascii="arial" w:hAnsi="arial"/>
                <w:b/>
                <w:sz w:val="16"/>
              </w:rPr>
              <w:t>Michael</w:t>
            </w:r>
            <w:r>
              <w:rPr>
                <w:rFonts w:ascii="arial" w:hAnsi="arial"/>
                <w:sz w:val="16"/>
              </w:rPr>
              <w:t xml:space="preserve"> </w:t>
            </w:r>
            <w:r>
              <w:rPr>
                <w:rFonts w:ascii="arial" w:hAnsi="arial"/>
                <w:b/>
                <w:sz w:val="16"/>
              </w:rPr>
              <w:t>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09/15/2022</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109,170</w:t>
            </w:r>
          </w:p>
        </w:tc>
        <w:tc>
          <w:tcPr>
            <w:tcW w:w="303" w:type="dxa"/>
            <w:tcBorders/>
            <w:vAlign w:val="center"/>
          </w:tcPr>
          <w:p>
            <w:pPr>
              <w:pStyle w:val="TableContents"/>
              <w:bidi w:val="0"/>
              <w:spacing w:before="0" w:after="283"/>
              <w:jc w:val="left"/>
              <w:rPr/>
            </w:pPr>
            <w:r>
              <w:rPr/>
              <w:t>(3)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1444" w:type="dxa"/>
            <w:tcBorders/>
            <w:vAlign w:val="center"/>
          </w:tcPr>
          <w:p>
            <w:pPr>
              <w:pStyle w:val="TableContents"/>
              <w:bidi w:val="0"/>
              <w:spacing w:before="0" w:after="283"/>
              <w:jc w:val="right"/>
              <w:rPr/>
            </w:pPr>
            <w:r>
              <w:rPr/>
              <w:t>398,471</w:t>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05/15/2023</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287,356</w:t>
            </w:r>
          </w:p>
        </w:tc>
        <w:tc>
          <w:tcPr>
            <w:tcW w:w="303" w:type="dxa"/>
            <w:tcBorders/>
            <w:vAlign w:val="center"/>
          </w:tcPr>
          <w:p>
            <w:pPr>
              <w:pStyle w:val="TableContents"/>
              <w:bidi w:val="0"/>
              <w:spacing w:before="0" w:after="283"/>
              <w:jc w:val="left"/>
              <w:rPr/>
            </w:pPr>
            <w:r>
              <w:rPr/>
              <w:t>(4)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1444" w:type="dxa"/>
            <w:tcBorders/>
            <w:vAlign w:val="center"/>
          </w:tcPr>
          <w:p>
            <w:pPr>
              <w:pStyle w:val="TableContents"/>
              <w:bidi w:val="0"/>
              <w:spacing w:before="0" w:after="283"/>
              <w:jc w:val="right"/>
              <w:rPr/>
            </w:pPr>
            <w:r>
              <w:rPr/>
              <w:t>1,048,849</w:t>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05/15/2024</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315,457</w:t>
            </w:r>
          </w:p>
        </w:tc>
        <w:tc>
          <w:tcPr>
            <w:tcW w:w="303" w:type="dxa"/>
            <w:tcBorders/>
            <w:vAlign w:val="center"/>
          </w:tcPr>
          <w:p>
            <w:pPr>
              <w:pStyle w:val="TableContents"/>
              <w:bidi w:val="0"/>
              <w:spacing w:before="0" w:after="283"/>
              <w:jc w:val="left"/>
              <w:rPr/>
            </w:pPr>
            <w:r>
              <w:rPr/>
              <w:t>(5)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1444" w:type="dxa"/>
            <w:tcBorders/>
            <w:vAlign w:val="center"/>
          </w:tcPr>
          <w:p>
            <w:pPr>
              <w:pStyle w:val="TableContents"/>
              <w:bidi w:val="0"/>
              <w:spacing w:before="0" w:after="283"/>
              <w:jc w:val="right"/>
              <w:rPr/>
            </w:pPr>
            <w:r>
              <w:rPr/>
              <w:t>1,151,418</w:t>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09/15/2022</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36,390</w:t>
            </w:r>
          </w:p>
        </w:tc>
        <w:tc>
          <w:tcPr>
            <w:tcW w:w="215" w:type="dxa"/>
            <w:tcBorders/>
            <w:vAlign w:val="center"/>
          </w:tcPr>
          <w:p>
            <w:pPr>
              <w:pStyle w:val="TableContents"/>
              <w:bidi w:val="0"/>
              <w:spacing w:before="0" w:after="283"/>
              <w:jc w:val="left"/>
              <w:rPr/>
            </w:pPr>
            <w:r>
              <w:rPr/>
              <w:t>(6)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132,824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05/15/2023</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191,571</w:t>
            </w:r>
          </w:p>
        </w:tc>
        <w:tc>
          <w:tcPr>
            <w:tcW w:w="215" w:type="dxa"/>
            <w:tcBorders/>
            <w:vAlign w:val="center"/>
          </w:tcPr>
          <w:p>
            <w:pPr>
              <w:pStyle w:val="TableContents"/>
              <w:bidi w:val="0"/>
              <w:spacing w:before="0" w:after="283"/>
              <w:jc w:val="left"/>
              <w:rPr/>
            </w:pPr>
            <w:r>
              <w:rPr/>
              <w:t>(6)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699,234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05/15/2024</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315,457</w:t>
            </w:r>
          </w:p>
        </w:tc>
        <w:tc>
          <w:tcPr>
            <w:tcW w:w="215" w:type="dxa"/>
            <w:tcBorders/>
            <w:vAlign w:val="center"/>
          </w:tcPr>
          <w:p>
            <w:pPr>
              <w:pStyle w:val="TableContents"/>
              <w:bidi w:val="0"/>
              <w:spacing w:before="0" w:after="283"/>
              <w:jc w:val="left"/>
              <w:rPr/>
            </w:pPr>
            <w:r>
              <w:rPr/>
              <w:t>(6)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1,151,418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0"/>
              <w:jc w:val="left"/>
              <w:rPr/>
            </w:pPr>
            <w:r>
              <w:rPr/>
              <w:t> </w:t>
            </w:r>
            <w:r>
              <w:rPr>
                <w:rFonts w:ascii="arial" w:hAnsi="arial"/>
                <w:b/>
                <w:sz w:val="16"/>
              </w:rPr>
              <w:t>Joe</w:t>
            </w:r>
            <w:r>
              <w:rPr>
                <w:rFonts w:ascii="arial" w:hAnsi="arial"/>
                <w:sz w:val="16"/>
              </w:rPr>
              <w:t xml:space="preserve"> </w:t>
            </w:r>
            <w:r>
              <w:rPr>
                <w:rFonts w:ascii="arial" w:hAnsi="arial"/>
                <w:b/>
                <w:sz w:val="16"/>
              </w:rPr>
              <w:t>DiFonzo</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03/13/2020</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right"/>
              <w:rPr/>
            </w:pPr>
            <w:r>
              <w:rPr/>
              <w:t>32,032</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right"/>
              <w:rPr/>
            </w:pPr>
            <w:r>
              <w:rPr/>
              <w:t>—</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right"/>
              <w:rPr/>
            </w:pPr>
            <w:r>
              <w:rPr/>
              <w:t>8.33</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right"/>
              <w:rPr/>
            </w:pPr>
            <w:r>
              <w:rPr/>
              <w:t>3/13/2030</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03/15/2022</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right"/>
              <w:rPr/>
            </w:pPr>
            <w:r>
              <w:rPr/>
              <w:t>52,138</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(3)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right"/>
              <w:rPr/>
            </w:pPr>
            <w:r>
              <w:rPr/>
              <w:t>190,304</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right"/>
              <w:rPr/>
            </w:pPr>
            <w:r>
              <w:rPr/>
              <w:t>143,678</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(4)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right"/>
              <w:rPr/>
            </w:pPr>
            <w:r>
              <w:rPr/>
              <w:t>524,425</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right"/>
              <w:rPr/>
            </w:pPr>
            <w:r>
              <w:rPr/>
              <w:t>236,593</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(5)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right"/>
              <w:rPr/>
            </w:pPr>
            <w:r>
              <w:rPr/>
              <w:t>863,564</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03/15/2022</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17,380</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63,437</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95,786</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349,619</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236,593</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863,564</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0"/>
              <w:jc w:val="left"/>
              <w:rPr/>
            </w:pPr>
            <w:r>
              <w:rPr/>
              <w:t> </w:t>
            </w:r>
            <w:r>
              <w:rPr>
                <w:rFonts w:ascii="arial" w:hAnsi="arial"/>
                <w:b/>
                <w:sz w:val="16"/>
              </w:rPr>
              <w:t>Roshan</w:t>
            </w:r>
            <w:r>
              <w:rPr>
                <w:rFonts w:ascii="arial" w:hAnsi="arial"/>
                <w:sz w:val="16"/>
              </w:rPr>
              <w:t xml:space="preserve"> </w:t>
            </w:r>
            <w:r>
              <w:rPr>
                <w:rFonts w:ascii="arial" w:hAnsi="arial"/>
                <w:b/>
                <w:sz w:val="16"/>
              </w:rPr>
              <w:t>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03/13/2015</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13,626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w:t>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22.15</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3/13/2025</w:t>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03/15/2016</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11,915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w:t>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27.79</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3/15/2026</w:t>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03/15/2017</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19,350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w:t>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22.01</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3/15/2027</w:t>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03/15/2018</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22,840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w:t>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22.03</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3/15/2028</w:t>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03/15/2019</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17,375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w:t>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21.35</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3/15/2029</w:t>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03/13/2020</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27,027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w:t>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8.33</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3/13/2030</w:t>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06/15/2020</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48,924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w:t>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8.48</w:t>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6/15/2030</w:t>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03/15/2022</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78,206</w:t>
            </w:r>
          </w:p>
        </w:tc>
        <w:tc>
          <w:tcPr>
            <w:tcW w:w="303" w:type="dxa"/>
            <w:tcBorders/>
            <w:vAlign w:val="center"/>
          </w:tcPr>
          <w:p>
            <w:pPr>
              <w:pStyle w:val="TableContents"/>
              <w:bidi w:val="0"/>
              <w:spacing w:before="0" w:after="283"/>
              <w:jc w:val="left"/>
              <w:rPr/>
            </w:pPr>
            <w:r>
              <w:rPr/>
              <w:t>(3)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1444" w:type="dxa"/>
            <w:tcBorders/>
            <w:vAlign w:val="center"/>
          </w:tcPr>
          <w:p>
            <w:pPr>
              <w:pStyle w:val="TableContents"/>
              <w:bidi w:val="0"/>
              <w:spacing w:before="0" w:after="283"/>
              <w:jc w:val="right"/>
              <w:rPr/>
            </w:pPr>
            <w:r>
              <w:rPr/>
              <w:t>285,452</w:t>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05/15/2023</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215,517</w:t>
            </w:r>
          </w:p>
        </w:tc>
        <w:tc>
          <w:tcPr>
            <w:tcW w:w="303" w:type="dxa"/>
            <w:tcBorders/>
            <w:vAlign w:val="center"/>
          </w:tcPr>
          <w:p>
            <w:pPr>
              <w:pStyle w:val="TableContents"/>
              <w:bidi w:val="0"/>
              <w:spacing w:before="0" w:after="283"/>
              <w:jc w:val="left"/>
              <w:rPr/>
            </w:pPr>
            <w:r>
              <w:rPr/>
              <w:t>(4)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1444" w:type="dxa"/>
            <w:tcBorders/>
            <w:vAlign w:val="center"/>
          </w:tcPr>
          <w:p>
            <w:pPr>
              <w:pStyle w:val="TableContents"/>
              <w:bidi w:val="0"/>
              <w:spacing w:before="0" w:after="283"/>
              <w:jc w:val="right"/>
              <w:rPr/>
            </w:pPr>
            <w:r>
              <w:rPr/>
              <w:t>786,637</w:t>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05/15/2024</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236,593</w:t>
            </w:r>
          </w:p>
        </w:tc>
        <w:tc>
          <w:tcPr>
            <w:tcW w:w="303" w:type="dxa"/>
            <w:tcBorders/>
            <w:vAlign w:val="center"/>
          </w:tcPr>
          <w:p>
            <w:pPr>
              <w:pStyle w:val="TableContents"/>
              <w:bidi w:val="0"/>
              <w:spacing w:before="0" w:after="283"/>
              <w:jc w:val="left"/>
              <w:rPr/>
            </w:pPr>
            <w:r>
              <w:rPr/>
              <w:t>(5)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1444" w:type="dxa"/>
            <w:tcBorders/>
            <w:vAlign w:val="center"/>
          </w:tcPr>
          <w:p>
            <w:pPr>
              <w:pStyle w:val="TableContents"/>
              <w:bidi w:val="0"/>
              <w:spacing w:before="0" w:after="283"/>
              <w:jc w:val="right"/>
              <w:rPr/>
            </w:pPr>
            <w:r>
              <w:rPr/>
              <w:t>863,564</w:t>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03/15/2022</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26,069</w:t>
            </w:r>
          </w:p>
        </w:tc>
        <w:tc>
          <w:tcPr>
            <w:tcW w:w="215" w:type="dxa"/>
            <w:tcBorders/>
            <w:vAlign w:val="center"/>
          </w:tcPr>
          <w:p>
            <w:pPr>
              <w:pStyle w:val="TableContents"/>
              <w:bidi w:val="0"/>
              <w:spacing w:before="0" w:after="283"/>
              <w:jc w:val="left"/>
              <w:rPr/>
            </w:pPr>
            <w:r>
              <w:rPr/>
              <w:t>(6)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95,152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05/15/2023</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143,678</w:t>
            </w:r>
          </w:p>
        </w:tc>
        <w:tc>
          <w:tcPr>
            <w:tcW w:w="215" w:type="dxa"/>
            <w:tcBorders/>
            <w:vAlign w:val="center"/>
          </w:tcPr>
          <w:p>
            <w:pPr>
              <w:pStyle w:val="TableContents"/>
              <w:bidi w:val="0"/>
              <w:spacing w:before="0" w:after="283"/>
              <w:jc w:val="left"/>
              <w:rPr/>
            </w:pPr>
            <w:r>
              <w:rPr/>
              <w:t>(6)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524,425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05/15/2024</w:t>
            </w:r>
          </w:p>
        </w:tc>
        <w:tc>
          <w:tcPr>
            <w:tcW w:w="6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236,593</w:t>
            </w:r>
          </w:p>
        </w:tc>
        <w:tc>
          <w:tcPr>
            <w:tcW w:w="215" w:type="dxa"/>
            <w:tcBorders/>
            <w:vAlign w:val="center"/>
          </w:tcPr>
          <w:p>
            <w:pPr>
              <w:pStyle w:val="TableContents"/>
              <w:bidi w:val="0"/>
              <w:spacing w:before="0" w:after="283"/>
              <w:jc w:val="left"/>
              <w:rPr/>
            </w:pPr>
            <w:r>
              <w:rPr/>
              <w:t>(6)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863,564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0"/>
              <w:jc w:val="left"/>
              <w:rPr/>
            </w:pPr>
            <w:r>
              <w:rPr/>
              <w:t> </w:t>
            </w:r>
            <w:r>
              <w:rPr>
                <w:rFonts w:ascii="arial" w:hAnsi="arial"/>
                <w:b/>
                <w:sz w:val="16"/>
              </w:rPr>
              <w:t>Garry</w:t>
            </w:r>
            <w:r>
              <w:rPr>
                <w:rFonts w:ascii="arial" w:hAnsi="arial"/>
                <w:sz w:val="16"/>
              </w:rPr>
              <w:t xml:space="preserve"> </w:t>
            </w:r>
            <w:r>
              <w:rPr>
                <w:rFonts w:ascii="arial" w:hAnsi="arial"/>
                <w:b/>
                <w:sz w:val="16"/>
              </w:rPr>
              <w:t>Wiseman</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09/15/2022</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right"/>
              <w:rPr/>
            </w:pPr>
            <w:r>
              <w:rPr/>
              <w:t>109,170</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(3)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right"/>
              <w:rPr/>
            </w:pPr>
            <w:r>
              <w:rPr/>
              <w:t>398,471</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right"/>
              <w:rPr/>
            </w:pPr>
            <w:r>
              <w:rPr/>
              <w:t>215,517</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(4)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right"/>
              <w:rPr/>
            </w:pPr>
            <w:r>
              <w:rPr/>
              <w:t>786,637</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right"/>
              <w:rPr/>
            </w:pPr>
            <w:r>
              <w:rPr/>
              <w:t>236,593</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(5)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right"/>
              <w:rPr/>
            </w:pPr>
            <w:r>
              <w:rPr/>
              <w:t>863,564</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09/15/2022</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36,390</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132,824</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05/15/2023</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143,678</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524,425</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r>
        <w:trPr/>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6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3" w:type="dxa"/>
            <w:tcBorders>
              <w:bottom w:val="single" w:sz="12" w:space="0" w:color="FFFFFF"/>
            </w:tcBorders>
            <w:shd w:fill="E5E5E5" w:val="clear"/>
            <w:tcMar>
              <w:bottom w:w="28" w:type="dxa"/>
            </w:tcMar>
            <w:vAlign w:val="center"/>
          </w:tcPr>
          <w:p>
            <w:pPr>
              <w:pStyle w:val="TableContents"/>
              <w:bidi w:val="0"/>
              <w:spacing w:before="0" w:after="283"/>
              <w:jc w:val="right"/>
              <w:rPr/>
            </w:pPr>
            <w:r>
              <w:rPr/>
              <w:t>05/15/2024</w:t>
            </w:r>
          </w:p>
        </w:tc>
        <w:tc>
          <w:tcPr>
            <w:tcW w:w="66"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8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9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7"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90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1"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00" w:type="dxa"/>
            <w:tcBorders>
              <w:bottom w:val="single" w:sz="12" w:space="0" w:color="FFFFFF"/>
            </w:tcBorders>
            <w:shd w:fill="E5E5E5" w:val="clear"/>
            <w:tcMar>
              <w:bottom w:w="28" w:type="dxa"/>
            </w:tcMar>
            <w:vAlign w:val="center"/>
          </w:tcPr>
          <w:p>
            <w:pPr>
              <w:pStyle w:val="TableContents"/>
              <w:bidi w:val="0"/>
              <w:spacing w:before="0" w:after="283"/>
              <w:jc w:val="right"/>
              <w:rPr/>
            </w:pPr>
            <w:r>
              <w:rPr/>
              <w:t>236,593</w:t>
            </w:r>
          </w:p>
        </w:tc>
        <w:tc>
          <w:tcPr>
            <w:tcW w:w="215" w:type="dxa"/>
            <w:tcBorders>
              <w:bottom w:val="single" w:sz="12" w:space="0" w:color="FFFFFF"/>
            </w:tcBorders>
            <w:shd w:fill="E5E5E5" w:val="clear"/>
            <w:tcMar>
              <w:bottom w:w="28" w:type="dxa"/>
            </w:tcMar>
            <w:vAlign w:val="center"/>
          </w:tcPr>
          <w:p>
            <w:pPr>
              <w:pStyle w:val="TableContents"/>
              <w:bidi w:val="0"/>
              <w:spacing w:before="0" w:after="283"/>
              <w:jc w:val="left"/>
              <w:rPr/>
            </w:pPr>
            <w:r>
              <w:rPr/>
              <w:t>(6)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12"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12" w:space="0" w:color="FFFFFF"/>
            </w:tcBorders>
            <w:shd w:fill="E5E5E5" w:val="clear"/>
            <w:tcMar>
              <w:bottom w:w="28" w:type="dxa"/>
            </w:tcMar>
            <w:vAlign w:val="center"/>
          </w:tcPr>
          <w:p>
            <w:pPr>
              <w:pStyle w:val="TableContents"/>
              <w:bidi w:val="0"/>
              <w:spacing w:before="0" w:after="283"/>
              <w:jc w:val="right"/>
              <w:rPr/>
            </w:pPr>
            <w:r>
              <w:rPr/>
              <w:t>863,564</w:t>
            </w:r>
          </w:p>
        </w:tc>
        <w:tc>
          <w:tcPr>
            <w:tcW w:w="60" w:type="dxa"/>
            <w:tcBorders>
              <w:bottom w:val="single" w:sz="12"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8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303"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88"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206"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444"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c>
          <w:tcPr>
            <w:tcW w:w="112" w:type="dxa"/>
            <w:tcBorders>
              <w:bottom w:val="single" w:sz="12" w:space="0" w:color="FFFFFF"/>
            </w:tcBorders>
            <w:shd w:fill="E5E5E5" w:val="clear"/>
            <w:tcMar>
              <w:bottom w:w="28" w:type="dxa"/>
            </w:tcM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arial" w:hAnsi="arial"/>
                <w:sz w:val="18"/>
              </w:rPr>
            </w:pPr>
            <w:r>
              <w:rPr>
                <w:rFonts w:ascii="arial" w:hAnsi="arial"/>
                <w:sz w:val="18"/>
              </w:rPr>
              <w:t xml:space="preserve">Each option to purchase shares of our common stock (i) granted in 2014 through May 2016 was pursuant to the 2014 Omnibus Plan, (ii) granted from May 2016 through April 2019 was pursuant to the 2016 Omnibus Plan, and (iii) granted from May 2019 through December 2020 was pursuant to the 2019 Omnibus Plan.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79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arial" w:hAnsi="arial"/>
                <w:sz w:val="18"/>
              </w:rPr>
            </w:pPr>
            <w:r>
              <w:rPr>
                <w:rFonts w:ascii="arial" w:hAnsi="arial"/>
                <w:sz w:val="18"/>
              </w:rPr>
              <w:t xml:space="preserve">Each RSU award covering shares of our common stock (i) granted from May 2016 through April 2019 was pursuant to the 2016 Omnibus Plan, (ii) granted from May 2019 through April 2021 was pursuant to the 2019 Omnibus Plan, (iii) granted from May 2021 through April 2023 was pursuant to the 2021 Omnibus Plan; (iv) granted from April 2023 through April 2024 was pursuant to the 2023 Omnibus Plan; and (v) granted after April 2024 was pursuant to the 2024 Omnibus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arial" w:hAnsi="arial"/>
                <w:sz w:val="18"/>
              </w:rPr>
            </w:pPr>
            <w:r>
              <w:rPr>
                <w:rFonts w:ascii="arial" w:hAnsi="arial"/>
                <w:sz w:val="18"/>
              </w:rPr>
              <w:t xml:space="preserve">The PSU awards granted on March 15, 2022 and to Mr. Randolfi on September 15, 2022 under the 2021 Omnibus Plan vest on the third anniversary of the date of grant, subject to each named executive officer’s continued employment through each such vesting date, with the total number of units eligible to be earned for each tranche ranging from 0% to 200% of the number of units in that tranche, depending on the degree to which we achieve our Adjusted Free Cash Flow target level for the measurement period from January 1, 2022 to December 31, 2024, with a TSR modifier based on our common stock’s price relative performance to the S&amp;P Composite 1500 Information Technology index over the three-year measurement period from January 1, 2022 to December 31, 2024, which can increase or decrease the number of PSUs earned by 10%, subject to a maximum overall payout of 200%.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arial" w:hAnsi="arial"/>
                <w:sz w:val="18"/>
              </w:rPr>
            </w:pPr>
            <w:r>
              <w:rPr>
                <w:rFonts w:ascii="arial" w:hAnsi="arial"/>
                <w:sz w:val="18"/>
              </w:rPr>
              <w:t xml:space="preserve">The PSU awards granted on May 15, 2023 under the 2023 Omnibus Plan vest on the third anniversary of the date of grant, subject to each named executive officer’s continued employment through each such vesting date, with the total number of units eligible to be earned for each tranche ranging from 0% to 200% of the number of units in that tranche, depending on the degree to which we achieve our Free Cash Flow target level measured for each of 2023, 2024, and 2025, with a TSR modifier based on our common stock’s price relative performance to the S&amp;P Composite 1500 Information Technology index over the three-year measurement period from January 1, 2023 to December 31, 2025, which can increase or decrease the number of PSUs earned by 10%, subject to a maximum overall payout of 200%. See “Long-Term Incentive Compensation—2024 Equity Awards” for additional information on the calculation of Free Cash Flow.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arial" w:hAnsi="arial"/>
                <w:sz w:val="18"/>
              </w:rPr>
            </w:pPr>
            <w:r>
              <w:rPr>
                <w:rFonts w:ascii="arial" w:hAnsi="arial"/>
                <w:sz w:val="18"/>
              </w:rPr>
              <w:t xml:space="preserve">The PSU awards granted on May 15, 2024 under the 2024 Omnibus Plan vest on the third anniversary of the date of grant, subject to each named executive officer’s continued employment through each such vesting date, with the total number of units eligible to be earned for each tranche ranging from 0% to 200% of the number of units in that tranche, depending on the degree to which we achieve our Free Cash Flow target level measured for each of 2024, 2025, and 2026, with a TSR modifier based on our common stock’s price relative performance to the S&amp;P Composite 1500 Information Technology index over the three-year measurement period from January 1, 2024 to December 31, 2026, which can increase or decrease the number of PSUs earned by 10%, subject to a maximum overall payout of 200%. See “Long-Term Incentive Compensation—2024 Equity Awards” for additional information on the calculation of Free Cash Flow.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(6)</w:t>
            </w:r>
          </w:p>
        </w:tc>
        <w:tc>
          <w:tcPr>
            <w:tcW w:w="9935" w:type="dxa"/>
            <w:tcBorders/>
            <w:vAlign w:val="center"/>
          </w:tcPr>
          <w:p>
            <w:pPr>
              <w:pStyle w:val="TableContents"/>
              <w:bidi w:val="0"/>
              <w:spacing w:before="0" w:after="0"/>
              <w:jc w:val="left"/>
              <w:rPr>
                <w:rFonts w:ascii="arial" w:hAnsi="arial"/>
                <w:sz w:val="18"/>
              </w:rPr>
            </w:pPr>
            <w:r>
              <w:rPr>
                <w:rFonts w:ascii="arial" w:hAnsi="arial"/>
                <w:sz w:val="18"/>
              </w:rPr>
              <w:t xml:space="preserve">These RSUs vest as to one-third of the shares of our common stock on each of the three anniversaries of the date of grant, subject to the named executive officer’s continued employment through each vesting date. </w:t>
            </w:r>
          </w:p>
        </w:tc>
      </w:tr>
    </w:tbl>
    <w:p>
      <w:pPr>
        <w:pStyle w:val="TextBody"/>
        <w:bidi w:val="0"/>
        <w:spacing w:before="360" w:after="0"/>
        <w:jc w:val="left"/>
        <w:rPr>
          <w:rFonts w:ascii="arial" w:hAnsi="arial"/>
          <w:b/>
          <w:color w:val="CF0A2C"/>
          <w:sz w:val="28"/>
        </w:rPr>
      </w:pPr>
      <w:bookmarkStart w:id="61" w:name="tx888712_60"/>
      <w:bookmarkEnd w:id="61"/>
      <w:r>
        <w:rPr>
          <w:rFonts w:ascii="arial" w:hAnsi="arial"/>
          <w:b/>
          <w:color w:val="CF0A2C"/>
          <w:sz w:val="28"/>
        </w:rPr>
        <w:t xml:space="preserve">2024 Option Exercises and Stock Vested Table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following table sets forth, for each of our named executive officers, the number of shares of our common stock acquired and the aggregate value realized upon the vesting of PSUs and RSUs during the year ended December 31, 2024. There were no options exercised by the named executive officers during the year ended December 31, 2024. For purposes of the table, the value realized is based upon the fair market value of our common stock on the various vesting dates. </w:t>
      </w:r>
    </w:p>
    <w:p>
      <w:pPr>
        <w:pStyle w:val="TextBody"/>
        <w:bidi w:val="0"/>
        <w:spacing w:before="0" w:after="0"/>
        <w:jc w:val="left"/>
        <w:rPr/>
      </w:pPr>
      <w:r>
        <w:rPr/>
        <w:t> </w:t>
      </w:r>
    </w:p>
    <w:tbl>
      <w:tblPr>
        <w:tblW w:w="3658" w:type="dxa"/>
        <w:jc w:val="left"/>
        <w:tblInd w:w="0" w:type="dxa"/>
        <w:tblLayout w:type="fixed"/>
        <w:tblCellMar>
          <w:top w:w="0" w:type="dxa"/>
          <w:left w:w="0" w:type="dxa"/>
          <w:bottom w:w="0" w:type="dxa"/>
          <w:right w:w="0" w:type="dxa"/>
        </w:tblCellMar>
      </w:tblPr>
      <w:tblGrid>
        <w:gridCol w:w="1265"/>
        <w:gridCol w:w="60"/>
        <w:gridCol w:w="67"/>
        <w:gridCol w:w="67"/>
        <w:gridCol w:w="895"/>
        <w:gridCol w:w="26"/>
        <w:gridCol w:w="60"/>
        <w:gridCol w:w="60"/>
        <w:gridCol w:w="140"/>
        <w:gridCol w:w="980"/>
        <w:gridCol w:w="38"/>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65" w:type="dxa"/>
            <w:tcBorders/>
            <w:shd w:fill="666666" w:val="cle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333" w:type="dxa"/>
            <w:gridSpan w:val="9"/>
            <w:tcBorders>
              <w:bottom w:val="single" w:sz="12" w:space="0" w:color="FFFFFF"/>
            </w:tcBorders>
            <w:shd w:fill="66666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Stock Awards</w:t>
            </w:r>
          </w:p>
          <w:p>
            <w:pPr>
              <w:pStyle w:val="TableContents"/>
              <w:bidi w:val="0"/>
              <w:spacing w:before="0" w:after="20"/>
              <w:jc w:val="left"/>
              <w:rPr/>
            </w:pPr>
            <w:r>
              <w:rPr/>
              <w:t> </w:t>
            </w:r>
          </w:p>
        </w:tc>
      </w:tr>
      <w:tr>
        <w:trPr/>
        <w:tc>
          <w:tcPr>
            <w:tcW w:w="1265" w:type="dxa"/>
            <w:tcBorders/>
            <w:shd w:fill="666666"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55"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w:t>
              <w:br/>
              <w:t>Shares</w:t>
              <w:br/>
              <w:t>Acquired on</w:t>
              <w:br/>
              <w:t>Vesting</w:t>
              <w:br/>
              <w:t>(#)</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18"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Value</w:t>
            </w:r>
          </w:p>
          <w:p>
            <w:pPr>
              <w:pStyle w:val="TableContents"/>
              <w:bidi w:val="0"/>
              <w:spacing w:before="0" w:after="0"/>
              <w:jc w:val="center"/>
              <w:rPr>
                <w:rFonts w:ascii="arial" w:hAnsi="arial"/>
                <w:b/>
                <w:color w:val="FFFFFF"/>
                <w:sz w:val="18"/>
              </w:rPr>
            </w:pPr>
            <w:r>
              <w:rPr>
                <w:rFonts w:ascii="arial" w:hAnsi="arial"/>
                <w:b/>
                <w:color w:val="FFFFFF"/>
                <w:sz w:val="18"/>
              </w:rPr>
              <w:t>Realized on</w:t>
              <w:br/>
              <w:t>Vesting</w:t>
              <w:br/>
              <w:t>($)</w:t>
            </w:r>
          </w:p>
          <w:p>
            <w:pPr>
              <w:pStyle w:val="TableContents"/>
              <w:bidi w:val="0"/>
              <w:spacing w:before="0" w:after="20"/>
              <w:jc w:val="left"/>
              <w:rPr/>
            </w:pPr>
            <w:r>
              <w:rPr/>
              <w:t> </w:t>
            </w:r>
          </w:p>
        </w:tc>
      </w:tr>
      <w:tr>
        <w:trPr/>
        <w:tc>
          <w:tcPr>
            <w:tcW w:w="1265" w:type="dxa"/>
            <w:tcBorders/>
            <w:shd w:fill="E5E5E5" w:val="clear"/>
            <w:vAlign w:val="center"/>
          </w:tcPr>
          <w:p>
            <w:pPr>
              <w:pStyle w:val="TableContents"/>
              <w:bidi w:val="0"/>
              <w:spacing w:before="0" w:after="0"/>
              <w:jc w:val="left"/>
              <w:rPr/>
            </w:pPr>
            <w:r>
              <w:rPr/>
              <w:t> </w:t>
            </w:r>
            <w:r>
              <w:rPr>
                <w:rFonts w:ascii="arial" w:hAnsi="arial"/>
                <w:sz w:val="16"/>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895" w:type="dxa"/>
            <w:tcBorders/>
            <w:shd w:fill="E5E5E5" w:val="clear"/>
            <w:vAlign w:val="center"/>
          </w:tcPr>
          <w:p>
            <w:pPr>
              <w:pStyle w:val="TableContents"/>
              <w:bidi w:val="0"/>
              <w:spacing w:before="0" w:after="283"/>
              <w:jc w:val="right"/>
              <w:rPr/>
            </w:pPr>
            <w:r>
              <w:rPr/>
              <w:t>350,019</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980" w:type="dxa"/>
            <w:tcBorders/>
            <w:shd w:fill="E5E5E5" w:val="clear"/>
            <w:vAlign w:val="center"/>
          </w:tcPr>
          <w:p>
            <w:pPr>
              <w:pStyle w:val="TableContents"/>
              <w:bidi w:val="0"/>
              <w:spacing w:before="0" w:after="283"/>
              <w:jc w:val="right"/>
              <w:rPr/>
            </w:pPr>
            <w:r>
              <w:rPr/>
              <w:t>1,084,055</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pPr>
            <w:r>
              <w:rPr/>
              <w:t> </w:t>
            </w:r>
            <w:r>
              <w:rPr>
                <w:rFonts w:ascii="arial" w:hAnsi="arial"/>
                <w:sz w:val="16"/>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132,175</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420,814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65" w:type="dxa"/>
            <w:tcBorders/>
            <w:shd w:fill="E5E5E5" w:val="clear"/>
            <w:vAlign w:val="center"/>
          </w:tcPr>
          <w:p>
            <w:pPr>
              <w:pStyle w:val="TableContents"/>
              <w:bidi w:val="0"/>
              <w:spacing w:before="0" w:after="0"/>
              <w:jc w:val="left"/>
              <w:rPr/>
            </w:pPr>
            <w:r>
              <w:rPr/>
              <w:t> </w:t>
            </w:r>
            <w:r>
              <w:rPr>
                <w:rFonts w:ascii="arial" w:hAnsi="arial"/>
                <w:sz w:val="16"/>
              </w:rPr>
              <w:t>Joe DiFonzo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895" w:type="dxa"/>
            <w:tcBorders/>
            <w:shd w:fill="E5E5E5" w:val="clear"/>
            <w:vAlign w:val="center"/>
          </w:tcPr>
          <w:p>
            <w:pPr>
              <w:pStyle w:val="TableContents"/>
              <w:bidi w:val="0"/>
              <w:spacing w:before="0" w:after="283"/>
              <w:jc w:val="right"/>
              <w:rPr/>
            </w:pPr>
            <w:r>
              <w:rPr/>
              <w:t>115,024</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980" w:type="dxa"/>
            <w:tcBorders/>
            <w:shd w:fill="E5E5E5" w:val="clear"/>
            <w:vAlign w:val="center"/>
          </w:tcPr>
          <w:p>
            <w:pPr>
              <w:pStyle w:val="TableContents"/>
              <w:bidi w:val="0"/>
              <w:spacing w:before="0" w:after="283"/>
              <w:jc w:val="right"/>
              <w:rPr/>
            </w:pPr>
            <w:r>
              <w:rPr/>
              <w:t>284,739</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pPr>
            <w:r>
              <w:rPr/>
              <w:t> </w:t>
            </w:r>
            <w:r>
              <w:rPr>
                <w:rFonts w:ascii="arial" w:hAnsi="arial"/>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172,536</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427,110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65" w:type="dxa"/>
            <w:tcBorders/>
            <w:shd w:fill="E5E5E5" w:val="clear"/>
            <w:vAlign w:val="center"/>
          </w:tcPr>
          <w:p>
            <w:pPr>
              <w:pStyle w:val="TableContents"/>
              <w:bidi w:val="0"/>
              <w:spacing w:before="0" w:after="0"/>
              <w:jc w:val="left"/>
              <w:rPr/>
            </w:pPr>
            <w:r>
              <w:rPr/>
              <w:t> </w:t>
            </w:r>
            <w:r>
              <w:rPr>
                <w:rFonts w:ascii="arial" w:hAnsi="arial"/>
                <w:sz w:val="16"/>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895" w:type="dxa"/>
            <w:tcBorders/>
            <w:shd w:fill="E5E5E5" w:val="clear"/>
            <w:vAlign w:val="center"/>
          </w:tcPr>
          <w:p>
            <w:pPr>
              <w:pStyle w:val="TableContents"/>
              <w:bidi w:val="0"/>
              <w:spacing w:before="0" w:after="283"/>
              <w:jc w:val="right"/>
              <w:rPr/>
            </w:pPr>
            <w:r>
              <w:rPr/>
              <w:t>108,229</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980" w:type="dxa"/>
            <w:tcBorders/>
            <w:shd w:fill="E5E5E5" w:val="clear"/>
            <w:vAlign w:val="center"/>
          </w:tcPr>
          <w:p>
            <w:pPr>
              <w:pStyle w:val="TableContents"/>
              <w:bidi w:val="0"/>
              <w:spacing w:before="0" w:after="283"/>
              <w:jc w:val="right"/>
              <w:rPr/>
            </w:pPr>
            <w:r>
              <w:rPr/>
              <w:t>344,905</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pPr>
            <w:r>
              <w:rPr/>
              <w:t> </w:t>
            </w:r>
            <w:r>
              <w:rPr>
                <w:rFonts w:ascii="arial" w:hAnsi="arial"/>
                <w:sz w:val="16"/>
              </w:rPr>
              <w:t>Ann Bruder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71,839</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227,730</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80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bookmarkStart w:id="62" w:name="tx888712_61"/>
      <w:bookmarkEnd w:id="62"/>
      <w:r>
        <w:rPr>
          <w:rFonts w:ascii="arial" w:hAnsi="arial"/>
          <w:b/>
          <w:color w:val="CF0A2C"/>
          <w:sz w:val="28"/>
        </w:rPr>
        <w:t xml:space="preserve">Information on Employment Agreements and Offer Letters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We have entered into employment agreements or offer letters with each of our named executive officers. Typically, these agreements and offer letters include the named executive officer’s initial base salary or base salary at the time the agreement or offer letter was executed, an annual incentive opportunity under our EIP, and standard employee benefit plan and program participation. These agreements and offer letters also provide for a recommended equity award grant to be submitted to our Board of Directors or the Compensation Committee for approval, with an exercise price, in the case of an option to purchase shares of our common stock, equal to the fair market value of the shares of our common stock on the date of grant and subject to our specified vesting requirements. These offers of employment are each subject to covenants during the period of employment and for a specified period thereafter involving non-solicitation of customers, suppliers, and employees, non-competition, and non-disclosure of confidential information and trade secrets. </w:t>
      </w:r>
    </w:p>
    <w:p>
      <w:pPr>
        <w:pStyle w:val="TextBody"/>
        <w:bidi w:val="0"/>
        <w:spacing w:before="360" w:after="0"/>
        <w:jc w:val="left"/>
        <w:rPr>
          <w:rFonts w:ascii="arial" w:hAnsi="arial"/>
          <w:b/>
          <w:color w:val="CF0A2C"/>
          <w:sz w:val="28"/>
        </w:rPr>
      </w:pPr>
      <w:bookmarkStart w:id="63" w:name="tx888712_62"/>
      <w:bookmarkEnd w:id="63"/>
      <w:r>
        <w:rPr>
          <w:rFonts w:ascii="arial" w:hAnsi="arial"/>
          <w:b/>
          <w:color w:val="CF0A2C"/>
          <w:sz w:val="28"/>
        </w:rPr>
        <w:t xml:space="preserve">Potential Payments upon Termination or Change in Control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arial" w:hAnsi="arial"/>
          <w:sz w:val="22"/>
        </w:rPr>
      </w:pPr>
      <w:r>
        <w:rPr>
          <w:rFonts w:ascii="arial" w:hAnsi="arial"/>
          <w:sz w:val="22"/>
        </w:rPr>
        <w:t xml:space="preserve">Any termination of employment of our named executive officers is governed by the Executive Severance Plan. The Executive Severance Plan is designed to provide post-employment compensation payments and benefits that approximate the termination benefits that our executive officers with employment agreements would be entitled to receive under their respective agreements. See “Compensation Discussion and Analysis—Post-Employment Compensation.” </w:t>
      </w:r>
    </w:p>
    <w:p>
      <w:pPr>
        <w:pStyle w:val="TextBody"/>
        <w:bidi w:val="0"/>
        <w:spacing w:before="240" w:after="0"/>
        <w:jc w:val="left"/>
        <w:rPr>
          <w:rFonts w:ascii="arial" w:hAnsi="arial"/>
          <w:sz w:val="22"/>
        </w:rPr>
      </w:pPr>
      <w:r>
        <w:rPr>
          <w:rFonts w:ascii="arial" w:hAnsi="arial"/>
          <w:sz w:val="22"/>
        </w:rPr>
        <w:t xml:space="preserve">The estimated potential payments and benefits payable to each of the named executive officers in the event of a termination of employment as of December 31, 2024 are described below. The actual amounts that would be paid or distributed to the named executive officers as a result of one of the termination events occurring in the future may be different than those presented below, as many factors will affect the amount of any payments and benefits upon a termination of employment. For example, some of the factors that could affect the amounts payable include the named executive officer’s base salary and the market price of the shares of our common stock. Although we have entered into written arrangements to provide these payments and benefits to these named executive officers in connection with a termination of employment under particular circumstances, we, or an acquirer, may mutually agree with our named executive officers on post-employment compensation terms that vary from those provided in these pre-existing arrangements. Finally, in addition to the amounts presented below, each named executive officer would also be able to exercise any previously-vested options to purchase shares of our common stock that he held. For more information about our named executive officers outstanding equity awards as of December 31, 2024, see “2024 Outstanding Equity Awards at Fiscal Year-End Table” above. </w:t>
      </w:r>
    </w:p>
    <w:p>
      <w:pPr>
        <w:pStyle w:val="TextBody"/>
        <w:bidi w:val="0"/>
        <w:spacing w:before="240" w:after="0"/>
        <w:jc w:val="left"/>
        <w:rPr>
          <w:rFonts w:ascii="arial" w:hAnsi="arial"/>
          <w:sz w:val="22"/>
        </w:rPr>
      </w:pPr>
      <w:r>
        <w:rPr>
          <w:rFonts w:ascii="arial" w:hAnsi="arial"/>
          <w:sz w:val="22"/>
        </w:rPr>
        <w:t xml:space="preserve">Along with the payments and benefits described in these named executive officers’ individual post-employment compensation arrangements, these executive officers are eligible to receive any benefits accrued under our broad-based benefit plans, such as accrued vacation pay, in accordance with the terms of those plans and policies. </w:t>
      </w:r>
    </w:p>
    <w:p>
      <w:pPr>
        <w:pStyle w:val="TextBody"/>
        <w:bidi w:val="0"/>
        <w:spacing w:before="360" w:after="0"/>
        <w:jc w:val="left"/>
        <w:rPr>
          <w:rFonts w:ascii="arial" w:hAnsi="arial"/>
          <w:i/>
          <w:sz w:val="22"/>
        </w:rPr>
      </w:pPr>
      <w:r>
        <w:rPr>
          <w:rFonts w:ascii="arial" w:hAnsi="arial"/>
          <w:i/>
          <w:sz w:val="22"/>
        </w:rPr>
        <w:t xml:space="preserve">Executive Severance Plan </w:t>
      </w:r>
    </w:p>
    <w:p>
      <w:pPr>
        <w:pStyle w:val="TextBody"/>
        <w:bidi w:val="0"/>
        <w:spacing w:before="120" w:after="0"/>
        <w:jc w:val="left"/>
        <w:rPr>
          <w:rFonts w:ascii="arial" w:hAnsi="arial"/>
          <w:sz w:val="22"/>
        </w:rPr>
      </w:pPr>
      <w:r>
        <w:rPr>
          <w:rFonts w:ascii="arial" w:hAnsi="arial"/>
          <w:sz w:val="22"/>
        </w:rPr>
        <w:t xml:space="preserve">The Board of Directors has adopted the Executive Severance Plan for key executives, including our named executive officers. Under the Executive Severance Plan, participants are eligible to receive certain payments and benefits in the event of a termination of their employment by Sabre without “cause” or a termination of employment by the participant for “good reason,” as well as upon “disability” (as each of these terms is defined in the Executive Severance Plan) and death.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81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In the event of a termination by Sabre without “cause” or by a participant for “good reason,” the participant, upon execution of a general release of liability against Sabre and subject to compliance with applicable post-termination restrictive covenants and other obligations, will generally be eligible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for a participant designated as a Level 1 Employee, an amount equal to 200% of the sum of his or her then-current annual base salary and 110% of the participant’s target incentive opportunity for the prior year (paid in installments over a period of 24 months following the date of termination), and for a participant designated as a Level 2 Employee, an amount equal to 150% of the sum of his or her then-current annual base salary and 110% of the participant’s target incentive opportunity for the prior year (paid in installments over a period of 18 months following the date of termination),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continued medical, dental, and vision insurance coverage for the participant and his or her eligible dependents for the 24-month period (for a Level 1 Employee) or for the 18-month period (for a Level 2 Employee) following the date of termination, and senior executive level outplacement services for a period of one year; provided, however, that if the participant becomes re-employed and eligible to receive health insurance benefits under another employer-provided plan, the continued insurance coverage will terminate. </w:t>
            </w:r>
          </w:p>
        </w:tc>
      </w:tr>
    </w:tbl>
    <w:p>
      <w:pPr>
        <w:pStyle w:val="TextBody"/>
        <w:bidi w:val="0"/>
        <w:spacing w:before="240" w:after="0"/>
        <w:jc w:val="left"/>
        <w:rPr>
          <w:rFonts w:ascii="arial" w:hAnsi="arial"/>
          <w:sz w:val="22"/>
        </w:rPr>
      </w:pPr>
      <w:r>
        <w:rPr>
          <w:rFonts w:ascii="arial" w:hAnsi="arial"/>
          <w:sz w:val="22"/>
        </w:rPr>
        <w:t xml:space="preserve">In the case of the participant’s death or disability (as well as in the event of a termination of employment by us without “cause” or by the participant for “good reason”), the participant will be eligible to receive (i) his or her base salary through the date of termination, (ii) reimbursement of any unreimbursed business expenses properly incurred prior to the date of termination that are subject to reimbursement, (iii) payment for vacation time accrued as of the date of termination but unused, in accordance with our vacation policy as in effect as of the date of termination, and (iv) an amount equal to any accrued but unpaid annual incentive for the immediately preceding year. The same amounts, except for the amount of any accrued but unpaid annual incentive for the immediately preceding year, are payable to the participant in the event of (A) a termination of employment by us for cause or (B) a voluntary termination of employment by the participant. </w:t>
      </w:r>
    </w:p>
    <w:p>
      <w:pPr>
        <w:pStyle w:val="TextBody"/>
        <w:bidi w:val="0"/>
        <w:spacing w:before="240" w:after="0"/>
        <w:jc w:val="left"/>
        <w:rPr>
          <w:rFonts w:ascii="arial" w:hAnsi="arial"/>
          <w:sz w:val="22"/>
        </w:rPr>
      </w:pPr>
      <w:r>
        <w:rPr>
          <w:rFonts w:ascii="arial" w:hAnsi="arial"/>
          <w:sz w:val="22"/>
        </w:rPr>
        <w:t xml:space="preserve">Our CEO has been designated as a Level 1 Employee, and Sabre’s Executive Vice Presidents have been designated as Level 2 Employees under the Executive Severance Plan. </w:t>
      </w:r>
    </w:p>
    <w:p>
      <w:pPr>
        <w:pStyle w:val="TextBody"/>
        <w:bidi w:val="0"/>
        <w:spacing w:before="360" w:after="0"/>
        <w:jc w:val="left"/>
        <w:rPr>
          <w:rFonts w:ascii="arial" w:hAnsi="arial"/>
          <w:i/>
          <w:sz w:val="22"/>
        </w:rPr>
      </w:pPr>
      <w:r>
        <w:rPr>
          <w:rFonts w:ascii="arial" w:hAnsi="arial"/>
          <w:i/>
          <w:sz w:val="22"/>
        </w:rPr>
        <w:t xml:space="preserve">Equity Awards </w:t>
      </w:r>
    </w:p>
    <w:p>
      <w:pPr>
        <w:pStyle w:val="TextBody"/>
        <w:bidi w:val="0"/>
        <w:spacing w:before="120" w:after="0"/>
        <w:jc w:val="left"/>
        <w:rPr>
          <w:rFonts w:ascii="arial" w:hAnsi="arial"/>
          <w:sz w:val="22"/>
        </w:rPr>
      </w:pPr>
      <w:r>
        <w:rPr>
          <w:rFonts w:ascii="arial" w:hAnsi="arial"/>
          <w:sz w:val="22"/>
        </w:rPr>
        <w:t xml:space="preserve">Generally, under our 2014 Omnibus Plan, our 2016 Omnibus Plan, our 2019 Omnibus Plan, our 2021 Omnibus Plan, our 2023 Omnibus Plan, and our 2024 Omnibus Plan, in the event of a termination of employment: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all outstanding unvested time-based options to purchase shares of our common stock and other unvested time-based equity awards (and awards where all restrictions have not lapsed) expire,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all outstanding vested and unexercised options to purchase shares of our common stock may continue to be exercised within 90 days following the date of the termination of employment, other than a termination for cause (extended to a one-year period if the termination of employment is due to disability or death). </w:t>
            </w:r>
          </w:p>
        </w:tc>
      </w:tr>
    </w:tbl>
    <w:p>
      <w:pPr>
        <w:pStyle w:val="TextBody"/>
        <w:bidi w:val="0"/>
        <w:spacing w:before="240" w:after="0"/>
        <w:jc w:val="left"/>
        <w:rPr>
          <w:rFonts w:ascii="arial" w:hAnsi="arial"/>
          <w:sz w:val="22"/>
        </w:rPr>
      </w:pPr>
      <w:r>
        <w:rPr>
          <w:rFonts w:ascii="arial" w:hAnsi="arial"/>
          <w:sz w:val="22"/>
        </w:rPr>
        <w:t xml:space="preserve">Further, under our 2014 Omnibus Plan, our 2016 Omnibus Plan, our 2019 Omnibus Plan, our 2021 Omnibus Plan, our 2023 Omnibus Plan, and our 2024 Omnibus Plan, except as otherwise provided in the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82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award agreement, if following a change in control of Sabre, an executive officer’s employment is terminated by us for any reason other than “cause” or he or she terminates his or her employment for “good reason,” or if following a change in control of Sabre, the outstanding awards are not assumed, continued, or substituted by the surviving corporation, then all restrictions applicable to awards granted under these plans will lapse as of the time of the change in control, and any unvested award will become fully exercisable and vested as of the time of the change in control. </w:t>
      </w:r>
    </w:p>
    <w:p>
      <w:pPr>
        <w:pStyle w:val="TextBody"/>
        <w:bidi w:val="0"/>
        <w:spacing w:before="240" w:after="0"/>
        <w:jc w:val="left"/>
        <w:rPr>
          <w:rFonts w:ascii="arial" w:hAnsi="arial"/>
          <w:sz w:val="22"/>
        </w:rPr>
      </w:pPr>
      <w:r>
        <w:rPr>
          <w:rFonts w:ascii="arial" w:hAnsi="arial"/>
          <w:sz w:val="22"/>
        </w:rPr>
        <w:t xml:space="preserve">The terms of the 2024 grant agreements under the 2024 Omnibus Plan provide that, except in the case of “retirement” of the executive officer, if awards and grants are assumed and if following a change in control of Sabre (for a one-year period under the terms of the 2024 grant agreements), an executive officer’s employment is terminated by us for any reason other than “cause” or he or she terminates his or her employment for “good reason”: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any shares of our common stock subject to restricted stock unit awards will vest in full following the executive officer’s termination of employment,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any shares of our common stock subject to restricted stock unit awards with performance metrics will vest based on an assumed attainment level of 100% following the executive officer’s termination of employment. </w:t>
            </w:r>
          </w:p>
        </w:tc>
      </w:tr>
    </w:tbl>
    <w:p>
      <w:pPr>
        <w:pStyle w:val="TextBody"/>
        <w:bidi w:val="0"/>
        <w:spacing w:before="240" w:after="0"/>
        <w:jc w:val="left"/>
        <w:rPr>
          <w:rFonts w:ascii="arial" w:hAnsi="arial"/>
          <w:sz w:val="22"/>
        </w:rPr>
      </w:pPr>
      <w:r>
        <w:rPr>
          <w:rFonts w:ascii="arial" w:hAnsi="arial"/>
          <w:sz w:val="22"/>
        </w:rPr>
        <w:t xml:space="preserve">In the event of the “retirement” of the executive officer, (1) the terms of the 2024 PSU grant agreements under the 2024 Omnibus Plan provide that any eligible RSUs (as defined in the grant agreement) that would have vested on the vesting date immediately following such termination had the participant’s employment continued through such date will vest on the applicable vesting date, and (2) the terms of the 2024 RSU grant agreements under the 2024 Omnibus Plan provide that the unvested RSUs that would have vested on the first and second vesting immediately following such termination had the participant’s employment continued through such date will vest on the applicable vesting date. “Retirement” means a voluntary or involuntary termination of employment, not for “cause,” at a minimum age of 60 with no less than five years of continuous employment, and with the sum of the executive’s age and number of years of continuous employment being no less than 70. </w:t>
      </w:r>
    </w:p>
    <w:p>
      <w:pPr>
        <w:pStyle w:val="TextBody"/>
        <w:bidi w:val="0"/>
        <w:spacing w:before="240" w:after="0"/>
        <w:jc w:val="left"/>
        <w:rPr>
          <w:rFonts w:ascii="arial" w:hAnsi="arial"/>
          <w:sz w:val="22"/>
        </w:rPr>
      </w:pPr>
      <w:r>
        <w:rPr>
          <w:rFonts w:ascii="arial" w:hAnsi="arial"/>
          <w:sz w:val="22"/>
        </w:rPr>
        <w:t xml:space="preserve">In the event of the death of the executive officer, the terms of the 2024 grant agreements under the 2024 Omnibus Plan provide that any shares of our common stock subject to restricted stock unit awards will immediately vest in full, including in the case of awards with performance metrics based on an assumed attainment level of 100%. </w:t>
      </w:r>
    </w:p>
    <w:p>
      <w:pPr>
        <w:pStyle w:val="TextBody"/>
        <w:bidi w:val="0"/>
        <w:spacing w:before="240" w:after="0"/>
        <w:jc w:val="left"/>
        <w:rPr>
          <w:rFonts w:ascii="arial" w:hAnsi="arial"/>
          <w:sz w:val="22"/>
        </w:rPr>
      </w:pPr>
      <w:r>
        <w:rPr>
          <w:rFonts w:ascii="arial" w:hAnsi="arial"/>
          <w:sz w:val="22"/>
        </w:rPr>
        <w:t xml:space="preserve">We have entered into certain non-competition agreements with the named executive officers that restrict their ability to compete with us during a specified post-employment period. </w:t>
      </w:r>
    </w:p>
    <w:p>
      <w:pPr>
        <w:pStyle w:val="TextBody"/>
        <w:bidi w:val="0"/>
        <w:spacing w:before="360" w:after="0"/>
        <w:jc w:val="left"/>
        <w:rPr>
          <w:rFonts w:ascii="arial" w:hAnsi="arial"/>
          <w:i/>
          <w:sz w:val="22"/>
        </w:rPr>
      </w:pPr>
      <w:r>
        <w:rPr>
          <w:rFonts w:ascii="arial" w:hAnsi="arial"/>
          <w:i/>
          <w:sz w:val="22"/>
        </w:rPr>
        <w:t xml:space="preserve">Summary of Estimated Payments and Benefits </w:t>
      </w:r>
    </w:p>
    <w:p>
      <w:pPr>
        <w:pStyle w:val="TextBody"/>
        <w:bidi w:val="0"/>
        <w:spacing w:before="120" w:after="0"/>
        <w:jc w:val="left"/>
        <w:rPr>
          <w:rFonts w:ascii="arial" w:hAnsi="arial"/>
          <w:sz w:val="22"/>
        </w:rPr>
      </w:pPr>
      <w:r>
        <w:rPr>
          <w:rFonts w:ascii="arial" w:hAnsi="arial"/>
          <w:sz w:val="22"/>
        </w:rPr>
        <w:t xml:space="preserve">The following table summarizes estimated post-employment payments and benefits that would have been payable to the other named executive officers in the event that their employment had been terminated or a change in control of Sabre had occurred as of December 31, 2024. No post-employment compensation is payable to any named executive officer who voluntarily terminates his or her employment with us (other than a voluntary resignation for good reason). The information set forth in the table for the other named executive officers is based on the assumption, in each case, that termination of employment or the change in control of Sabre occurred on December 31, 2024.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83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table below provides an estimate for the other named executive officers of the value of accelerated vesting of outstanding and unvested equity awards assuming that a change in control of Sabre and a qualifying termination of employment occurred on December 31, 2024 and assuming a stock price of $3.65 per share, the closing price of a share of our common stock on the Nasdaq Stock Market on December 31, 2024. </w:t>
      </w:r>
    </w:p>
    <w:p>
      <w:pPr>
        <w:pStyle w:val="TextBody"/>
        <w:bidi w:val="0"/>
        <w:spacing w:before="240" w:after="0"/>
        <w:jc w:val="left"/>
        <w:rPr>
          <w:rFonts w:ascii="arial" w:hAnsi="arial"/>
          <w:sz w:val="22"/>
        </w:rPr>
      </w:pPr>
      <w:r>
        <w:rPr>
          <w:rFonts w:ascii="arial" w:hAnsi="arial"/>
          <w:sz w:val="22"/>
        </w:rPr>
        <w:t xml:space="preserve">On September 3, 2024, we approved Ann Bruder’s ceasing to serve as Executive Vice President and Chief Legal Officer of Sabre, effective as of September 13, 2024. Ms. Bruder’s last day of employment with Sabre was October 31, 2024. The termination of Ms. Bruder’s employment was considered to be a qualifying termination (as defined under Sabre’s Executive Severance Plan), and in connection with the termination of her employment, Ms. Bruder was eligible to receive payments for a termination without “cause” (as defined under the Executive Severance Plan) under the terms of the Executive Severance Plan as a Level 2 employee. As a result, Ms. Bruder was entitled to receive an amount equal to 150% of her current annual base salary and 110% of her target incentive opportunity for 2023, or an aggregate of $1,479,000, paid in installments over a period of 18 months following the date of termination. In addition, she is entitled to continued medical, dental, and vision insurance coverage for her and her eligible dependents for the 18-month period following the date of termination, and senior executive level outplacement services for a period of one year; provided, however, that if she becomes re-employed and eligible to receive health insurance benefits under another employer-provided plan, the continued insurance coverage will terminate. The receipt of these items will be subject to Ms. Bruder’s execution of a general release of liability against Sabre, which she has signed, and will be subject to compliance with applicable post-termination restrictive covenants and other obligations. </w:t>
      </w:r>
    </w:p>
    <w:p>
      <w:pPr>
        <w:pStyle w:val="TextBody"/>
        <w:bidi w:val="0"/>
        <w:spacing w:before="480" w:after="0"/>
        <w:jc w:val="left"/>
        <w:rPr>
          <w:rFonts w:ascii="arial" w:hAnsi="arial"/>
          <w:b/>
          <w:color w:val="CF0A2C"/>
          <w:sz w:val="28"/>
        </w:rPr>
      </w:pPr>
      <w:r>
        <w:rPr>
          <w:rFonts w:ascii="arial" w:hAnsi="arial"/>
          <w:b/>
          <w:color w:val="CF0A2C"/>
          <w:sz w:val="28"/>
        </w:rPr>
        <w:t xml:space="preserve">Potential Payments and Benefits upon Termination of Employment or Change in Control Table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10037" w:type="dxa"/>
        <w:jc w:val="left"/>
        <w:tblInd w:w="0" w:type="dxa"/>
        <w:tblLayout w:type="fixed"/>
        <w:tblCellMar>
          <w:top w:w="0" w:type="dxa"/>
          <w:left w:w="0" w:type="dxa"/>
          <w:bottom w:w="0" w:type="dxa"/>
          <w:right w:w="0" w:type="dxa"/>
        </w:tblCellMar>
      </w:tblPr>
      <w:tblGrid>
        <w:gridCol w:w="4730"/>
        <w:gridCol w:w="60"/>
        <w:gridCol w:w="60"/>
        <w:gridCol w:w="140"/>
        <w:gridCol w:w="980"/>
        <w:gridCol w:w="23"/>
        <w:gridCol w:w="60"/>
        <w:gridCol w:w="60"/>
        <w:gridCol w:w="140"/>
        <w:gridCol w:w="1100"/>
        <w:gridCol w:w="23"/>
        <w:gridCol w:w="60"/>
        <w:gridCol w:w="60"/>
        <w:gridCol w:w="140"/>
        <w:gridCol w:w="980"/>
        <w:gridCol w:w="23"/>
        <w:gridCol w:w="60"/>
        <w:gridCol w:w="60"/>
        <w:gridCol w:w="140"/>
        <w:gridCol w:w="1100"/>
        <w:gridCol w:w="38"/>
      </w:tblGrid>
      <w:tr>
        <w:trPr/>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666666"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16"/>
              </w:rPr>
              <w:t>Name and Triggering Event(1)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03"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Severance or</w:t>
              <w:br/>
              <w:t>Multiple of</w:t>
              <w:br/>
              <w:t>Salary and</w:t>
              <w:br/>
              <w:t>Bonus(2)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23"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Valuation of</w:t>
              <w:br/>
              <w:t>Equity Vesting</w:t>
              <w:br/>
              <w:t>Acceleration</w:t>
              <w:br/>
              <w:t>Assuming</w:t>
              <w:br/>
              <w:t>Cash-Out/</w:t>
              <w:br/>
              <w:t>Payment of</w:t>
              <w:br/>
              <w:t>Long-Term</w:t>
              <w:br/>
              <w:t>Cash</w:t>
              <w:br/>
              <w:t>Incentive(3)</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03"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Value of Other</w:t>
              <w:br/>
              <w:t>Benefits(4)</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38"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Total</w:t>
            </w:r>
          </w:p>
        </w:tc>
      </w:tr>
      <w:tr>
        <w:trPr/>
        <w:tc>
          <w:tcPr>
            <w:tcW w:w="4730" w:type="dxa"/>
            <w:tcBorders/>
            <w:vAlign w:val="center"/>
          </w:tcPr>
          <w:p>
            <w:pPr>
              <w:pStyle w:val="TableContents"/>
              <w:bidi w:val="0"/>
              <w:spacing w:before="0" w:after="0"/>
              <w:jc w:val="left"/>
              <w:rPr/>
            </w:pPr>
            <w:r>
              <w:rPr/>
              <w:t> </w:t>
            </w:r>
            <w:r>
              <w:rPr>
                <w:rFonts w:ascii="arial" w:hAnsi="arial"/>
                <w:b/>
                <w:sz w:val="16"/>
              </w:rPr>
              <w:t>Kurt Ekert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4,770,000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41,378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4,811,378</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4,770,000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12,728,598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41,378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17,539,976</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12,728,598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1,800,000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14,528,598</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600,000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600,000</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vAlign w:val="center"/>
          </w:tcPr>
          <w:p>
            <w:pPr>
              <w:pStyle w:val="TableContents"/>
              <w:bidi w:val="0"/>
              <w:spacing w:before="0" w:after="0"/>
              <w:jc w:val="left"/>
              <w:rPr/>
            </w:pPr>
            <w:r>
              <w:rPr/>
              <w:t> </w:t>
            </w:r>
            <w:r>
              <w:rPr>
                <w:rFonts w:ascii="arial" w:hAnsi="arial"/>
                <w:b/>
                <w:sz w:val="16"/>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1,924,358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42,022</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1,966,380</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1,924,358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4,582,214</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42,022</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6,548,594</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4,582,214</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1,326,000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5,908,214</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505,200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1100" w:type="dxa"/>
            <w:tcBorders>
              <w:bottom w:val="single" w:sz="6" w:space="0" w:color="FFFFFF"/>
            </w:tcBorders>
            <w:shd w:fill="E5E5E5" w:val="clear"/>
            <w:tcMar>
              <w:bottom w:w="28" w:type="dxa"/>
            </w:tcMar>
            <w:vAlign w:val="center"/>
          </w:tcPr>
          <w:p>
            <w:pPr>
              <w:pStyle w:val="TableContents"/>
              <w:bidi w:val="0"/>
              <w:spacing w:before="0" w:after="283"/>
              <w:jc w:val="right"/>
              <w:rPr/>
            </w:pPr>
            <w:r>
              <w:rPr/>
              <w:t>505,200</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84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r>
    </w:tbl>
    <w:p>
      <w:pPr>
        <w:pStyle w:val="TextBody"/>
        <w:bidi w:val="0"/>
        <w:spacing w:before="0" w:after="0"/>
        <w:jc w:val="left"/>
        <w:rPr/>
      </w:pPr>
      <w:r>
        <w:rPr/>
        <w:t> </w:t>
      </w:r>
    </w:p>
    <w:tbl>
      <w:tblPr>
        <w:tblW w:w="9797" w:type="dxa"/>
        <w:jc w:val="left"/>
        <w:tblInd w:w="0" w:type="dxa"/>
        <w:tblLayout w:type="fixed"/>
        <w:tblCellMar>
          <w:top w:w="0" w:type="dxa"/>
          <w:left w:w="0" w:type="dxa"/>
          <w:bottom w:w="0" w:type="dxa"/>
          <w:right w:w="0" w:type="dxa"/>
        </w:tblCellMar>
      </w:tblPr>
      <w:tblGrid>
        <w:gridCol w:w="4730"/>
        <w:gridCol w:w="60"/>
        <w:gridCol w:w="60"/>
        <w:gridCol w:w="140"/>
        <w:gridCol w:w="980"/>
        <w:gridCol w:w="23"/>
        <w:gridCol w:w="60"/>
        <w:gridCol w:w="60"/>
        <w:gridCol w:w="140"/>
        <w:gridCol w:w="980"/>
        <w:gridCol w:w="23"/>
        <w:gridCol w:w="60"/>
        <w:gridCol w:w="60"/>
        <w:gridCol w:w="140"/>
        <w:gridCol w:w="980"/>
        <w:gridCol w:w="23"/>
        <w:gridCol w:w="60"/>
        <w:gridCol w:w="60"/>
        <w:gridCol w:w="140"/>
        <w:gridCol w:w="980"/>
        <w:gridCol w:w="38"/>
      </w:tblGrid>
      <w:tr>
        <w:trPr/>
        <w:tc>
          <w:tcPr>
            <w:tcW w:w="4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666666"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16"/>
              </w:rPr>
              <w:t>Name and Triggering Event(1)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03"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Severance or</w:t>
              <w:br/>
              <w:t>Multiple of</w:t>
              <w:br/>
              <w:t>Salary and</w:t>
              <w:br/>
              <w:t>Bonus(2)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03"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Valuation of</w:t>
              <w:br/>
              <w:t>Equity Vesting</w:t>
              <w:br/>
              <w:t>Acceleration</w:t>
              <w:br/>
              <w:t>Assuming</w:t>
              <w:br/>
              <w:t>Cash-Out/</w:t>
              <w:br/>
              <w:t>Payment of</w:t>
              <w:br/>
              <w:t>Long-Term</w:t>
              <w:br/>
              <w:t>Cash</w:t>
              <w:br/>
              <w:t>Incentive(3)</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03"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Value of Other</w:t>
              <w:br/>
              <w:t>Benefits(4)</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18" w:type="dxa"/>
            <w:gridSpan w:val="4"/>
            <w:tcBorders/>
            <w:shd w:fill="666666"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Total</w:t>
            </w:r>
          </w:p>
        </w:tc>
      </w:tr>
      <w:tr>
        <w:trPr/>
        <w:tc>
          <w:tcPr>
            <w:tcW w:w="4730" w:type="dxa"/>
            <w:tcBorders/>
            <w:vAlign w:val="center"/>
          </w:tcPr>
          <w:p>
            <w:pPr>
              <w:pStyle w:val="TableContents"/>
              <w:bidi w:val="0"/>
              <w:spacing w:before="0" w:after="0"/>
              <w:jc w:val="left"/>
              <w:rPr/>
            </w:pPr>
            <w:r>
              <w:rPr/>
              <w:t> </w:t>
            </w:r>
            <w:r>
              <w:rPr>
                <w:rFonts w:ascii="arial" w:hAnsi="arial"/>
                <w:b/>
                <w:sz w:val="16"/>
              </w:rPr>
              <w:t>Joe DiFonzo</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1,674,585</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32,189</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1,706,774</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1,674,585</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2,854,913</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32,189</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4,561,687</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2,854,913</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1,122,000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3,976,913</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1,618,919</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1,618,919</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vAlign w:val="center"/>
          </w:tcPr>
          <w:p>
            <w:pPr>
              <w:pStyle w:val="TableContents"/>
              <w:bidi w:val="0"/>
              <w:spacing w:before="0" w:after="0"/>
              <w:jc w:val="left"/>
              <w:rPr/>
            </w:pPr>
            <w:r>
              <w:rPr/>
              <w:t> </w:t>
            </w:r>
            <w:r>
              <w:rPr>
                <w:rFonts w:ascii="arial" w:hAnsi="arial"/>
                <w:b/>
                <w:sz w:val="16"/>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1,769,338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71,426</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1,840,764</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1,769,338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3,418,794</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71,426</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5,259,558</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3,418,794</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2,501,140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5,919,934</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468,964</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468,964</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vAlign w:val="center"/>
          </w:tcPr>
          <w:p>
            <w:pPr>
              <w:pStyle w:val="TableContents"/>
              <w:bidi w:val="0"/>
              <w:spacing w:before="0" w:after="0"/>
              <w:jc w:val="left"/>
              <w:rPr/>
            </w:pPr>
            <w:r>
              <w:rPr/>
              <w:t> </w:t>
            </w:r>
            <w:r>
              <w:rPr>
                <w:rFonts w:ascii="arial" w:hAnsi="arial"/>
                <w:b/>
                <w:sz w:val="16"/>
              </w:rPr>
              <w:t>Garry Wiseman</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not in connection with change in control</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1,776,330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41,378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1,817,708</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Involuntary termination in connection with change in control(5)(6)</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1,776,330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3,569,485</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41,378</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5,387,193</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Retirement</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Death</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3,569,485</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1,224,000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4,793,485</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r>
        <w:trPr/>
        <w:tc>
          <w:tcPr>
            <w:tcW w:w="4730" w:type="dxa"/>
            <w:tcBorders>
              <w:bottom w:val="single" w:sz="6" w:space="0" w:color="FFFFFF"/>
            </w:tcBorders>
            <w:shd w:fill="E5E5E5" w:val="clear"/>
            <w:tcMar>
              <w:bottom w:w="28" w:type="dxa"/>
            </w:tcMar>
            <w:vAlign w:val="center"/>
          </w:tcPr>
          <w:p>
            <w:pPr>
              <w:pStyle w:val="TableContents"/>
              <w:bidi w:val="0"/>
              <w:spacing w:before="0" w:after="0"/>
              <w:jc w:val="left"/>
              <w:rPr>
                <w:rFonts w:ascii="arial" w:hAnsi="arial"/>
                <w:sz w:val="16"/>
              </w:rPr>
            </w:pPr>
            <w:r>
              <w:rPr>
                <w:rFonts w:ascii="arial" w:hAnsi="arial"/>
                <w:sz w:val="16"/>
              </w:rPr>
              <w:t>Disability</w:t>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1,086,820</w:t>
            </w:r>
          </w:p>
        </w:tc>
        <w:tc>
          <w:tcPr>
            <w:tcW w:w="23"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bottom w:val="single" w:sz="6" w:space="0" w:color="FFFFFF"/>
            </w:tcBorders>
            <w:shd w:fill="E5E5E5"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E5E5E5"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tcBorders>
            <w:shd w:fill="E5E5E5" w:val="clear"/>
            <w:tcMar>
              <w:bottom w:w="28" w:type="dxa"/>
            </w:tcMar>
            <w:vAlign w:val="center"/>
          </w:tcPr>
          <w:p>
            <w:pPr>
              <w:pStyle w:val="TableContents"/>
              <w:bidi w:val="0"/>
              <w:spacing w:before="0" w:after="283"/>
              <w:jc w:val="left"/>
              <w:rPr/>
            </w:pPr>
            <w:r>
              <w:rPr/>
              <w:t>$</w:t>
            </w:r>
          </w:p>
        </w:tc>
        <w:tc>
          <w:tcPr>
            <w:tcW w:w="980" w:type="dxa"/>
            <w:tcBorders>
              <w:bottom w:val="single" w:sz="6" w:space="0" w:color="FFFFFF"/>
            </w:tcBorders>
            <w:shd w:fill="E5E5E5" w:val="clear"/>
            <w:tcMar>
              <w:bottom w:w="28" w:type="dxa"/>
            </w:tcMar>
            <w:vAlign w:val="center"/>
          </w:tcPr>
          <w:p>
            <w:pPr>
              <w:pStyle w:val="TableContents"/>
              <w:bidi w:val="0"/>
              <w:spacing w:before="0" w:after="283"/>
              <w:jc w:val="right"/>
              <w:rPr/>
            </w:pPr>
            <w:r>
              <w:rPr/>
              <w:t>1,086,820</w:t>
            </w:r>
          </w:p>
        </w:tc>
        <w:tc>
          <w:tcPr>
            <w:tcW w:w="38" w:type="dxa"/>
            <w:tcBorders>
              <w:bottom w:val="single" w:sz="6" w:space="0" w:color="FFFFFF"/>
            </w:tcBorders>
            <w:shd w:fill="E5E5E5"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arial" w:hAnsi="arial"/>
                <w:sz w:val="16"/>
              </w:rPr>
            </w:pPr>
            <w:r>
              <w:rPr>
                <w:rFonts w:ascii="arial" w:hAnsi="arial"/>
                <w:sz w:val="16"/>
              </w:rPr>
              <w:t xml:space="preserve">The calculations presented in this table illustrate the estimated payments and benefits that would have been paid to each of the named executive officers had their employment been terminated on December 31, 2024 for one of the following reasons: a termination of employment without cause or a termination of employment by a named executive officer for good reason; a termination of employment without cause or a termination of employment by a named executive officer for good reason following a change in control of Sabre; retirement; death; or disability. The calculations are based on the closing price of our common stock on December 31, 2024 of $3.65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Termination benefits are calculated in accordance with the Executive Severance Plan. For purposes of calculating the annual incentive, this reflects the base salary in effect as of December 31, 2024.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305"/>
        <w:gridCol w:w="5435"/>
      </w:tblGrid>
      <w:tr>
        <w:trPr/>
        <w:tc>
          <w:tcPr>
            <w:tcW w:w="305" w:type="dxa"/>
            <w:tcBorders/>
            <w:vAlign w:val="center"/>
          </w:tcPr>
          <w:p>
            <w:pPr>
              <w:pStyle w:val="TableContents"/>
              <w:bidi w:val="0"/>
              <w:spacing w:before="0" w:after="283"/>
              <w:jc w:val="left"/>
              <w:rPr/>
            </w:pPr>
            <w:r>
              <w:rPr/>
              <w:t>(3)</w:t>
            </w:r>
          </w:p>
        </w:tc>
        <w:tc>
          <w:tcPr>
            <w:tcW w:w="5435" w:type="dxa"/>
            <w:tcBorders/>
            <w:vAlign w:val="center"/>
          </w:tcPr>
          <w:p>
            <w:pPr>
              <w:pStyle w:val="TableContents"/>
              <w:bidi w:val="0"/>
              <w:spacing w:before="0" w:after="0"/>
              <w:jc w:val="left"/>
              <w:rPr>
                <w:rFonts w:ascii="arial" w:hAnsi="arial"/>
                <w:sz w:val="16"/>
              </w:rPr>
            </w:pPr>
            <w:r>
              <w:rPr>
                <w:rFonts w:ascii="arial" w:hAnsi="arial"/>
                <w:sz w:val="16"/>
              </w:rPr>
              <w:t xml:space="preserve">For purposes of this analysis, we assume the following award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Mr. Ekert, amount includes the value of (1) outstanding unvested RSU awards covering 1,594,272 shares of our common stock, the vesting of which would accelerate and (2) outstanding unvested PSU awards covering 1,893,015 shares of our common stock, the vesting of which would accelerate in the event of change in control or death.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Mr. Randolfi, amount includes the value of (1) outstanding unvested RSU awards covering 543,418 shares of our common stock, the vesting of which would accelerate and (2) outstanding unvested PSU awards covering 711,983 shares of our common stock, the vesting of which would accelerate in the event of change in control or death.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Mr. DiFonzo, amount includes the value of (1) outstanding unvested options to purchase 32,032 shares of our common stock, the vesting of which would accelerate, (2) outstanding unvested RSU awards covering 349,759 shares of our common stock, the vesting of which would accelerate, and (3) outstanding unvested PSU awards covering 432,409 shares of our common stock, the vesting of which would accelerate in the event of change in control or death.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Mr. Mendis, amount includes the value of (1) outstanding unvested options to purchase 161,057 shares of our common stock, the vesting of which would accelerate, (2) outstanding unvested RSU awards covering 406,340 shares of our common stock, the vesting of which would accelerate, and (3) outstanding unvested PSU awards covering 530,316 shares of our common stock, the vesting of which would accelerate in the event of change in control or death.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CF0A2C"/>
              </w:rPr>
            </w:pPr>
            <w:r>
              <w:rPr>
                <w:color w:val="CF0A2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For Mr. Wiseman, amount includes the value of (1) outstanding unvested RSU awards covering 416,661 shares of our common stock, the vesting of which would accelerate and (2) outstanding unvested PSU awards covering 561,280 shares of our common stock, the vesting of which would accelerate in the event of change in control or death.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85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42" w:type="dxa"/>
        <w:jc w:val="left"/>
        <w:tblInd w:w="0" w:type="dxa"/>
        <w:tblLayout w:type="fixed"/>
        <w:tblCellMar>
          <w:top w:w="0" w:type="dxa"/>
          <w:left w:w="0" w:type="dxa"/>
          <w:bottom w:w="0" w:type="dxa"/>
          <w:right w:w="0" w:type="dxa"/>
        </w:tblCellMar>
      </w:tblPr>
      <w:tblGrid>
        <w:gridCol w:w="2795"/>
        <w:gridCol w:w="60"/>
        <w:gridCol w:w="23"/>
        <w:gridCol w:w="60"/>
        <w:gridCol w:w="23"/>
        <w:gridCol w:w="60"/>
        <w:gridCol w:w="23"/>
        <w:gridCol w:w="6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EXECUTIVE COMPENSATION 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left"/>
              <w:rPr>
                <w:rFonts w:ascii="arial" w:hAnsi="arial"/>
                <w:sz w:val="16"/>
              </w:rPr>
            </w:pPr>
            <w:r>
              <w:rPr>
                <w:rFonts w:ascii="arial" w:hAnsi="arial"/>
                <w:sz w:val="16"/>
              </w:rPr>
              <w:t xml:space="preserve">For an involuntary termination of employment, amount includes the value of COBRA benefits and a $15,000 value for outplacement services. For death and disability, amount represents the payment of benefits under Sabre’s group life insurance plan, accidental death and disability plan, or long-term disability plan, as applicable (which are available to all U.S. salaried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(5)</w:t>
            </w:r>
          </w:p>
        </w:tc>
        <w:tc>
          <w:tcPr>
            <w:tcW w:w="9929" w:type="dxa"/>
            <w:tcBorders/>
            <w:vAlign w:val="center"/>
          </w:tcPr>
          <w:p>
            <w:pPr>
              <w:pStyle w:val="TableContents"/>
              <w:bidi w:val="0"/>
              <w:spacing w:before="0" w:after="0"/>
              <w:jc w:val="left"/>
              <w:rPr>
                <w:rFonts w:ascii="arial" w:hAnsi="arial"/>
                <w:sz w:val="16"/>
              </w:rPr>
            </w:pPr>
            <w:r>
              <w:rPr>
                <w:rFonts w:ascii="arial" w:hAnsi="arial"/>
                <w:sz w:val="16"/>
              </w:rPr>
              <w:t xml:space="preserve">The change-in-control calculations assume that on December 31, 2024 (1) a change in control of Sabre occurred and (2) the employment of each of the named executive officers was terminated without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(6)</w:t>
            </w:r>
          </w:p>
        </w:tc>
        <w:tc>
          <w:tcPr>
            <w:tcW w:w="9957" w:type="dxa"/>
            <w:tcBorders/>
            <w:vAlign w:val="center"/>
          </w:tcPr>
          <w:p>
            <w:pPr>
              <w:pStyle w:val="TableContents"/>
              <w:bidi w:val="0"/>
              <w:spacing w:before="0" w:after="0"/>
              <w:jc w:val="left"/>
              <w:rPr>
                <w:rFonts w:ascii="arial" w:hAnsi="arial"/>
                <w:sz w:val="16"/>
              </w:rPr>
            </w:pPr>
            <w:r>
              <w:rPr>
                <w:rFonts w:ascii="arial" w:hAnsi="arial"/>
                <w:sz w:val="16"/>
              </w:rPr>
              <w:t xml:space="preserve">The potential payments and benefits reflect the maximum amounts that may be paid. Should the actual payments and benefits trigger an excise tax under Section 4999 of the Code, pursuant to such named executive officer’s employment agreement, each will either (1) have such named executive officer’s payments reduced to the extent necessary to avoid the excise tax or (2) receive the full payment and be subject to the excise tax, whichever results in a better net after-tax benefit to such named executive officer. </w:t>
            </w:r>
          </w:p>
        </w:tc>
      </w:tr>
    </w:tbl>
    <w:p>
      <w:pPr>
        <w:pStyle w:val="TextBody"/>
        <w:bidi w:val="0"/>
        <w:spacing w:before="360" w:after="0"/>
        <w:jc w:val="left"/>
        <w:rPr>
          <w:rFonts w:ascii="arial" w:hAnsi="arial"/>
          <w:b/>
          <w:color w:val="CF0A2C"/>
          <w:sz w:val="28"/>
        </w:rPr>
      </w:pPr>
      <w:bookmarkStart w:id="64" w:name="tx888712_63"/>
      <w:bookmarkEnd w:id="64"/>
      <w:r>
        <w:rPr>
          <w:rFonts w:ascii="arial" w:hAnsi="arial"/>
          <w:b/>
          <w:color w:val="CF0A2C"/>
          <w:sz w:val="28"/>
        </w:rPr>
        <w:t xml:space="preserve">CEO Pay Ratio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Pursuant to Section 953(b) of the Dodd-Frank Act, we are providing the following information about the relationship of the annual total compensation of our employees (other than our CEO) and the annual total compensation of our CEO, Kurt Ekert. For 2024: </w:t>
      </w:r>
    </w:p>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125"/>
        <w:gridCol w:w="60"/>
        <w:gridCol w:w="71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arial" w:hAnsi="arial"/>
                <w:sz w:val="22"/>
              </w:rPr>
            </w:pPr>
            <w:r>
              <w:rPr>
                <w:rFonts w:ascii="arial" w:hAnsi="arial"/>
                <w:sz w:val="22"/>
              </w:rPr>
              <w:t xml:space="preserve">the annual total compensation of our median employee was $77,793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2"/>
              </w:rPr>
            </w:pPr>
            <w:r>
              <w:rPr>
                <w:rFonts w:ascii="arial" w:hAnsi="arial"/>
                <w:sz w:val="22"/>
              </w:rPr>
              <w:t xml:space="preserve">the annual total compensation of our CEO, as reported in the 2024 Summary Compensation Table, was $8,530,530. </w:t>
            </w:r>
          </w:p>
        </w:tc>
      </w:tr>
    </w:tbl>
    <w:p>
      <w:pPr>
        <w:pStyle w:val="TextBody"/>
        <w:bidi w:val="0"/>
        <w:spacing w:before="240" w:after="0"/>
        <w:jc w:val="left"/>
        <w:rPr>
          <w:rFonts w:ascii="arial" w:hAnsi="arial"/>
          <w:sz w:val="22"/>
        </w:rPr>
      </w:pPr>
      <w:r>
        <w:rPr>
          <w:rFonts w:ascii="arial" w:hAnsi="arial"/>
          <w:sz w:val="22"/>
        </w:rPr>
        <w:t xml:space="preserve">Based on this information, for 2024 we estimate the ratio of the annual total compensation of our CEO to the annual total compensation of our median employee was 155 to 1. This ratio is a reasonable estimate calculated in a manner consistent with Item 402(u) of Regulation S-K. As explained by the SEC when it adopted Item 402(u), the rule was designed to allow stockholders to better understand and assess our compensation practices and pay ratio disclosures rather than to facilitate a comparison of this information from one company to another. </w:t>
      </w:r>
    </w:p>
    <w:p>
      <w:pPr>
        <w:pStyle w:val="TextBody"/>
        <w:bidi w:val="0"/>
        <w:spacing w:before="240" w:after="0"/>
        <w:jc w:val="left"/>
        <w:rPr>
          <w:rFonts w:ascii="arial" w:hAnsi="arial"/>
          <w:sz w:val="22"/>
        </w:rPr>
      </w:pPr>
      <w:r>
        <w:rPr>
          <w:rFonts w:ascii="arial" w:hAnsi="arial"/>
          <w:sz w:val="22"/>
        </w:rPr>
        <w:t xml:space="preserve">In accordance with Item 402(u), we are using the same “median employee” identified in 2023 in our 2024 pay ratio calculation, as there has been no change in our employee population or employee compensation arrangements that we believe would result in a significant change to our pay ratio disclosure for 2024. See our 2023 proxy statement for information regarding the process we utilized to identify our “median employee.” We then identified and calculated the elements of this employee’s total compensation for 2024 in accordance with the requirements of Item 402(c)(2)(x) of Regulation S-K, resulting in annual total compensation of $55,017. With respect to the annual total compensation of our CEO, we used the amount reported in the “Total” column of our 2024 Summary Compensation Table.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86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92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5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PAY-VERSUS-PERFORMANCE TABLE </w:t>
            </w:r>
          </w:p>
          <w:p>
            <w:pPr>
              <w:pStyle w:val="TableContents"/>
              <w:bidi w:val="0"/>
              <w:spacing w:before="0" w:after="20"/>
              <w:jc w:val="left"/>
              <w:rPr/>
            </w:pPr>
            <w:r>
              <w:rPr/>
              <w:t> </w:t>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CF0A2C"/>
          <w:spacing w:val="0"/>
          <w:sz w:val="44"/>
        </w:rPr>
      </w:pPr>
      <w:r>
        <w:rPr>
          <w:rFonts w:ascii="arial" w:hAnsi="arial"/>
          <w:b/>
          <w:color w:val="CF0A2C"/>
          <w:spacing w:val="0"/>
          <w:sz w:val="44"/>
        </w:rPr>
        <w:t>PAY-VERSUS-PERFORMANCE</w:t>
      </w:r>
    </w:p>
    <w:p>
      <w:pPr>
        <w:pStyle w:val="TextBody"/>
        <w:bidi w:val="0"/>
        <w:spacing w:before="0" w:after="0"/>
        <w:jc w:val="left"/>
        <w:rPr>
          <w:rFonts w:ascii="arial" w:hAnsi="arial"/>
          <w:b/>
          <w:color w:val="CF0A2C"/>
          <w:spacing w:val="0"/>
          <w:sz w:val="44"/>
        </w:rPr>
      </w:pPr>
      <w:r>
        <w:rPr>
          <w:rFonts w:ascii="arial" w:hAnsi="arial"/>
          <w:b/>
          <w:color w:val="CF0A2C"/>
          <w:spacing w:val="0"/>
          <w:sz w:val="44"/>
        </w:rPr>
        <w:t xml:space="preserve">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2"/>
        </w:rPr>
      </w:pPr>
      <w:r>
        <w:rPr>
          <w:rFonts w:ascii="arial" w:hAnsi="arial"/>
          <w:sz w:val="22"/>
        </w:rPr>
        <w:t xml:space="preserve">The following table sets forth certain </w:t>
      </w:r>
    </w:p>
    <w:p>
      <w:pPr>
        <w:pStyle w:val="TextBody"/>
        <w:bidi w:val="0"/>
        <w:spacing w:before="240" w:after="0"/>
        <w:jc w:val="left"/>
        <w:rPr>
          <w:rFonts w:ascii="arial" w:hAnsi="arial"/>
          <w:spacing w:val="0"/>
          <w:sz w:val="22"/>
        </w:rPr>
      </w:pPr>
      <w:r>
        <w:rPr>
          <w:rFonts w:ascii="arial" w:hAnsi="arial"/>
          <w:spacing w:val="0"/>
          <w:sz w:val="22"/>
        </w:rPr>
        <w:t>pay-versus-performance</w:t>
      </w:r>
    </w:p>
    <w:p>
      <w:pPr>
        <w:pStyle w:val="TextBody"/>
        <w:bidi w:val="0"/>
        <w:spacing w:before="240" w:after="0"/>
        <w:jc w:val="left"/>
        <w:rPr>
          <w:rFonts w:ascii="arial" w:hAnsi="arial"/>
          <w:sz w:val="22"/>
        </w:rPr>
      </w:pPr>
      <w:r>
        <w:rPr>
          <w:rFonts w:ascii="arial" w:hAnsi="arial"/>
          <w:sz w:val="22"/>
        </w:rPr>
        <w:t xml:space="preserve">information for the years indicated. </w:t>
      </w:r>
    </w:p>
    <w:p>
      <w:pPr>
        <w:pStyle w:val="TextBody"/>
        <w:bidi w:val="0"/>
        <w:spacing w:before="0" w:after="0"/>
        <w:jc w:val="left"/>
        <w:rPr/>
      </w:pPr>
      <w:r>
        <w:rPr/>
        <w:t> </w:t>
      </w:r>
    </w:p>
    <w:tbl>
      <w:tblPr>
        <w:tblW w:w="14325" w:type="dxa"/>
        <w:jc w:val="left"/>
        <w:tblInd w:w="0" w:type="dxa"/>
        <w:tblLayout w:type="fixed"/>
        <w:tblCellMar>
          <w:top w:w="0" w:type="dxa"/>
          <w:left w:w="0" w:type="dxa"/>
          <w:bottom w:w="0" w:type="dxa"/>
          <w:right w:w="0" w:type="dxa"/>
        </w:tblCellMar>
      </w:tblPr>
      <w:tblGrid>
        <w:gridCol w:w="635"/>
        <w:gridCol w:w="60"/>
        <w:gridCol w:w="60"/>
        <w:gridCol w:w="1220"/>
        <w:gridCol w:w="60"/>
        <w:gridCol w:w="60"/>
        <w:gridCol w:w="60"/>
        <w:gridCol w:w="1220"/>
        <w:gridCol w:w="155"/>
        <w:gridCol w:w="60"/>
        <w:gridCol w:w="60"/>
        <w:gridCol w:w="1100"/>
        <w:gridCol w:w="60"/>
        <w:gridCol w:w="60"/>
        <w:gridCol w:w="60"/>
        <w:gridCol w:w="1100"/>
        <w:gridCol w:w="60"/>
        <w:gridCol w:w="60"/>
        <w:gridCol w:w="60"/>
        <w:gridCol w:w="1100"/>
        <w:gridCol w:w="60"/>
        <w:gridCol w:w="60"/>
        <w:gridCol w:w="60"/>
        <w:gridCol w:w="1100"/>
        <w:gridCol w:w="60"/>
        <w:gridCol w:w="60"/>
        <w:gridCol w:w="103"/>
        <w:gridCol w:w="1177"/>
        <w:gridCol w:w="60"/>
        <w:gridCol w:w="60"/>
        <w:gridCol w:w="94"/>
        <w:gridCol w:w="1186"/>
        <w:gridCol w:w="60"/>
        <w:gridCol w:w="60"/>
        <w:gridCol w:w="60"/>
        <w:gridCol w:w="1175"/>
        <w:gridCol w:w="60"/>
        <w:gridCol w:w="60"/>
        <w:gridCol w:w="78"/>
        <w:gridCol w:w="1307"/>
        <w:gridCol w:w="75"/>
      </w:tblGrid>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vMerge w:val="restart"/>
            <w:tcBorders/>
            <w:shd w:fill="666666" w:val="clear"/>
            <w:vAlign w:val="center"/>
          </w:tcPr>
          <w:p>
            <w:pPr>
              <w:pStyle w:val="TableContents"/>
              <w:bidi w:val="0"/>
              <w:spacing w:before="0" w:after="0"/>
              <w:jc w:val="left"/>
              <w:rPr>
                <w:rFonts w:ascii="arial" w:hAnsi="arial"/>
                <w:b/>
                <w:color w:val="FFFFFF"/>
                <w:spacing w:val="0"/>
                <w:sz w:val="16"/>
              </w:rPr>
            </w:pPr>
            <w:r>
              <w:rPr>
                <w:rFonts w:ascii="arial" w:hAnsi="arial"/>
                <w:b/>
                <w:color w:val="FFFFFF"/>
                <w:spacing w:val="0"/>
                <w:sz w:val="16"/>
              </w:rPr>
              <w:t>Year</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Summary</w:t>
              <w:br/>
              <w:t>Compen-</w:t>
              <w:br/>
              <w:t>sation</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Table Total</w:t>
              <w:br/>
              <w:t>for</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CEO 1</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(1)</w:t>
            </w:r>
          </w:p>
        </w:tc>
        <w:tc>
          <w:tcPr>
            <w:tcW w:w="60"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Compen-</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sation</w:t>
              <w:br/>
              <w:t>Actually</w:t>
              <w:br/>
              <w:t>Paid to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CEO 1</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(1)(4)</w:t>
            </w:r>
          </w:p>
        </w:tc>
        <w:tc>
          <w:tcPr>
            <w:tcW w:w="155"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6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Summary</w:t>
              <w:br/>
              <w:t>Compen-</w:t>
              <w:br/>
              <w:t>sation</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Table</w:t>
              <w:br/>
              <w:t>Total for</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CEO 2</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(2)</w:t>
            </w:r>
          </w:p>
        </w:tc>
        <w:tc>
          <w:tcPr>
            <w:tcW w:w="60"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6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Compen-</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sation</w:t>
              <w:br/>
              <w:t>Actually</w:t>
              <w:br/>
              <w:t>Paid to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CEO 2</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(2)(4)</w:t>
            </w:r>
          </w:p>
        </w:tc>
        <w:tc>
          <w:tcPr>
            <w:tcW w:w="60"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6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Average</w:t>
              <w:br/>
              <w:t>Summary</w:t>
              <w:br/>
              <w:t>Compen-</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sation</w:t>
              <w:br/>
              <w:t>Table</w:t>
              <w:br/>
              <w:t>Total for</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Non-CEO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br/>
              <w:t>Named</w:t>
              <w:br/>
              <w:t>Executive</w:t>
              <w:br/>
              <w:t>Officers</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(3)</w:t>
            </w:r>
          </w:p>
        </w:tc>
        <w:tc>
          <w:tcPr>
            <w:tcW w:w="60"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60"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Average</w:t>
              <w:br/>
              <w:t>Compen-</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sation</w:t>
              <w:br/>
              <w:t>Actually</w:t>
              <w:br/>
              <w:t>Paid to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Non-CEO</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br/>
              <w:t>Named</w:t>
              <w:br/>
              <w:t>Executive</w:t>
              <w:br/>
              <w:t>Officers</w:t>
              <w:br/>
              <w:t>($)</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(3)(4)</w:t>
            </w:r>
          </w:p>
        </w:tc>
        <w:tc>
          <w:tcPr>
            <w:tcW w:w="60" w:type="dxa"/>
            <w:vMerge w:val="restart"/>
            <w:tcBorders/>
            <w:shd w:fill="666666" w:val="cle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680" w:type="dxa"/>
            <w:gridSpan w:val="6"/>
            <w:tcBorders>
              <w:bottom w:val="single" w:sz="12" w:space="0" w:color="FFFFFF"/>
            </w:tcBorders>
            <w:shd w:fill="666666" w:val="clear"/>
            <w:tcMar>
              <w:bottom w:w="28" w:type="dxa"/>
            </w:tcMar>
            <w:vAlign w:val="center"/>
          </w:tcPr>
          <w:p>
            <w:pPr>
              <w:pStyle w:val="TableContents"/>
              <w:bidi w:val="0"/>
              <w:spacing w:before="0" w:after="0"/>
              <w:jc w:val="center"/>
              <w:rPr>
                <w:b/>
                <w:color w:val="FFFFFF"/>
                <w:spacing w:val="0"/>
              </w:rPr>
            </w:pPr>
            <w:r>
              <w:rPr>
                <w:b/>
                <w:color w:val="FFFFFF"/>
                <w:spacing w:val="0"/>
              </w:rPr>
              <w:t>Value of Initial Fixed $100</w:t>
              <w:br/>
              <w:t>Investment Based on:</w:t>
            </w:r>
          </w:p>
        </w:tc>
        <w:tc>
          <w:tcPr>
            <w:tcW w:w="60" w:type="dxa"/>
            <w:tcBorders>
              <w:bottom w:val="single" w:sz="12" w:space="0" w:color="FFFFFF"/>
            </w:tcBorders>
            <w:shd w:fill="666666" w:val="clear"/>
            <w:tcMar>
              <w:bottom w:w="28" w:type="dxa"/>
            </w:tcM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35"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Net Income</w:t>
              <w:br/>
              <w:t>(loss) ($)</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(in thousands)</w:t>
            </w:r>
          </w:p>
        </w:tc>
        <w:tc>
          <w:tcPr>
            <w:tcW w:w="60" w:type="dxa"/>
            <w:vMerge w:val="restart"/>
            <w:tcBorders/>
            <w:shd w:fill="666666" w:val="clear"/>
            <w:vAlign w:val="center"/>
          </w:tcPr>
          <w:p>
            <w:pPr>
              <w:pStyle w:val="TableContents"/>
              <w:bidi w:val="0"/>
              <w:spacing w:before="0" w:after="283"/>
              <w:jc w:val="left"/>
              <w:rPr/>
            </w:pPr>
            <w:r>
              <w:rPr/>
              <w:t> </w:t>
            </w:r>
          </w:p>
        </w:tc>
        <w:tc>
          <w:tcPr>
            <w:tcW w:w="60" w:type="dxa"/>
            <w:vMerge w:val="restart"/>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85" w:type="dxa"/>
            <w:gridSpan w:val="2"/>
            <w:vMerge w:val="restart"/>
            <w:tcBorders/>
            <w:shd w:fill="666666" w:val="cle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Adjusted EBITDA</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 (in thousands)</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(6)</w:t>
            </w:r>
          </w:p>
        </w:tc>
        <w:tc>
          <w:tcPr>
            <w:tcW w:w="75" w:type="dxa"/>
            <w:vMerge w:val="restart"/>
            <w:tcBorders/>
            <w:shd w:fill="666666" w:val="clear"/>
            <w:vAlign w:val="center"/>
          </w:tcPr>
          <w:p>
            <w:pPr>
              <w:pStyle w:val="TableContents"/>
              <w:bidi w:val="0"/>
              <w:spacing w:before="0" w:after="283"/>
              <w:jc w:val="left"/>
              <w:rPr/>
            </w:pPr>
            <w:r>
              <w:rPr/>
              <w:t> </w:t>
            </w:r>
          </w:p>
        </w:tc>
      </w:tr>
      <w:tr>
        <w:trPr/>
        <w:tc>
          <w:tcPr>
            <w:tcW w:w="635" w:type="dxa"/>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1280" w:type="dxa"/>
            <w:gridSpan w:val="2"/>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1280" w:type="dxa"/>
            <w:gridSpan w:val="2"/>
            <w:vMerge w:val="continue"/>
            <w:tcBorders/>
            <w:shd w:fill="666666" w:val="clear"/>
            <w:vAlign w:val="center"/>
          </w:tcPr>
          <w:p>
            <w:pPr>
              <w:pStyle w:val="Normal"/>
              <w:bidi w:val="0"/>
              <w:jc w:val="left"/>
              <w:rPr/>
            </w:pPr>
            <w:r>
              <w:rPr/>
            </w:r>
          </w:p>
        </w:tc>
        <w:tc>
          <w:tcPr>
            <w:tcW w:w="155" w:type="dxa"/>
            <w:vMerge w:val="continue"/>
            <w:tcBorders/>
            <w:shd w:fill="666666" w:val="cle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1160" w:type="dxa"/>
            <w:gridSpan w:val="2"/>
            <w:vMerge w:val="continue"/>
            <w:tcBorders>
              <w:left w:val="single" w:sz="12" w:space="0" w:color="FFFFFF"/>
            </w:tcBorders>
            <w:shd w:fill="666666" w:val="clear"/>
            <w:tcMar>
              <w:left w:w="28" w:type="dxa"/>
            </w:tcM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1160" w:type="dxa"/>
            <w:gridSpan w:val="2"/>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1160" w:type="dxa"/>
            <w:gridSpan w:val="2"/>
            <w:vMerge w:val="continue"/>
            <w:tcBorders/>
            <w:shd w:fill="666666" w:val="cle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1160" w:type="dxa"/>
            <w:gridSpan w:val="2"/>
            <w:vMerge w:val="continue"/>
            <w:tcBorders/>
            <w:shd w:fill="666666" w:val="cle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0" w:type="dxa"/>
            <w:gridSpan w:val="2"/>
            <w:tcBorders/>
            <w:shd w:fill="666666" w:val="clear"/>
            <w:vAlign w:val="center"/>
          </w:tcPr>
          <w:p>
            <w:pPr>
              <w:pStyle w:val="TableContents"/>
              <w:bidi w:val="0"/>
              <w:spacing w:before="0" w:after="0"/>
              <w:jc w:val="center"/>
              <w:rPr>
                <w:b/>
                <w:color w:val="FFFFFF"/>
                <w:spacing w:val="0"/>
              </w:rPr>
            </w:pPr>
            <w:r>
              <w:rPr>
                <w:b/>
                <w:color w:val="FFFFFF"/>
                <w:spacing w:val="0"/>
              </w:rPr>
              <w:t>Total</w:t>
              <w:br/>
              <w:t>Shareholder</w:t>
              <w:br/>
              <w:t>Return ($)</w:t>
            </w:r>
          </w:p>
          <w:p>
            <w:pPr>
              <w:pStyle w:val="TableContents"/>
              <w:bidi w:val="0"/>
              <w:spacing w:before="0" w:after="0"/>
              <w:jc w:val="center"/>
              <w:rPr>
                <w:b/>
                <w:color w:val="FFFFFF"/>
                <w:spacing w:val="0"/>
                <w:sz w:val="9"/>
              </w:rPr>
            </w:pPr>
            <w:r>
              <w:rPr>
                <w:b/>
                <w:color w:val="FFFFFF"/>
                <w:spacing w:val="0"/>
                <w:sz w:val="9"/>
              </w:rPr>
              <w:t>(5)</w:t>
            </w:r>
          </w:p>
        </w:tc>
        <w:tc>
          <w:tcPr>
            <w:tcW w:w="6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280" w:type="dxa"/>
            <w:gridSpan w:val="2"/>
            <w:tcBorders/>
            <w:shd w:fill="666666" w:val="clear"/>
            <w:vAlign w:val="center"/>
          </w:tcPr>
          <w:p>
            <w:pPr>
              <w:pStyle w:val="TableContents"/>
              <w:bidi w:val="0"/>
              <w:spacing w:before="0" w:after="0"/>
              <w:jc w:val="center"/>
              <w:rPr>
                <w:b/>
                <w:color w:val="FFFFFF"/>
                <w:spacing w:val="0"/>
              </w:rPr>
            </w:pPr>
            <w:r>
              <w:rPr>
                <w:b/>
                <w:color w:val="FFFFFF"/>
                <w:spacing w:val="0"/>
              </w:rPr>
              <w:t>Peer Group</w:t>
              <w:br/>
              <w:t>Total</w:t>
              <w:br/>
              <w:t>Shareholder</w:t>
              <w:br/>
              <w:t>Return ($)</w:t>
            </w:r>
          </w:p>
          <w:p>
            <w:pPr>
              <w:pStyle w:val="TableContents"/>
              <w:bidi w:val="0"/>
              <w:spacing w:before="0" w:after="0"/>
              <w:jc w:val="center"/>
              <w:rPr>
                <w:b/>
                <w:color w:val="FFFFFF"/>
                <w:spacing w:val="0"/>
                <w:sz w:val="9"/>
              </w:rPr>
            </w:pPr>
            <w:r>
              <w:rPr>
                <w:b/>
                <w:color w:val="FFFFFF"/>
                <w:spacing w:val="0"/>
                <w:sz w:val="9"/>
              </w:rPr>
              <w:t>(5)</w:t>
            </w:r>
          </w:p>
        </w:tc>
        <w:tc>
          <w:tcPr>
            <w:tcW w:w="60" w:type="dxa"/>
            <w:tcBorders/>
            <w:shd w:fill="666666" w:val="clear"/>
            <w:vAlign w:val="center"/>
          </w:tcPr>
          <w:p>
            <w:pPr>
              <w:pStyle w:val="TableContents"/>
              <w:bidi w:val="0"/>
              <w:spacing w:before="0" w:after="283"/>
              <w:jc w:val="left"/>
              <w:rPr/>
            </w:pPr>
            <w:r>
              <w:rPr/>
              <w:t> </w:t>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1235" w:type="dxa"/>
            <w:gridSpan w:val="2"/>
            <w:vMerge w:val="continue"/>
            <w:tcBorders/>
            <w:shd w:fill="666666" w:val="clear"/>
            <w:vAlign w:val="center"/>
          </w:tcPr>
          <w:p>
            <w:pPr>
              <w:pStyle w:val="Normal"/>
              <w:bidi w:val="0"/>
              <w:jc w:val="left"/>
              <w:rPr/>
            </w:pPr>
            <w:r>
              <w:rPr/>
            </w:r>
          </w:p>
        </w:tc>
        <w:tc>
          <w:tcPr>
            <w:tcW w:w="60" w:type="dxa"/>
            <w:vMerge w:val="continue"/>
            <w:tcBorders>
              <w:left w:val="single" w:sz="12" w:space="0" w:color="FFFFFF"/>
            </w:tcBorders>
            <w:shd w:fill="666666" w:val="clear"/>
            <w:tcMar>
              <w:left w:w="28" w:type="dxa"/>
            </w:tcMar>
            <w:vAlign w:val="center"/>
          </w:tcPr>
          <w:p>
            <w:pPr>
              <w:pStyle w:val="Normal"/>
              <w:bidi w:val="0"/>
              <w:jc w:val="left"/>
              <w:rPr/>
            </w:pPr>
            <w:r>
              <w:rPr/>
            </w:r>
          </w:p>
        </w:tc>
        <w:tc>
          <w:tcPr>
            <w:tcW w:w="60" w:type="dxa"/>
            <w:vMerge w:val="continue"/>
            <w:tcBorders/>
            <w:shd w:fill="666666" w:val="clear"/>
            <w:vAlign w:val="center"/>
          </w:tcPr>
          <w:p>
            <w:pPr>
              <w:pStyle w:val="Normal"/>
              <w:bidi w:val="0"/>
              <w:jc w:val="left"/>
              <w:rPr/>
            </w:pPr>
            <w:r>
              <w:rPr/>
            </w:r>
          </w:p>
        </w:tc>
        <w:tc>
          <w:tcPr>
            <w:tcW w:w="1385" w:type="dxa"/>
            <w:gridSpan w:val="2"/>
            <w:vMerge w:val="continue"/>
            <w:tcBorders/>
            <w:shd w:fill="666666" w:val="clear"/>
            <w:vAlign w:val="center"/>
          </w:tcPr>
          <w:p>
            <w:pPr>
              <w:pStyle w:val="Normal"/>
              <w:bidi w:val="0"/>
              <w:jc w:val="left"/>
              <w:rPr/>
            </w:pPr>
            <w:r>
              <w:rPr/>
            </w:r>
          </w:p>
        </w:tc>
        <w:tc>
          <w:tcPr>
            <w:tcW w:w="75" w:type="dxa"/>
            <w:vMerge w:val="continue"/>
            <w:tcBorders/>
            <w:shd w:fill="666666" w:val="clear"/>
            <w:vAlign w:val="center"/>
          </w:tcPr>
          <w:p>
            <w:pPr>
              <w:pStyle w:val="Normal"/>
              <w:bidi w:val="0"/>
              <w:jc w:val="left"/>
              <w:rPr/>
            </w:pPr>
            <w:r>
              <w:rPr/>
            </w:r>
          </w:p>
        </w:tc>
      </w:tr>
      <w:tr>
        <w:trPr/>
        <w:tc>
          <w:tcPr>
            <w:tcW w:w="635" w:type="dxa"/>
            <w:tcBorders/>
            <w:shd w:fill="E5E5E5" w:val="clear"/>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9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5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2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pPr>
            <w:r>
              <w:rPr/>
              <w:t> </w:t>
            </w:r>
            <w:r>
              <w:rPr/>
              <w:t>2024</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w:t>
            </w:r>
          </w:p>
        </w:tc>
        <w:tc>
          <w:tcPr>
            <w:tcW w:w="155"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$8,530,530</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$5,781,290</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$3,164,286</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$1,798,965</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177" w:type="dxa"/>
            <w:tcBorders/>
            <w:shd w:fill="E5E5E5" w:val="clear"/>
            <w:vAlign w:val="center"/>
          </w:tcPr>
          <w:p>
            <w:pPr>
              <w:pStyle w:val="TableContents"/>
              <w:bidi w:val="0"/>
              <w:spacing w:before="0" w:after="283"/>
              <w:jc w:val="right"/>
              <w:rPr/>
            </w:pPr>
            <w:r>
              <w:rPr/>
              <w:t>$16.86</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186" w:type="dxa"/>
            <w:tcBorders/>
            <w:shd w:fill="E5E5E5" w:val="clear"/>
            <w:vAlign w:val="center"/>
          </w:tcPr>
          <w:p>
            <w:pPr>
              <w:pStyle w:val="TableContents"/>
              <w:bidi w:val="0"/>
              <w:spacing w:before="0" w:after="283"/>
              <w:jc w:val="right"/>
              <w:rPr/>
            </w:pPr>
            <w:r>
              <w:rPr/>
              <w:t>$221.30</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$(278,683)</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8" w:type="dxa"/>
            <w:tcBorders/>
            <w:shd w:fill="E5E5E5" w:val="clear"/>
            <w:vAlign w:val="center"/>
          </w:tcPr>
          <w:p>
            <w:pPr>
              <w:pStyle w:val="TableContents"/>
              <w:bidi w:val="0"/>
              <w:spacing w:before="0" w:after="283"/>
              <w:jc w:val="left"/>
              <w:rPr/>
            </w:pPr>
            <w:r>
              <w:rPr/>
              <w:t> </w:t>
            </w:r>
          </w:p>
        </w:tc>
        <w:tc>
          <w:tcPr>
            <w:tcW w:w="1307" w:type="dxa"/>
            <w:tcBorders/>
            <w:shd w:fill="E5E5E5" w:val="clear"/>
            <w:vAlign w:val="center"/>
          </w:tcPr>
          <w:p>
            <w:pPr>
              <w:pStyle w:val="TableContents"/>
              <w:bidi w:val="0"/>
              <w:spacing w:before="0" w:after="283"/>
              <w:jc w:val="right"/>
              <w:rPr/>
            </w:pPr>
            <w:r>
              <w:rPr/>
              <w:t>$516,998</w:t>
            </w:r>
          </w:p>
        </w:tc>
        <w:tc>
          <w:tcPr>
            <w:tcW w:w="75" w:type="dxa"/>
            <w:tcBorders/>
            <w:shd w:fill="E5E5E5"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95"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355"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520" w:type="dxa"/>
            <w:gridSpan w:val="4"/>
            <w:tcBorders>
              <w:left w:val="single" w:sz="12" w:space="0" w:color="FFFFFF"/>
            </w:tcBorders>
            <w:tcMar>
              <w:left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r>
              <w:rPr/>
              <w:t>2023</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$ 3,347,275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$ (256,286</w:t>
            </w:r>
          </w:p>
        </w:tc>
        <w:tc>
          <w:tcPr>
            <w:tcW w:w="155"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$8,480,690</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$8,323,779</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$3,300,218</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$2,376,649</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$20.33</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$191.27</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$(527,940)</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$337,146</w:t>
            </w:r>
          </w:p>
        </w:tc>
        <w:tc>
          <w:tcPr>
            <w:tcW w:w="75" w:type="dxa"/>
            <w:tcBorders/>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9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5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2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pPr>
            <w:r>
              <w:rPr/>
              <w:t> </w:t>
            </w:r>
            <w:r>
              <w:rPr/>
              <w:t>2022</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$ 9,771,335</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$3,425,759</w:t>
            </w:r>
          </w:p>
        </w:tc>
        <w:tc>
          <w:tcPr>
            <w:tcW w:w="155"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$3,700,352</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$1,508,437</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177" w:type="dxa"/>
            <w:tcBorders/>
            <w:shd w:fill="E5E5E5" w:val="clear"/>
            <w:vAlign w:val="center"/>
          </w:tcPr>
          <w:p>
            <w:pPr>
              <w:pStyle w:val="TableContents"/>
              <w:bidi w:val="0"/>
              <w:spacing w:before="0" w:after="283"/>
              <w:jc w:val="right"/>
              <w:rPr/>
            </w:pPr>
            <w:r>
              <w:rPr/>
              <w:t>$28.55</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186" w:type="dxa"/>
            <w:tcBorders/>
            <w:shd w:fill="E5E5E5" w:val="clear"/>
            <w:vAlign w:val="center"/>
          </w:tcPr>
          <w:p>
            <w:pPr>
              <w:pStyle w:val="TableContents"/>
              <w:bidi w:val="0"/>
              <w:spacing w:before="0" w:after="283"/>
              <w:jc w:val="right"/>
              <w:rPr/>
            </w:pPr>
            <w:r>
              <w:rPr/>
              <w:t>$129.96</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$(456,833)</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8" w:type="dxa"/>
            <w:tcBorders/>
            <w:shd w:fill="E5E5E5" w:val="clear"/>
            <w:vAlign w:val="center"/>
          </w:tcPr>
          <w:p>
            <w:pPr>
              <w:pStyle w:val="TableContents"/>
              <w:bidi w:val="0"/>
              <w:spacing w:before="0" w:after="283"/>
              <w:jc w:val="left"/>
              <w:rPr/>
            </w:pPr>
            <w:r>
              <w:rPr/>
              <w:t> </w:t>
            </w:r>
          </w:p>
        </w:tc>
        <w:tc>
          <w:tcPr>
            <w:tcW w:w="1307" w:type="dxa"/>
            <w:tcBorders/>
            <w:shd w:fill="E5E5E5" w:val="clear"/>
            <w:vAlign w:val="center"/>
          </w:tcPr>
          <w:p>
            <w:pPr>
              <w:pStyle w:val="TableContents"/>
              <w:bidi w:val="0"/>
              <w:spacing w:before="0" w:after="283"/>
              <w:jc w:val="right"/>
              <w:rPr/>
            </w:pPr>
            <w:r>
              <w:rPr/>
              <w:t>$65,337</w:t>
            </w:r>
          </w:p>
        </w:tc>
        <w:tc>
          <w:tcPr>
            <w:tcW w:w="75" w:type="dxa"/>
            <w:tcBorders/>
            <w:shd w:fill="E5E5E5"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95"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355"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520" w:type="dxa"/>
            <w:gridSpan w:val="4"/>
            <w:tcBorders>
              <w:left w:val="single" w:sz="12" w:space="0" w:color="FFFFFF"/>
            </w:tcBorders>
            <w:tcMar>
              <w:left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r>
              <w:rPr/>
              <w:t>2021</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$19,823,002</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$12,803,786</w:t>
            </w:r>
          </w:p>
        </w:tc>
        <w:tc>
          <w:tcPr>
            <w:tcW w:w="155"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$5,527,722</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$4,821,155</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$39.68</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$172.32</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$(950,071)</w:t>
            </w:r>
          </w:p>
        </w:tc>
        <w:tc>
          <w:tcPr>
            <w:tcW w:w="60" w:type="dxa"/>
            <w:tcBorders/>
            <w:vAlign w:val="center"/>
          </w:tcPr>
          <w:p>
            <w:pPr>
              <w:pStyle w:val="TableContents"/>
              <w:bidi w:val="0"/>
              <w:spacing w:before="0" w:after="283"/>
              <w:jc w:val="left"/>
              <w:rPr/>
            </w:pPr>
            <w:r>
              <w:rPr/>
              <w:t> </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$(261,276)</w:t>
            </w:r>
          </w:p>
        </w:tc>
        <w:tc>
          <w:tcPr>
            <w:tcW w:w="75" w:type="dxa"/>
            <w:tcBorders/>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sz w:val="4"/>
                <w:szCs w:val="4"/>
              </w:rPr>
            </w:pPr>
            <w:r>
              <w:rPr>
                <w:sz w:val="4"/>
                <w:szCs w:val="4"/>
              </w:rPr>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9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28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0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55"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20"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635" w:type="dxa"/>
            <w:tcBorders/>
            <w:shd w:fill="E5E5E5" w:val="clear"/>
            <w:vAlign w:val="center"/>
          </w:tcPr>
          <w:p>
            <w:pPr>
              <w:pStyle w:val="TableContents"/>
              <w:bidi w:val="0"/>
              <w:spacing w:before="0" w:after="283"/>
              <w:jc w:val="left"/>
              <w:rPr/>
            </w:pPr>
            <w:r>
              <w:rPr/>
              <w:t> </w:t>
            </w:r>
            <w:r>
              <w:rPr/>
              <w:t>2020</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$10,563,060</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$6,850,413</w:t>
            </w:r>
          </w:p>
        </w:tc>
        <w:tc>
          <w:tcPr>
            <w:tcW w:w="155"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$3,139,404</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$1,659,779</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03" w:type="dxa"/>
            <w:tcBorders/>
            <w:shd w:fill="E5E5E5" w:val="clear"/>
            <w:vAlign w:val="center"/>
          </w:tcPr>
          <w:p>
            <w:pPr>
              <w:pStyle w:val="TableContents"/>
              <w:bidi w:val="0"/>
              <w:spacing w:before="0" w:after="283"/>
              <w:jc w:val="left"/>
              <w:rPr/>
            </w:pPr>
            <w:r>
              <w:rPr/>
              <w:t> </w:t>
            </w:r>
          </w:p>
        </w:tc>
        <w:tc>
          <w:tcPr>
            <w:tcW w:w="1177" w:type="dxa"/>
            <w:tcBorders/>
            <w:shd w:fill="E5E5E5" w:val="clear"/>
            <w:vAlign w:val="center"/>
          </w:tcPr>
          <w:p>
            <w:pPr>
              <w:pStyle w:val="TableContents"/>
              <w:bidi w:val="0"/>
              <w:spacing w:before="0" w:after="283"/>
              <w:jc w:val="right"/>
              <w:rPr/>
            </w:pPr>
            <w:r>
              <w:rPr/>
              <w:t>$55.53</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186" w:type="dxa"/>
            <w:tcBorders/>
            <w:shd w:fill="E5E5E5" w:val="clear"/>
            <w:vAlign w:val="center"/>
          </w:tcPr>
          <w:p>
            <w:pPr>
              <w:pStyle w:val="TableContents"/>
              <w:bidi w:val="0"/>
              <w:spacing w:before="0" w:after="283"/>
              <w:jc w:val="right"/>
              <w:rPr/>
            </w:pPr>
            <w:r>
              <w:rPr/>
              <w:t>$135.28</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$(1,289,998)</w:t>
            </w:r>
          </w:p>
        </w:tc>
        <w:tc>
          <w:tcPr>
            <w:tcW w:w="60" w:type="dxa"/>
            <w:tcBorders/>
            <w:shd w:fill="E5E5E5" w:val="clear"/>
            <w:vAlign w:val="center"/>
          </w:tcPr>
          <w:p>
            <w:pPr>
              <w:pStyle w:val="TableContents"/>
              <w:bidi w:val="0"/>
              <w:spacing w:before="0" w:after="283"/>
              <w:jc w:val="left"/>
              <w:rPr/>
            </w:pPr>
            <w:r>
              <w:rPr/>
              <w:t> </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8" w:type="dxa"/>
            <w:tcBorders/>
            <w:shd w:fill="E5E5E5" w:val="clear"/>
            <w:vAlign w:val="center"/>
          </w:tcPr>
          <w:p>
            <w:pPr>
              <w:pStyle w:val="TableContents"/>
              <w:bidi w:val="0"/>
              <w:spacing w:before="0" w:after="283"/>
              <w:jc w:val="left"/>
              <w:rPr/>
            </w:pPr>
            <w:r>
              <w:rPr/>
              <w:t> </w:t>
            </w:r>
          </w:p>
        </w:tc>
        <w:tc>
          <w:tcPr>
            <w:tcW w:w="1307" w:type="dxa"/>
            <w:tcBorders/>
            <w:shd w:fill="E5E5E5" w:val="clear"/>
            <w:vAlign w:val="center"/>
          </w:tcPr>
          <w:p>
            <w:pPr>
              <w:pStyle w:val="TableContents"/>
              <w:bidi w:val="0"/>
              <w:spacing w:before="0" w:after="283"/>
              <w:jc w:val="right"/>
              <w:rPr/>
            </w:pPr>
            <w:r>
              <w:rPr/>
              <w:t>$(447,529)</w:t>
            </w:r>
          </w:p>
        </w:tc>
        <w:tc>
          <w:tcPr>
            <w:tcW w:w="75" w:type="dxa"/>
            <w:tcBorders/>
            <w:shd w:fill="E5E5E5"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283"/>
              <w:jc w:val="left"/>
              <w:rPr/>
            </w:pPr>
            <w:r>
              <w:rPr/>
              <w:t>(1)</w:t>
            </w:r>
          </w:p>
        </w:tc>
        <w:tc>
          <w:tcPr>
            <w:tcW w:w="8990" w:type="dxa"/>
            <w:tcBorders/>
            <w:vAlign w:val="center"/>
          </w:tcPr>
          <w:p>
            <w:pPr>
              <w:pStyle w:val="TableContents"/>
              <w:bidi w:val="0"/>
              <w:spacing w:before="0" w:after="0"/>
              <w:jc w:val="left"/>
              <w:rPr>
                <w:rFonts w:ascii="arial" w:hAnsi="arial"/>
                <w:sz w:val="18"/>
              </w:rPr>
            </w:pPr>
            <w:r>
              <w:rPr>
                <w:rFonts w:ascii="arial" w:hAnsi="arial"/>
                <w:sz w:val="18"/>
              </w:rPr>
              <w:t xml:space="preserve">Represents Mr. Menke, who was CEO for 2020, 2021, 2022, and from January 1, 2023 through April 26, 2023.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305"/>
        <w:gridCol w:w="5315"/>
      </w:tblGrid>
      <w:tr>
        <w:trPr/>
        <w:tc>
          <w:tcPr>
            <w:tcW w:w="305" w:type="dxa"/>
            <w:tcBorders/>
            <w:vAlign w:val="center"/>
          </w:tcPr>
          <w:p>
            <w:pPr>
              <w:pStyle w:val="TableContents"/>
              <w:bidi w:val="0"/>
              <w:spacing w:before="0" w:after="283"/>
              <w:jc w:val="left"/>
              <w:rPr/>
            </w:pPr>
            <w:r>
              <w:rPr/>
              <w:t>(2)</w:t>
            </w:r>
          </w:p>
        </w:tc>
        <w:tc>
          <w:tcPr>
            <w:tcW w:w="5315" w:type="dxa"/>
            <w:tcBorders/>
            <w:vAlign w:val="center"/>
          </w:tcPr>
          <w:p>
            <w:pPr>
              <w:pStyle w:val="TableContents"/>
              <w:bidi w:val="0"/>
              <w:spacing w:before="0" w:after="0"/>
              <w:jc w:val="left"/>
              <w:rPr>
                <w:rFonts w:ascii="arial" w:hAnsi="arial"/>
                <w:sz w:val="18"/>
              </w:rPr>
            </w:pPr>
            <w:r>
              <w:rPr>
                <w:rFonts w:ascii="arial" w:hAnsi="arial"/>
                <w:sz w:val="18"/>
              </w:rPr>
              <w:t xml:space="preserve">Represents Mr. Ekert, who became CEO effective April 27,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left"/>
              <w:rPr>
                <w:rFonts w:ascii="arial" w:hAnsi="arial"/>
                <w:sz w:val="18"/>
              </w:rPr>
            </w:pPr>
            <w:r>
              <w:rPr>
                <w:rFonts w:ascii="arial" w:hAnsi="arial"/>
                <w:sz w:val="18"/>
              </w:rPr>
              <w:t xml:space="preserve">For 2024,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Michael Randolfi, Joe DiFonzo, Roshan Mendis, Garry Wiseman, and Ann Bruder. For 2023,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Michael Randolfi, Ann Bruder, Roshan Mendis, Shawn Williams, and David Moore. For 2022,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Michael Randolfi, Kurt Ekert, David Moore, Scott Wilson, Douglas Barnett, Wade Jones, and Cem Tanyel. For 2021,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Douglas Barnett, Wade </w:t>
            </w:r>
          </w:p>
          <w:p>
            <w:pPr>
              <w:pStyle w:val="TableContents"/>
              <w:bidi w:val="0"/>
              <w:spacing w:before="0" w:after="0"/>
              <w:jc w:val="left"/>
              <w:rPr>
                <w:rFonts w:ascii="arial" w:hAnsi="arial"/>
                <w:sz w:val="18"/>
              </w:rPr>
            </w:pPr>
            <w:r>
              <w:rPr>
                <w:rFonts w:ascii="arial" w:hAnsi="arial"/>
                <w:sz w:val="18"/>
              </w:rPr>
              <w:t>Jones</w:t>
            </w:r>
          </w:p>
          <w:p>
            <w:pPr>
              <w:pStyle w:val="TableContents"/>
              <w:bidi w:val="0"/>
              <w:spacing w:before="0" w:after="0"/>
              <w:jc w:val="left"/>
              <w:rPr>
                <w:rFonts w:ascii="arial" w:hAnsi="arial"/>
                <w:sz w:val="18"/>
              </w:rPr>
            </w:pPr>
            <w:r>
              <w:rPr>
                <w:rFonts w:ascii="arial" w:hAnsi="arial"/>
                <w:sz w:val="18"/>
              </w:rPr>
              <w:t xml:space="preserve">, Roshan Mendis, and David Shirk. For 2020, our </w:t>
            </w:r>
          </w:p>
          <w:p>
            <w:pPr>
              <w:pStyle w:val="TableContents"/>
              <w:bidi w:val="0"/>
              <w:spacing w:before="0" w:after="0"/>
              <w:jc w:val="left"/>
              <w:rPr>
                <w:rFonts w:ascii="arial" w:hAnsi="arial"/>
                <w:spacing w:val="0"/>
                <w:sz w:val="18"/>
              </w:rPr>
            </w:pPr>
            <w:r>
              <w:rPr>
                <w:rFonts w:ascii="arial" w:hAnsi="arial"/>
                <w:spacing w:val="0"/>
                <w:sz w:val="18"/>
              </w:rPr>
              <w:t>non-CEO</w:t>
            </w:r>
          </w:p>
          <w:p>
            <w:pPr>
              <w:pStyle w:val="TableContents"/>
              <w:bidi w:val="0"/>
              <w:spacing w:before="0" w:after="0"/>
              <w:jc w:val="left"/>
              <w:rPr>
                <w:rFonts w:ascii="arial" w:hAnsi="arial"/>
                <w:sz w:val="18"/>
              </w:rPr>
            </w:pPr>
            <w:r>
              <w:rPr>
                <w:rFonts w:ascii="arial" w:hAnsi="arial"/>
                <w:sz w:val="18"/>
              </w:rPr>
              <w:t xml:space="preserve">named executive officers were Douglas Barnett, Wade Jones, David Moore, and David Shirk.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0"/>
              <w:jc w:val="left"/>
              <w:rPr>
                <w:rFonts w:ascii="arial" w:hAnsi="arial"/>
                <w:sz w:val="18"/>
              </w:rPr>
            </w:pPr>
            <w:r>
              <w:rPr>
                <w:rFonts w:ascii="arial" w:hAnsi="arial"/>
                <w:sz w:val="18"/>
              </w:rPr>
              <w:t xml:space="preserve">The following tables set forth the adjustments made during each year represented in the table to determine the compensation “actually paid” to the named executive officers for such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85"/>
        <w:gridCol w:w="60"/>
        <w:gridCol w:w="60"/>
        <w:gridCol w:w="140"/>
        <w:gridCol w:w="1100"/>
        <w:gridCol w:w="95"/>
        <w:gridCol w:w="60"/>
        <w:gridCol w:w="60"/>
        <w:gridCol w:w="140"/>
        <w:gridCol w:w="1175"/>
        <w:gridCol w:w="95"/>
        <w:gridCol w:w="60"/>
        <w:gridCol w:w="60"/>
        <w:gridCol w:w="140"/>
        <w:gridCol w:w="1055"/>
        <w:gridCol w:w="95"/>
        <w:gridCol w:w="60"/>
        <w:gridCol w:w="60"/>
        <w:gridCol w:w="140"/>
        <w:gridCol w:w="1055"/>
        <w:gridCol w:w="11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4385" w:type="dxa"/>
            <w:tcBorders/>
            <w:shd w:fill="666666" w:val="clear"/>
            <w:vAlign w:val="center"/>
          </w:tcPr>
          <w:p>
            <w:pPr>
              <w:pStyle w:val="TableContents"/>
              <w:bidi w:val="0"/>
              <w:spacing w:before="0" w:after="283"/>
              <w:jc w:val="left"/>
              <w:rPr>
                <w:sz w:val="4"/>
                <w:szCs w:val="4"/>
              </w:rPr>
            </w:pPr>
            <w:r>
              <w:rPr>
                <w:sz w:val="4"/>
                <w:szCs w:val="4"/>
              </w:rPr>
            </w:r>
          </w:p>
        </w:tc>
        <w:tc>
          <w:tcPr>
            <w:tcW w:w="1455"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53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4385" w:type="dxa"/>
            <w:tcBorders/>
            <w:shd w:fill="666666" w:val="clear"/>
            <w:vAlign w:val="center"/>
          </w:tcPr>
          <w:p>
            <w:pPr>
              <w:pStyle w:val="TableContents"/>
              <w:bidi w:val="0"/>
              <w:spacing w:before="0" w:after="0"/>
              <w:jc w:val="left"/>
              <w:rPr>
                <w:color w:val="FFFFFF"/>
                <w:spacing w:val="0"/>
              </w:rPr>
            </w:pPr>
            <w:r>
              <w:rPr>
                <w:color w:val="FFFFFF"/>
                <w:spacing w:val="0"/>
              </w:rPr>
              <w:t> </w:t>
            </w:r>
            <w:r>
              <w:rPr>
                <w:b/>
                <w:color w:val="FFFFFF"/>
                <w:spacing w:val="0"/>
              </w:rPr>
              <w:t>CEO 1 – Mr. Menke</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95" w:type="dxa"/>
            <w:gridSpan w:val="4"/>
            <w:tcBorders/>
            <w:shd w:fill="666666" w:val="clear"/>
            <w:vAlign w:val="center"/>
          </w:tcPr>
          <w:p>
            <w:pPr>
              <w:pStyle w:val="TableContents"/>
              <w:bidi w:val="0"/>
              <w:spacing w:before="0" w:after="0"/>
              <w:jc w:val="center"/>
              <w:rPr>
                <w:b/>
                <w:color w:val="FFFFFF"/>
                <w:spacing w:val="0"/>
              </w:rPr>
            </w:pPr>
            <w:r>
              <w:rPr>
                <w:b/>
                <w:color w:val="FFFFFF"/>
                <w:spacing w:val="0"/>
              </w:rPr>
              <w:t>2020</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70" w:type="dxa"/>
            <w:gridSpan w:val="4"/>
            <w:tcBorders/>
            <w:shd w:fill="666666" w:val="clear"/>
            <w:vAlign w:val="center"/>
          </w:tcPr>
          <w:p>
            <w:pPr>
              <w:pStyle w:val="TableContents"/>
              <w:bidi w:val="0"/>
              <w:spacing w:before="0" w:after="0"/>
              <w:jc w:val="center"/>
              <w:rPr>
                <w:b/>
                <w:color w:val="FFFFFF"/>
                <w:spacing w:val="0"/>
              </w:rPr>
            </w:pPr>
            <w:r>
              <w:rPr>
                <w:b/>
                <w:color w:val="FFFFFF"/>
                <w:spacing w:val="0"/>
              </w:rPr>
              <w:t>2021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50" w:type="dxa"/>
            <w:gridSpan w:val="4"/>
            <w:tcBorders/>
            <w:shd w:fill="666666" w:val="clear"/>
            <w:vAlign w:val="center"/>
          </w:tcPr>
          <w:p>
            <w:pPr>
              <w:pStyle w:val="TableContents"/>
              <w:bidi w:val="0"/>
              <w:spacing w:before="0" w:after="0"/>
              <w:jc w:val="center"/>
              <w:rPr>
                <w:b/>
                <w:color w:val="FFFFFF"/>
                <w:spacing w:val="0"/>
              </w:rPr>
            </w:pPr>
            <w:r>
              <w:rPr>
                <w:b/>
                <w:color w:val="FFFFFF"/>
                <w:spacing w:val="0"/>
              </w:rPr>
              <w:t>2022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65" w:type="dxa"/>
            <w:gridSpan w:val="4"/>
            <w:tcBorders/>
            <w:shd w:fill="666666" w:val="clear"/>
            <w:vAlign w:val="center"/>
          </w:tcPr>
          <w:p>
            <w:pPr>
              <w:pStyle w:val="TableContents"/>
              <w:bidi w:val="0"/>
              <w:spacing w:before="0" w:after="0"/>
              <w:jc w:val="center"/>
              <w:rPr>
                <w:b/>
                <w:color w:val="FFFFFF"/>
                <w:spacing w:val="0"/>
              </w:rPr>
            </w:pPr>
            <w:r>
              <w:rPr>
                <w:b/>
                <w:color w:val="FFFFFF"/>
                <w:spacing w:val="0"/>
              </w:rPr>
              <w:t>2023</w:t>
            </w:r>
          </w:p>
        </w:tc>
      </w:tr>
      <w:tr>
        <w:trPr/>
        <w:tc>
          <w:tcPr>
            <w:tcW w:w="4385" w:type="dxa"/>
            <w:tcBorders/>
            <w:shd w:fill="E5E5E5" w:val="clear"/>
            <w:vAlign w:val="center"/>
          </w:tcPr>
          <w:p>
            <w:pPr>
              <w:pStyle w:val="TableContents"/>
              <w:bidi w:val="0"/>
              <w:spacing w:before="0" w:after="283"/>
              <w:jc w:val="left"/>
              <w:rPr>
                <w:sz w:val="4"/>
                <w:szCs w:val="4"/>
              </w:rPr>
            </w:pPr>
            <w:r>
              <w:rPr>
                <w:sz w:val="4"/>
                <w:szCs w:val="4"/>
              </w:rPr>
            </w:r>
          </w:p>
        </w:tc>
        <w:tc>
          <w:tcPr>
            <w:tcW w:w="145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3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4385" w:type="dxa"/>
            <w:tcBorders/>
            <w:shd w:fill="E5E5E5" w:val="clear"/>
            <w:vAlign w:val="center"/>
          </w:tcPr>
          <w:p>
            <w:pPr>
              <w:pStyle w:val="TableContents"/>
              <w:bidi w:val="0"/>
              <w:spacing w:before="0" w:after="0"/>
              <w:jc w:val="left"/>
              <w:rPr/>
            </w:pPr>
            <w:r>
              <w:rPr/>
              <w:t> </w:t>
            </w:r>
            <w:r>
              <w:rPr>
                <w:rFonts w:ascii="arial" w:hAnsi="arial"/>
                <w:b/>
                <w:sz w:val="18"/>
              </w:rPr>
              <w:t>Summary Compensation Table Total</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100" w:type="dxa"/>
            <w:tcBorders/>
            <w:shd w:fill="E5E5E5" w:val="clear"/>
            <w:vAlign w:val="center"/>
          </w:tcPr>
          <w:p>
            <w:pPr>
              <w:pStyle w:val="TableContents"/>
              <w:bidi w:val="0"/>
              <w:spacing w:before="0" w:after="283"/>
              <w:jc w:val="right"/>
              <w:rPr/>
            </w:pPr>
            <w:r>
              <w:rPr/>
              <w:t>10,563,060</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175" w:type="dxa"/>
            <w:tcBorders/>
            <w:shd w:fill="E5E5E5" w:val="clear"/>
            <w:vAlign w:val="center"/>
          </w:tcPr>
          <w:p>
            <w:pPr>
              <w:pStyle w:val="TableContents"/>
              <w:bidi w:val="0"/>
              <w:spacing w:before="0" w:after="283"/>
              <w:jc w:val="right"/>
              <w:rPr/>
            </w:pPr>
            <w:r>
              <w:rPr/>
              <w:t>19,823,002</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9,771,335</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3,347,275</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sz w:val="4"/>
                <w:szCs w:val="4"/>
              </w:rPr>
            </w:pPr>
            <w:r>
              <w:rPr>
                <w:sz w:val="4"/>
                <w:szCs w:val="4"/>
              </w:rPr>
            </w:r>
          </w:p>
        </w:tc>
        <w:tc>
          <w:tcPr>
            <w:tcW w:w="1455"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3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pPr>
            <w:r>
              <w:rPr/>
              <w:t> </w:t>
            </w:r>
            <w:r>
              <w:rPr>
                <w:rFonts w:ascii="arial" w:hAnsi="arial"/>
                <w:sz w:val="18"/>
              </w:rPr>
              <w:t>-  Grant Date Fair Value of Option Awards and Stock Awards Granted in Fiscal Year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(8,866,786</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(17,463,960</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(7,237,236</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(2,000,000</w:t>
            </w:r>
          </w:p>
        </w:tc>
        <w:tc>
          <w:tcPr>
            <w:tcW w:w="110" w:type="dxa"/>
            <w:tcBorders/>
            <w:vAlign w:val="center"/>
          </w:tcPr>
          <w:p>
            <w:pPr>
              <w:pStyle w:val="TableContents"/>
              <w:bidi w:val="0"/>
              <w:spacing w:before="0" w:after="283"/>
              <w:jc w:val="left"/>
              <w:rPr/>
            </w:pPr>
            <w:r>
              <w:rPr/>
              <w:t>)</w:t>
            </w:r>
          </w:p>
        </w:tc>
      </w:tr>
      <w:tr>
        <w:trPr/>
        <w:tc>
          <w:tcPr>
            <w:tcW w:w="4385" w:type="dxa"/>
            <w:tcBorders/>
            <w:shd w:fill="E5E5E5" w:val="clear"/>
            <w:vAlign w:val="center"/>
          </w:tcPr>
          <w:p>
            <w:pPr>
              <w:pStyle w:val="TableContents"/>
              <w:bidi w:val="0"/>
              <w:spacing w:before="0" w:after="283"/>
              <w:jc w:val="left"/>
              <w:rPr>
                <w:sz w:val="4"/>
                <w:szCs w:val="4"/>
              </w:rPr>
            </w:pPr>
            <w:r>
              <w:rPr>
                <w:sz w:val="4"/>
                <w:szCs w:val="4"/>
              </w:rPr>
            </w:r>
          </w:p>
        </w:tc>
        <w:tc>
          <w:tcPr>
            <w:tcW w:w="145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3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4385" w:type="dxa"/>
            <w:tcBorders/>
            <w:shd w:fill="E5E5E5" w:val="clear"/>
            <w:vAlign w:val="center"/>
          </w:tcPr>
          <w:p>
            <w:pPr>
              <w:pStyle w:val="TableContents"/>
              <w:bidi w:val="0"/>
              <w:spacing w:before="0" w:after="0"/>
              <w:jc w:val="left"/>
              <w:rPr/>
            </w:pPr>
            <w:r>
              <w:rPr/>
              <w:t> </w:t>
            </w:r>
            <w:r>
              <w:rPr>
                <w:rFonts w:ascii="arial" w:hAnsi="arial"/>
                <w:sz w:val="18"/>
              </w:rPr>
              <w:t xml:space="preserve">+  Fair Value at Fiscal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of Outstanding and Unvested Option Awards and Stock Awards Granted in Fiscal Year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14,187,539</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8,935,662</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4,594,897</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2,528,737</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sz w:val="4"/>
                <w:szCs w:val="4"/>
              </w:rPr>
            </w:pPr>
            <w:r>
              <w:rPr>
                <w:sz w:val="4"/>
                <w:szCs w:val="4"/>
              </w:rPr>
            </w:r>
          </w:p>
        </w:tc>
        <w:tc>
          <w:tcPr>
            <w:tcW w:w="1455"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3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pPr>
            <w:r>
              <w:rPr/>
              <w:t> </w:t>
            </w:r>
            <w:r>
              <w:rPr>
                <w:rFonts w:ascii="arial" w:hAnsi="arial"/>
                <w:sz w:val="18"/>
              </w:rPr>
              <w:t>+  Change in Fair Value of Outstanding and Unvested Option Awards and Stock Awards Granted in Prior Fiscal Years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(4,224,628</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(972,168</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(2,942,801</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(2,195,747</w:t>
            </w:r>
          </w:p>
        </w:tc>
        <w:tc>
          <w:tcPr>
            <w:tcW w:w="110" w:type="dxa"/>
            <w:tcBorders/>
            <w:vAlign w:val="center"/>
          </w:tcPr>
          <w:p>
            <w:pPr>
              <w:pStyle w:val="TableContents"/>
              <w:bidi w:val="0"/>
              <w:spacing w:before="0" w:after="283"/>
              <w:jc w:val="left"/>
              <w:rPr/>
            </w:pPr>
            <w:r>
              <w:rPr/>
              <w:t>)</w:t>
            </w:r>
          </w:p>
        </w:tc>
      </w:tr>
      <w:tr>
        <w:trPr/>
        <w:tc>
          <w:tcPr>
            <w:tcW w:w="4385" w:type="dxa"/>
            <w:tcBorders>
              <w:left w:val="single" w:sz="12" w:space="0" w:color="FFFFFF"/>
            </w:tcBorders>
            <w:shd w:fill="E5E5E5" w:val="clear"/>
            <w:tcMar>
              <w:left w:w="160" w:type="dxa"/>
            </w:tcMar>
            <w:vAlign w:val="center"/>
          </w:tcPr>
          <w:p>
            <w:pPr>
              <w:pStyle w:val="TableContents"/>
              <w:bidi w:val="0"/>
              <w:spacing w:before="0" w:after="283"/>
              <w:jc w:val="left"/>
              <w:rPr/>
            </w:pPr>
            <w:r>
              <w:rPr/>
              <w:t> </w:t>
            </w:r>
          </w:p>
        </w:tc>
        <w:tc>
          <w:tcPr>
            <w:tcW w:w="145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53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4385" w:type="dxa"/>
            <w:tcBorders>
              <w:left w:val="single" w:sz="12" w:space="0" w:color="FFFFFF"/>
            </w:tcBorders>
            <w:shd w:fill="E5E5E5" w:val="clear"/>
            <w:tcMar>
              <w:left w:w="160" w:type="dxa"/>
            </w:tcMar>
            <w:vAlign w:val="center"/>
          </w:tcPr>
          <w:p>
            <w:pPr>
              <w:pStyle w:val="TableContents"/>
              <w:bidi w:val="0"/>
              <w:spacing w:before="0" w:after="0"/>
              <w:jc w:val="left"/>
              <w:rPr/>
            </w:pPr>
            <w:r>
              <w:rPr/>
              <w:t> </w:t>
            </w:r>
            <w:r>
              <w:rPr>
                <w:rFonts w:ascii="arial" w:hAnsi="arial"/>
                <w:sz w:val="18"/>
              </w:rPr>
              <w:t>+  Fair Value at Vesting of Option Awards and Stock Awards Granted in Fiscal Year That Vested During Fiscal Year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sz w:val="4"/>
                <w:szCs w:val="4"/>
              </w:rPr>
            </w:pPr>
            <w:r>
              <w:rPr>
                <w:sz w:val="4"/>
                <w:szCs w:val="4"/>
              </w:rPr>
            </w:r>
          </w:p>
        </w:tc>
        <w:tc>
          <w:tcPr>
            <w:tcW w:w="1455"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3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pPr>
            <w:r>
              <w:rPr/>
              <w:t> </w:t>
            </w:r>
            <w:r>
              <w:rPr>
                <w:rFonts w:ascii="arial" w:hAnsi="arial"/>
                <w:sz w:val="18"/>
              </w:rPr>
              <w:t>+  Change in Fair Value as of Vesting Date of Option Awards and Stock Awards Granted in Prior Fiscal Years for Which Applicable Vesting Conditions Were Satisfied During Fiscal Year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(4,808,772</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2,481,251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(760,436</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(1,936,551</w:t>
            </w:r>
          </w:p>
        </w:tc>
        <w:tc>
          <w:tcPr>
            <w:tcW w:w="110" w:type="dxa"/>
            <w:tcBorders/>
            <w:vAlign w:val="center"/>
          </w:tcPr>
          <w:p>
            <w:pPr>
              <w:pStyle w:val="TableContents"/>
              <w:bidi w:val="0"/>
              <w:spacing w:before="0" w:after="283"/>
              <w:jc w:val="left"/>
              <w:rPr/>
            </w:pPr>
            <w:r>
              <w:rPr/>
              <w:t>)</w:t>
            </w:r>
          </w:p>
        </w:tc>
      </w:tr>
      <w:tr>
        <w:trPr/>
        <w:tc>
          <w:tcPr>
            <w:tcW w:w="4385" w:type="dxa"/>
            <w:tcBorders/>
            <w:shd w:fill="E5E5E5" w:val="clear"/>
            <w:vAlign w:val="center"/>
          </w:tcPr>
          <w:p>
            <w:pPr>
              <w:pStyle w:val="TableContents"/>
              <w:bidi w:val="0"/>
              <w:spacing w:before="0" w:after="0"/>
              <w:jc w:val="left"/>
              <w:rPr/>
            </w:pPr>
            <w:r>
              <w:rPr/>
              <w:t> </w:t>
            </w:r>
            <w:r>
              <w:rPr>
                <w:rFonts w:ascii="arial" w:hAnsi="arial"/>
                <w:sz w:val="18"/>
              </w:rPr>
              <w:t xml:space="preserve">-  Fair Value as of Prior Fiscal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of Option Awards and Stock Awards Granted in Prior Fiscal Years That Failed to Meet Applicable Vesting Conditions During Fiscal Year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17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sz w:val="4"/>
                <w:szCs w:val="4"/>
              </w:rPr>
            </w:pPr>
            <w:r>
              <w:rPr>
                <w:sz w:val="4"/>
                <w:szCs w:val="4"/>
              </w:rPr>
            </w:r>
          </w:p>
        </w:tc>
        <w:tc>
          <w:tcPr>
            <w:tcW w:w="1455"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53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pPr>
            <w:r>
              <w:rPr/>
              <w:t> </w:t>
            </w:r>
            <w:r>
              <w:rPr>
                <w:rFonts w:ascii="arial" w:hAnsi="arial"/>
                <w:sz w:val="18"/>
              </w:rPr>
              <w:t>+  Value of Dividends or Other Earnings Paid on Option Awards or Stock Awards in the Fiscal Year That Are Not Included in the Total Compensation for the Fiscal Year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sz w:val="4"/>
                <w:szCs w:val="4"/>
              </w:rPr>
            </w:pPr>
            <w:r>
              <w:rPr>
                <w:sz w:val="4"/>
                <w:szCs w:val="4"/>
              </w:rPr>
            </w:r>
          </w:p>
        </w:tc>
      </w:tr>
      <w:tr>
        <w:trPr/>
        <w:tc>
          <w:tcPr>
            <w:tcW w:w="4385" w:type="dxa"/>
            <w:tcBorders/>
            <w:shd w:fill="E5E5E5" w:val="clear"/>
            <w:vAlign w:val="center"/>
          </w:tcPr>
          <w:p>
            <w:pPr>
              <w:pStyle w:val="TableContents"/>
              <w:bidi w:val="0"/>
              <w:spacing w:before="0" w:after="0"/>
              <w:jc w:val="left"/>
              <w:rPr/>
            </w:pPr>
            <w:r>
              <w:rPr/>
              <w:t> </w:t>
            </w:r>
            <w:r>
              <w:rPr>
                <w:rFonts w:ascii="arial" w:hAnsi="arial"/>
                <w:b/>
                <w:sz w:val="20"/>
              </w:rPr>
              <w:t>Compensation “Actually Paid”</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100" w:type="dxa"/>
            <w:tcBorders/>
            <w:shd w:fill="E5E5E5" w:val="clear"/>
            <w:vAlign w:val="center"/>
          </w:tcPr>
          <w:p>
            <w:pPr>
              <w:pStyle w:val="TableContents"/>
              <w:bidi w:val="0"/>
              <w:spacing w:before="0" w:after="283"/>
              <w:jc w:val="right"/>
              <w:rPr/>
            </w:pPr>
            <w:r>
              <w:rPr/>
              <w:t>6,850,413</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175" w:type="dxa"/>
            <w:tcBorders/>
            <w:shd w:fill="E5E5E5" w:val="clear"/>
            <w:vAlign w:val="center"/>
          </w:tcPr>
          <w:p>
            <w:pPr>
              <w:pStyle w:val="TableContents"/>
              <w:bidi w:val="0"/>
              <w:spacing w:before="0" w:after="283"/>
              <w:jc w:val="right"/>
              <w:rPr/>
            </w:pPr>
            <w:r>
              <w:rPr/>
              <w:t>12,803,786</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3,425,759</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(256,286</w:t>
            </w:r>
          </w:p>
        </w:tc>
        <w:tc>
          <w:tcPr>
            <w:tcW w:w="110" w:type="dxa"/>
            <w:tcBorders/>
            <w:shd w:fill="E5E5E5" w:val="cle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4492" w:type="dxa"/>
        <w:jc w:val="left"/>
        <w:tblInd w:w="0" w:type="dxa"/>
        <w:tblLayout w:type="fixed"/>
        <w:tblCellMar>
          <w:top w:w="0" w:type="dxa"/>
          <w:left w:w="0" w:type="dxa"/>
          <w:bottom w:w="0" w:type="dxa"/>
          <w:right w:w="0" w:type="dxa"/>
        </w:tblCellMar>
      </w:tblPr>
      <w:tblGrid>
        <w:gridCol w:w="38"/>
        <w:gridCol w:w="23"/>
        <w:gridCol w:w="23"/>
        <w:gridCol w:w="23"/>
        <w:gridCol w:w="23"/>
        <w:gridCol w:w="60"/>
        <w:gridCol w:w="23"/>
        <w:gridCol w:w="23"/>
        <w:gridCol w:w="23"/>
        <w:gridCol w:w="23"/>
        <w:gridCol w:w="23"/>
        <w:gridCol w:w="60"/>
        <w:gridCol w:w="31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right"/>
              <w:rPr>
                <w:color w:val="CF0A2C"/>
                <w:spacing w:val="0"/>
              </w:rPr>
            </w:pPr>
            <w:r>
              <w:rPr>
                <w:color w:val="CF0A2C"/>
                <w:spacing w:val="0"/>
              </w:rPr>
              <w:drawing>
                <wp:inline distT="0" distB="0" distL="0" distR="0">
                  <wp:extent cx="506095" cy="12255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506095" cy="122555"/>
                          </a:xfrm>
                          <a:prstGeom prst="rect">
                            <a:avLst/>
                          </a:prstGeom>
                        </pic:spPr>
                      </pic:pic>
                    </a:graphicData>
                  </a:graphic>
                </wp:inline>
              </w:drawing>
            </w:r>
            <w:r>
              <w:rPr>
                <w:color w:val="CF0A2C"/>
                <w:spacing w:val="0"/>
              </w:rPr>
              <w:t xml:space="preserve">  </w:t>
            </w:r>
            <w:r>
              <w:rPr>
                <w:b/>
                <w:color w:val="CF0A2C"/>
                <w:spacing w:val="0"/>
              </w:rPr>
              <w:t>Sabre Corporation </w:t>
            </w:r>
          </w:p>
          <w:p>
            <w:pPr>
              <w:pStyle w:val="TableContents"/>
              <w:bidi w:val="0"/>
              <w:spacing w:before="0" w:after="0"/>
              <w:jc w:val="right"/>
              <w:rPr>
                <w:color w:val="CF0A2C"/>
                <w:spacing w:val="0"/>
              </w:rPr>
            </w:pPr>
            <w:r>
              <w:rPr>
                <w:color w:val="CF0A2C"/>
                <w:spacing w:val="0"/>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260" w:type="dxa"/>
            <w:tcBorders/>
            <w:vAlign w:val="center"/>
          </w:tcPr>
          <w:p>
            <w:pPr>
              <w:pStyle w:val="TableContents"/>
              <w:bidi w:val="0"/>
              <w:spacing w:before="0" w:after="0"/>
              <w:jc w:val="right"/>
              <w:rPr>
                <w:b/>
                <w:color w:val="666666"/>
                <w:spacing w:val="0"/>
              </w:rPr>
            </w:pPr>
            <w:r>
              <w:rPr>
                <w:b/>
                <w:color w:val="666666"/>
                <w:spacing w:val="0"/>
              </w:rPr>
              <w:t>87</w:t>
            </w:r>
          </w:p>
        </w:tc>
        <w:tc>
          <w:tcPr>
            <w:tcW w:w="75" w:type="dxa"/>
            <w:tcBorders/>
            <w:vAlign w:val="center"/>
          </w:tcPr>
          <w:p>
            <w:pPr>
              <w:pStyle w:val="TableContents"/>
              <w:bidi w:val="0"/>
              <w:spacing w:before="0" w:after="0"/>
              <w:jc w:val="left"/>
              <w:rPr>
                <w:color w:val="666666"/>
                <w:spacing w:val="0"/>
              </w:rPr>
            </w:pPr>
            <w:r>
              <w:rPr>
                <w:color w:val="666666"/>
                <w:spacing w:val="0"/>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922" w:type="dxa"/>
        <w:jc w:val="left"/>
        <w:tblInd w:w="0" w:type="dxa"/>
        <w:tblLayout w:type="fixed"/>
        <w:tblCellMar>
          <w:top w:w="0" w:type="dxa"/>
          <w:left w:w="0" w:type="dxa"/>
          <w:bottom w:w="0" w:type="dxa"/>
          <w:right w:w="0" w:type="dxa"/>
        </w:tblCellMar>
      </w:tblPr>
      <w:tblGrid>
        <w:gridCol w:w="3575"/>
        <w:gridCol w:w="60"/>
        <w:gridCol w:w="23"/>
        <w:gridCol w:w="60"/>
        <w:gridCol w:w="23"/>
        <w:gridCol w:w="60"/>
        <w:gridCol w:w="23"/>
        <w:gridCol w:w="60"/>
        <w:gridCol w:w="38"/>
      </w:tblGrid>
      <w:tr>
        <w:trPr/>
        <w:tc>
          <w:tcPr>
            <w:tcW w:w="3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5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PAY-VERSUS-PERFORMANCE TABLE 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83"/>
        <w:gridCol w:w="120"/>
        <w:gridCol w:w="60"/>
        <w:gridCol w:w="1113"/>
        <w:gridCol w:w="60"/>
        <w:gridCol w:w="120"/>
        <w:gridCol w:w="60"/>
        <w:gridCol w:w="1113"/>
        <w:gridCol w:w="76"/>
      </w:tblGrid>
      <w:tr>
        <w:trPr/>
        <w:tc>
          <w:tcPr>
            <w:tcW w:w="74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483" w:type="dxa"/>
            <w:tcBorders/>
            <w:shd w:fill="666666" w:val="clear"/>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7483" w:type="dxa"/>
            <w:tcBorders/>
            <w:shd w:fill="666666" w:val="clear"/>
            <w:vAlign w:val="center"/>
          </w:tcPr>
          <w:p>
            <w:pPr>
              <w:pStyle w:val="TableContents"/>
              <w:bidi w:val="0"/>
              <w:spacing w:before="0" w:after="0"/>
              <w:jc w:val="left"/>
              <w:rPr>
                <w:color w:val="FFFFFF"/>
                <w:spacing w:val="0"/>
              </w:rPr>
            </w:pPr>
            <w:r>
              <w:rPr>
                <w:color w:val="FFFFFF"/>
                <w:spacing w:val="0"/>
              </w:rPr>
              <w:t> </w:t>
            </w:r>
            <w:r>
              <w:rPr>
                <w:b/>
                <w:color w:val="FFFFFF"/>
                <w:spacing w:val="0"/>
              </w:rPr>
              <w:t>CEO 2 – Mr. Ekert</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73" w:type="dxa"/>
            <w:gridSpan w:val="2"/>
            <w:tcBorders/>
            <w:shd w:fill="666666" w:val="clear"/>
            <w:vAlign w:val="center"/>
          </w:tcPr>
          <w:p>
            <w:pPr>
              <w:pStyle w:val="TableContents"/>
              <w:bidi w:val="0"/>
              <w:spacing w:before="0" w:after="0"/>
              <w:jc w:val="center"/>
              <w:rPr>
                <w:b/>
                <w:color w:val="FFFFFF"/>
                <w:spacing w:val="0"/>
              </w:rPr>
            </w:pPr>
            <w:r>
              <w:rPr>
                <w:b/>
                <w:color w:val="FFFFFF"/>
                <w:spacing w:val="0"/>
              </w:rPr>
              <w:t>2023</w:t>
            </w:r>
          </w:p>
        </w:tc>
        <w:tc>
          <w:tcPr>
            <w:tcW w:w="60" w:type="dxa"/>
            <w:tcBorders/>
            <w:shd w:fill="666666" w:val="clear"/>
            <w:vAlign w:val="center"/>
          </w:tcPr>
          <w:p>
            <w:pPr>
              <w:pStyle w:val="TableContents"/>
              <w:bidi w:val="0"/>
              <w:spacing w:before="0" w:after="283"/>
              <w:jc w:val="left"/>
              <w:rPr/>
            </w:pPr>
            <w:r>
              <w:rPr/>
              <w:t> </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73" w:type="dxa"/>
            <w:gridSpan w:val="2"/>
            <w:tcBorders/>
            <w:shd w:fill="666666" w:val="clear"/>
            <w:vAlign w:val="center"/>
          </w:tcPr>
          <w:p>
            <w:pPr>
              <w:pStyle w:val="TableContents"/>
              <w:bidi w:val="0"/>
              <w:spacing w:before="0" w:after="0"/>
              <w:jc w:val="center"/>
              <w:rPr>
                <w:b/>
                <w:color w:val="FFFFFF"/>
                <w:spacing w:val="0"/>
              </w:rPr>
            </w:pPr>
            <w:r>
              <w:rPr>
                <w:b/>
                <w:color w:val="FFFFFF"/>
                <w:spacing w:val="0"/>
              </w:rPr>
              <w:t>2024</w:t>
            </w:r>
          </w:p>
        </w:tc>
        <w:tc>
          <w:tcPr>
            <w:tcW w:w="76" w:type="dxa"/>
            <w:tcBorders/>
            <w:shd w:fill="666666" w:val="clear"/>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Summary Compensation Table Total</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$8,480,690</w:t>
            </w:r>
          </w:p>
        </w:tc>
        <w:tc>
          <w:tcPr>
            <w:tcW w:w="60" w:type="dxa"/>
            <w:tcBorders/>
            <w:shd w:fill="E5E5E5" w:val="clear"/>
            <w:vAlign w:val="center"/>
          </w:tcPr>
          <w:p>
            <w:pPr>
              <w:pStyle w:val="TableContents"/>
              <w:bidi w:val="0"/>
              <w:spacing w:before="0" w:after="283"/>
              <w:jc w:val="left"/>
              <w:rPr/>
            </w:pPr>
            <w:r>
              <w:rPr/>
              <w:t> </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$8,530,530</w:t>
            </w:r>
          </w:p>
        </w:tc>
        <w:tc>
          <w:tcPr>
            <w:tcW w:w="76" w:type="dxa"/>
            <w:tcBorders/>
            <w:shd w:fill="E5E5E5" w:val="clear"/>
            <w:vAlign w:val="center"/>
          </w:tcPr>
          <w:p>
            <w:pPr>
              <w:pStyle w:val="TableContents"/>
              <w:bidi w:val="0"/>
              <w:spacing w:before="0" w:after="283"/>
              <w:jc w:val="left"/>
              <w:rPr/>
            </w:pPr>
            <w:r>
              <w:rPr/>
              <w:t> </w:t>
            </w:r>
          </w:p>
        </w:tc>
      </w:tr>
      <w:tr>
        <w:trPr/>
        <w:tc>
          <w:tcPr>
            <w:tcW w:w="7483" w:type="dxa"/>
            <w:tcBorders/>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tcMar>
              <w:left w:w="28" w:type="dxa"/>
            </w:tcMar>
            <w:vAlign w:val="center"/>
          </w:tcPr>
          <w:p>
            <w:pPr>
              <w:pStyle w:val="TableContents"/>
              <w:bidi w:val="0"/>
              <w:spacing w:before="0" w:after="283"/>
              <w:jc w:val="left"/>
              <w:rPr/>
            </w:pPr>
            <w:r>
              <w:rPr/>
              <w:t> </w:t>
            </w:r>
          </w:p>
        </w:tc>
      </w:tr>
      <w:tr>
        <w:trPr/>
        <w:tc>
          <w:tcPr>
            <w:tcW w:w="7483" w:type="dxa"/>
            <w:tcBorders/>
            <w:vAlign w:val="center"/>
          </w:tcPr>
          <w:p>
            <w:pPr>
              <w:pStyle w:val="TableContents"/>
              <w:bidi w:val="0"/>
              <w:spacing w:before="0" w:after="0"/>
              <w:jc w:val="left"/>
              <w:rPr/>
            </w:pPr>
            <w:r>
              <w:rPr/>
              <w:t> </w:t>
            </w:r>
            <w:r>
              <w:rPr>
                <w:rFonts w:ascii="arial" w:hAnsi="arial"/>
                <w:sz w:val="18"/>
              </w:rPr>
              <w:t>-  Grant Date Fair Value of Option Awards and Stock Awards Granted in Fiscal Year</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(6,329,742)</w:t>
            </w:r>
          </w:p>
        </w:tc>
        <w:tc>
          <w:tcPr>
            <w:tcW w:w="60" w:type="dxa"/>
            <w:tcBorders/>
            <w:vAlign w:val="center"/>
          </w:tcPr>
          <w:p>
            <w:pPr>
              <w:pStyle w:val="TableContents"/>
              <w:bidi w:val="0"/>
              <w:spacing w:before="0" w:after="283"/>
              <w:jc w:val="left"/>
              <w:rPr/>
            </w:pPr>
            <w:r>
              <w:rPr/>
              <w:t> </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(6,075,708)</w:t>
            </w:r>
          </w:p>
        </w:tc>
        <w:tc>
          <w:tcPr>
            <w:tcW w:w="76" w:type="dxa"/>
            <w:tcBorders/>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0"/>
              <w:jc w:val="left"/>
              <w:rPr/>
            </w:pPr>
            <w:r>
              <w:rPr/>
              <w:t> </w:t>
            </w:r>
            <w:r>
              <w:rPr>
                <w:rFonts w:ascii="arial" w:hAnsi="arial"/>
                <w:sz w:val="18"/>
              </w:rPr>
              <w:t xml:space="preserve">+  Fair Value at Fiscal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of Outstanding and Unvested Option Awards and Stock Awards Granted in Fiscal Year</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6,986,635</w:t>
            </w:r>
          </w:p>
        </w:tc>
        <w:tc>
          <w:tcPr>
            <w:tcW w:w="60" w:type="dxa"/>
            <w:tcBorders/>
            <w:shd w:fill="E5E5E5" w:val="clear"/>
            <w:vAlign w:val="center"/>
          </w:tcPr>
          <w:p>
            <w:pPr>
              <w:pStyle w:val="TableContents"/>
              <w:bidi w:val="0"/>
              <w:spacing w:before="0" w:after="283"/>
              <w:jc w:val="left"/>
              <w:rPr/>
            </w:pPr>
            <w:r>
              <w:rPr/>
              <w:t> </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7,012,617</w:t>
            </w:r>
          </w:p>
        </w:tc>
        <w:tc>
          <w:tcPr>
            <w:tcW w:w="76" w:type="dxa"/>
            <w:tcBorders/>
            <w:shd w:fill="E5E5E5" w:val="clear"/>
            <w:vAlign w:val="center"/>
          </w:tcPr>
          <w:p>
            <w:pPr>
              <w:pStyle w:val="TableContents"/>
              <w:bidi w:val="0"/>
              <w:spacing w:before="0" w:after="283"/>
              <w:jc w:val="left"/>
              <w:rPr/>
            </w:pPr>
            <w:r>
              <w:rPr/>
              <w:t> </w:t>
            </w:r>
          </w:p>
        </w:tc>
      </w:tr>
      <w:tr>
        <w:trPr/>
        <w:tc>
          <w:tcPr>
            <w:tcW w:w="7483" w:type="dxa"/>
            <w:tcBorders/>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tcMar>
              <w:left w:w="28" w:type="dxa"/>
            </w:tcMar>
            <w:vAlign w:val="center"/>
          </w:tcPr>
          <w:p>
            <w:pPr>
              <w:pStyle w:val="TableContents"/>
              <w:bidi w:val="0"/>
              <w:spacing w:before="0" w:after="283"/>
              <w:jc w:val="left"/>
              <w:rPr/>
            </w:pPr>
            <w:r>
              <w:rPr/>
              <w:t> </w:t>
            </w:r>
          </w:p>
        </w:tc>
      </w:tr>
      <w:tr>
        <w:trPr/>
        <w:tc>
          <w:tcPr>
            <w:tcW w:w="7483" w:type="dxa"/>
            <w:tcBorders/>
            <w:vAlign w:val="center"/>
          </w:tcPr>
          <w:p>
            <w:pPr>
              <w:pStyle w:val="TableContents"/>
              <w:bidi w:val="0"/>
              <w:spacing w:before="0" w:after="0"/>
              <w:jc w:val="left"/>
              <w:rPr/>
            </w:pPr>
            <w:r>
              <w:rPr/>
              <w:t> </w:t>
            </w:r>
            <w:r>
              <w:rPr>
                <w:rFonts w:ascii="arial" w:hAnsi="arial"/>
                <w:sz w:val="18"/>
              </w:rPr>
              <w:t>+  Change in Fair Value of Outstanding and Unvested Option Awards and Stock Awards Granted in Prior Fiscal Years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(701,188)</w:t>
            </w:r>
          </w:p>
        </w:tc>
        <w:tc>
          <w:tcPr>
            <w:tcW w:w="60" w:type="dxa"/>
            <w:tcBorders/>
            <w:vAlign w:val="center"/>
          </w:tcPr>
          <w:p>
            <w:pPr>
              <w:pStyle w:val="TableContents"/>
              <w:bidi w:val="0"/>
              <w:spacing w:before="0" w:after="283"/>
              <w:jc w:val="left"/>
              <w:rPr/>
            </w:pPr>
            <w:r>
              <w:rPr/>
              <w:t> </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(3,230,120)</w:t>
            </w:r>
          </w:p>
        </w:tc>
        <w:tc>
          <w:tcPr>
            <w:tcW w:w="76" w:type="dxa"/>
            <w:tcBorders/>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0"/>
              <w:jc w:val="left"/>
              <w:rPr/>
            </w:pPr>
            <w:r>
              <w:rPr/>
              <w:t> </w:t>
            </w:r>
            <w:r>
              <w:rPr>
                <w:rFonts w:ascii="arial" w:hAnsi="arial"/>
                <w:sz w:val="18"/>
              </w:rPr>
              <w:t>+  Fair Value at Vesting of Option Awards and Stock Awards Granted in Fiscal Year That Vested During Fiscal Year</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w:t>
            </w:r>
          </w:p>
        </w:tc>
        <w:tc>
          <w:tcPr>
            <w:tcW w:w="76" w:type="dxa"/>
            <w:tcBorders/>
            <w:shd w:fill="E5E5E5" w:val="clear"/>
            <w:vAlign w:val="center"/>
          </w:tcPr>
          <w:p>
            <w:pPr>
              <w:pStyle w:val="TableContents"/>
              <w:bidi w:val="0"/>
              <w:spacing w:before="0" w:after="283"/>
              <w:jc w:val="left"/>
              <w:rPr/>
            </w:pPr>
            <w:r>
              <w:rPr/>
              <w:t> </w:t>
            </w:r>
          </w:p>
        </w:tc>
      </w:tr>
      <w:tr>
        <w:trPr/>
        <w:tc>
          <w:tcPr>
            <w:tcW w:w="7483" w:type="dxa"/>
            <w:tcBorders/>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tcMar>
              <w:left w:w="28" w:type="dxa"/>
            </w:tcMar>
            <w:vAlign w:val="center"/>
          </w:tcPr>
          <w:p>
            <w:pPr>
              <w:pStyle w:val="TableContents"/>
              <w:bidi w:val="0"/>
              <w:spacing w:before="0" w:after="283"/>
              <w:jc w:val="left"/>
              <w:rPr/>
            </w:pPr>
            <w:r>
              <w:rPr/>
              <w:t> </w:t>
            </w:r>
          </w:p>
        </w:tc>
      </w:tr>
      <w:tr>
        <w:trPr/>
        <w:tc>
          <w:tcPr>
            <w:tcW w:w="7483" w:type="dxa"/>
            <w:tcBorders/>
            <w:vAlign w:val="center"/>
          </w:tcPr>
          <w:p>
            <w:pPr>
              <w:pStyle w:val="TableContents"/>
              <w:bidi w:val="0"/>
              <w:spacing w:before="0" w:after="0"/>
              <w:jc w:val="left"/>
              <w:rPr/>
            </w:pPr>
            <w:r>
              <w:rPr/>
              <w:t> </w:t>
            </w:r>
            <w:r>
              <w:rPr>
                <w:rFonts w:ascii="arial" w:hAnsi="arial"/>
                <w:sz w:val="18"/>
              </w:rPr>
              <w:t>+  Change in Fair Value as of Vesting Date of Option Awards and Stock Awards Granted in Prior Fiscal Years for Which Applicable Vesting Conditions Were Satisfied During Fiscal Year</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(112,616)</w:t>
            </w:r>
          </w:p>
        </w:tc>
        <w:tc>
          <w:tcPr>
            <w:tcW w:w="60" w:type="dxa"/>
            <w:tcBorders/>
            <w:vAlign w:val="center"/>
          </w:tcPr>
          <w:p>
            <w:pPr>
              <w:pStyle w:val="TableContents"/>
              <w:bidi w:val="0"/>
              <w:spacing w:before="0" w:after="283"/>
              <w:jc w:val="left"/>
              <w:rPr/>
            </w:pPr>
            <w:r>
              <w:rPr/>
              <w:t> </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(456,028)</w:t>
            </w:r>
          </w:p>
        </w:tc>
        <w:tc>
          <w:tcPr>
            <w:tcW w:w="76" w:type="dxa"/>
            <w:tcBorders/>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0"/>
              <w:jc w:val="left"/>
              <w:rPr/>
            </w:pPr>
            <w:r>
              <w:rPr/>
              <w:t> </w:t>
            </w:r>
            <w:r>
              <w:rPr>
                <w:rFonts w:ascii="arial" w:hAnsi="arial"/>
                <w:sz w:val="18"/>
              </w:rPr>
              <w:t xml:space="preserve">-  Fair Value as of Prior Fiscal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of Option Awards and Stock Awards Granted in Prior Fiscal Years That Failed to Meet Applicable Vesting Conditions During Fiscal Year</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w:t>
            </w:r>
          </w:p>
        </w:tc>
        <w:tc>
          <w:tcPr>
            <w:tcW w:w="60" w:type="dxa"/>
            <w:tcBorders/>
            <w:shd w:fill="E5E5E5" w:val="clear"/>
            <w:vAlign w:val="center"/>
          </w:tcPr>
          <w:p>
            <w:pPr>
              <w:pStyle w:val="TableContents"/>
              <w:bidi w:val="0"/>
              <w:spacing w:before="0" w:after="283"/>
              <w:jc w:val="left"/>
              <w:rPr/>
            </w:pPr>
            <w:r>
              <w:rPr/>
              <w:t> </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w:t>
            </w:r>
          </w:p>
        </w:tc>
        <w:tc>
          <w:tcPr>
            <w:tcW w:w="76" w:type="dxa"/>
            <w:tcBorders/>
            <w:shd w:fill="E5E5E5" w:val="clear"/>
            <w:vAlign w:val="center"/>
          </w:tcPr>
          <w:p>
            <w:pPr>
              <w:pStyle w:val="TableContents"/>
              <w:bidi w:val="0"/>
              <w:spacing w:before="0" w:after="283"/>
              <w:jc w:val="left"/>
              <w:rPr/>
            </w:pPr>
            <w:r>
              <w:rPr/>
              <w:t> </w:t>
            </w:r>
          </w:p>
        </w:tc>
      </w:tr>
      <w:tr>
        <w:trPr/>
        <w:tc>
          <w:tcPr>
            <w:tcW w:w="7483" w:type="dxa"/>
            <w:tcBorders/>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tcMar>
              <w:left w:w="28" w:type="dxa"/>
            </w:tcMar>
            <w:vAlign w:val="center"/>
          </w:tcPr>
          <w:p>
            <w:pPr>
              <w:pStyle w:val="TableContents"/>
              <w:bidi w:val="0"/>
              <w:spacing w:before="0" w:after="283"/>
              <w:jc w:val="left"/>
              <w:rPr/>
            </w:pPr>
            <w:r>
              <w:rPr/>
              <w:t> </w:t>
            </w:r>
          </w:p>
        </w:tc>
      </w:tr>
      <w:tr>
        <w:trPr/>
        <w:tc>
          <w:tcPr>
            <w:tcW w:w="7483" w:type="dxa"/>
            <w:tcBorders/>
            <w:vAlign w:val="center"/>
          </w:tcPr>
          <w:p>
            <w:pPr>
              <w:pStyle w:val="TableContents"/>
              <w:bidi w:val="0"/>
              <w:spacing w:before="0" w:after="0"/>
              <w:jc w:val="left"/>
              <w:rPr/>
            </w:pPr>
            <w:r>
              <w:rPr/>
              <w:t> </w:t>
            </w:r>
            <w:r>
              <w:rPr>
                <w:rFonts w:ascii="arial" w:hAnsi="arial"/>
                <w:sz w:val="18"/>
              </w:rPr>
              <w:t>+  Value of Dividends or Other Earnings Paid on Option Awards or Stock Awards in the Fiscal Year That Are Not Included in the Total Compensation for the Fiscal Year</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283"/>
              <w:jc w:val="left"/>
              <w:rPr>
                <w:sz w:val="4"/>
                <w:szCs w:val="4"/>
              </w:rPr>
            </w:pPr>
            <w:r>
              <w:rPr>
                <w:sz w:val="4"/>
                <w:szCs w:val="4"/>
              </w:rPr>
            </w:r>
          </w:p>
        </w:tc>
        <w:tc>
          <w:tcPr>
            <w:tcW w:w="1353"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369" w:type="dxa"/>
            <w:gridSpan w:val="4"/>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483" w:type="dxa"/>
            <w:tcBorders/>
            <w:shd w:fill="E5E5E5" w:val="clear"/>
            <w:vAlign w:val="center"/>
          </w:tcPr>
          <w:p>
            <w:pPr>
              <w:pStyle w:val="TableContents"/>
              <w:bidi w:val="0"/>
              <w:spacing w:before="0" w:after="0"/>
              <w:jc w:val="left"/>
              <w:rPr>
                <w:rFonts w:ascii="arial" w:hAnsi="arial"/>
                <w:b/>
                <w:sz w:val="18"/>
              </w:rPr>
            </w:pPr>
            <w:r>
              <w:rPr>
                <w:rFonts w:ascii="arial" w:hAnsi="arial"/>
                <w:b/>
                <w:sz w:val="18"/>
              </w:rPr>
              <w:t>Compensation“Actually Paid”</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$8,323,779</w:t>
            </w:r>
          </w:p>
        </w:tc>
        <w:tc>
          <w:tcPr>
            <w:tcW w:w="60" w:type="dxa"/>
            <w:tcBorders/>
            <w:shd w:fill="E5E5E5" w:val="clear"/>
            <w:vAlign w:val="center"/>
          </w:tcPr>
          <w:p>
            <w:pPr>
              <w:pStyle w:val="TableContents"/>
              <w:bidi w:val="0"/>
              <w:spacing w:before="0" w:after="283"/>
              <w:jc w:val="left"/>
              <w:rPr/>
            </w:pPr>
            <w:r>
              <w:rPr/>
              <w:t> </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13" w:type="dxa"/>
            <w:tcBorders/>
            <w:shd w:fill="E5E5E5" w:val="clear"/>
            <w:vAlign w:val="center"/>
          </w:tcPr>
          <w:p>
            <w:pPr>
              <w:pStyle w:val="TableContents"/>
              <w:bidi w:val="0"/>
              <w:spacing w:before="0" w:after="283"/>
              <w:jc w:val="right"/>
              <w:rPr/>
            </w:pPr>
            <w:r>
              <w:rPr/>
              <w:t>$5,781,290</w:t>
            </w:r>
          </w:p>
        </w:tc>
        <w:tc>
          <w:tcPr>
            <w:tcW w:w="76" w:type="dxa"/>
            <w:tcBorders/>
            <w:shd w:fill="E5E5E5"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40"/>
        <w:gridCol w:w="60"/>
        <w:gridCol w:w="60"/>
        <w:gridCol w:w="140"/>
        <w:gridCol w:w="1055"/>
        <w:gridCol w:w="95"/>
        <w:gridCol w:w="60"/>
        <w:gridCol w:w="60"/>
        <w:gridCol w:w="140"/>
        <w:gridCol w:w="1055"/>
        <w:gridCol w:w="95"/>
        <w:gridCol w:w="60"/>
        <w:gridCol w:w="60"/>
        <w:gridCol w:w="140"/>
        <w:gridCol w:w="1055"/>
        <w:gridCol w:w="95"/>
        <w:gridCol w:w="60"/>
        <w:gridCol w:w="60"/>
        <w:gridCol w:w="140"/>
        <w:gridCol w:w="1055"/>
        <w:gridCol w:w="95"/>
        <w:gridCol w:w="60"/>
        <w:gridCol w:w="60"/>
        <w:gridCol w:w="140"/>
        <w:gridCol w:w="1055"/>
        <w:gridCol w:w="110"/>
      </w:tblGrid>
      <w:tr>
        <w:trPr/>
        <w:tc>
          <w:tcPr>
            <w:tcW w:w="3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3140" w:type="dxa"/>
            <w:tcBorders/>
            <w:shd w:fill="666666" w:val="clear"/>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666666" w:val="clear"/>
            <w:tcMar>
              <w:left w:w="28" w:type="dxa"/>
            </w:tcMar>
            <w:vAlign w:val="center"/>
          </w:tcPr>
          <w:p>
            <w:pPr>
              <w:pStyle w:val="TableContents"/>
              <w:bidi w:val="0"/>
              <w:spacing w:before="0" w:after="283"/>
              <w:jc w:val="left"/>
              <w:rPr/>
            </w:pPr>
            <w:r>
              <w:rPr/>
              <w:t> </w:t>
            </w:r>
          </w:p>
        </w:tc>
      </w:tr>
      <w:tr>
        <w:trPr/>
        <w:tc>
          <w:tcPr>
            <w:tcW w:w="3140" w:type="dxa"/>
            <w:tcBorders/>
            <w:shd w:fill="666666" w:val="clear"/>
            <w:vAlign w:val="center"/>
          </w:tcPr>
          <w:p>
            <w:pPr>
              <w:pStyle w:val="TableContents"/>
              <w:bidi w:val="0"/>
              <w:spacing w:before="0" w:after="0"/>
              <w:jc w:val="left"/>
              <w:rPr>
                <w:color w:val="FFFFFF"/>
                <w:spacing w:val="0"/>
              </w:rPr>
            </w:pPr>
            <w:r>
              <w:rPr>
                <w:color w:val="FFFFFF"/>
                <w:spacing w:val="0"/>
              </w:rPr>
              <w:t> </w:t>
            </w:r>
            <w:r>
              <w:rPr>
                <w:b/>
                <w:color w:val="FFFFFF"/>
                <w:spacing w:val="0"/>
              </w:rPr>
              <w:t>Non-CEO</w:t>
            </w:r>
          </w:p>
          <w:p>
            <w:pPr>
              <w:pStyle w:val="TableContents"/>
              <w:bidi w:val="0"/>
              <w:spacing w:before="0" w:after="0"/>
              <w:jc w:val="left"/>
              <w:rPr>
                <w:b/>
                <w:color w:val="FFFFFF"/>
                <w:spacing w:val="0"/>
              </w:rPr>
            </w:pPr>
            <w:r>
              <w:rPr>
                <w:b/>
                <w:color w:val="FFFFFF"/>
                <w:spacing w:val="0"/>
              </w:rPr>
              <w:t>Named Executive Officers</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50" w:type="dxa"/>
            <w:gridSpan w:val="4"/>
            <w:tcBorders/>
            <w:shd w:fill="666666" w:val="clear"/>
            <w:vAlign w:val="center"/>
          </w:tcPr>
          <w:p>
            <w:pPr>
              <w:pStyle w:val="TableContents"/>
              <w:bidi w:val="0"/>
              <w:spacing w:before="0" w:after="0"/>
              <w:jc w:val="center"/>
              <w:rPr>
                <w:b/>
                <w:color w:val="FFFFFF"/>
                <w:spacing w:val="0"/>
              </w:rPr>
            </w:pPr>
            <w:r>
              <w:rPr>
                <w:b/>
                <w:color w:val="FFFFFF"/>
                <w:spacing w:val="0"/>
              </w:rPr>
              <w:t>2020</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50" w:type="dxa"/>
            <w:gridSpan w:val="4"/>
            <w:tcBorders/>
            <w:shd w:fill="666666" w:val="clear"/>
            <w:vAlign w:val="center"/>
          </w:tcPr>
          <w:p>
            <w:pPr>
              <w:pStyle w:val="TableContents"/>
              <w:bidi w:val="0"/>
              <w:spacing w:before="0" w:after="0"/>
              <w:jc w:val="center"/>
              <w:rPr>
                <w:b/>
                <w:color w:val="FFFFFF"/>
                <w:spacing w:val="0"/>
              </w:rPr>
            </w:pPr>
            <w:r>
              <w:rPr>
                <w:b/>
                <w:color w:val="FFFFFF"/>
                <w:spacing w:val="0"/>
              </w:rPr>
              <w:t>2021</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50" w:type="dxa"/>
            <w:gridSpan w:val="4"/>
            <w:tcBorders/>
            <w:shd w:fill="666666" w:val="clear"/>
            <w:vAlign w:val="center"/>
          </w:tcPr>
          <w:p>
            <w:pPr>
              <w:pStyle w:val="TableContents"/>
              <w:bidi w:val="0"/>
              <w:spacing w:before="0" w:after="0"/>
              <w:jc w:val="center"/>
              <w:rPr>
                <w:b/>
                <w:color w:val="FFFFFF"/>
                <w:spacing w:val="0"/>
              </w:rPr>
            </w:pPr>
            <w:r>
              <w:rPr>
                <w:b/>
                <w:color w:val="FFFFFF"/>
                <w:spacing w:val="0"/>
              </w:rPr>
              <w:t>2022</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50" w:type="dxa"/>
            <w:gridSpan w:val="4"/>
            <w:tcBorders/>
            <w:shd w:fill="666666" w:val="clear"/>
            <w:vAlign w:val="center"/>
          </w:tcPr>
          <w:p>
            <w:pPr>
              <w:pStyle w:val="TableContents"/>
              <w:bidi w:val="0"/>
              <w:spacing w:before="0" w:after="0"/>
              <w:jc w:val="center"/>
              <w:rPr>
                <w:b/>
                <w:color w:val="FFFFFF"/>
                <w:spacing w:val="0"/>
              </w:rPr>
            </w:pPr>
            <w:r>
              <w:rPr>
                <w:b/>
                <w:color w:val="FFFFFF"/>
                <w:spacing w:val="0"/>
              </w:rPr>
              <w:t>2023</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65" w:type="dxa"/>
            <w:gridSpan w:val="4"/>
            <w:tcBorders/>
            <w:shd w:fill="666666" w:val="clear"/>
            <w:vAlign w:val="center"/>
          </w:tcPr>
          <w:p>
            <w:pPr>
              <w:pStyle w:val="TableContents"/>
              <w:bidi w:val="0"/>
              <w:spacing w:before="0" w:after="0"/>
              <w:jc w:val="center"/>
              <w:rPr>
                <w:b/>
                <w:color w:val="FFFFFF"/>
                <w:spacing w:val="0"/>
              </w:rPr>
            </w:pPr>
            <w:r>
              <w:rPr>
                <w:b/>
                <w:color w:val="FFFFFF"/>
                <w:spacing w:val="0"/>
              </w:rPr>
              <w:t>2024</w:t>
            </w:r>
          </w:p>
        </w:tc>
      </w:tr>
      <w:tr>
        <w:trPr/>
        <w:tc>
          <w:tcPr>
            <w:tcW w:w="3140" w:type="dxa"/>
            <w:tcBorders/>
            <w:shd w:fill="E5E5E5" w:val="clear"/>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3140" w:type="dxa"/>
            <w:tcBorders/>
            <w:shd w:fill="E5E5E5" w:val="clear"/>
            <w:vAlign w:val="center"/>
          </w:tcPr>
          <w:p>
            <w:pPr>
              <w:pStyle w:val="TableContents"/>
              <w:bidi w:val="0"/>
              <w:spacing w:before="0" w:after="0"/>
              <w:jc w:val="left"/>
              <w:rPr/>
            </w:pPr>
            <w:r>
              <w:rPr/>
              <w:t> </w:t>
            </w:r>
          </w:p>
          <w:p>
            <w:pPr>
              <w:pStyle w:val="TableContents"/>
              <w:bidi w:val="0"/>
              <w:spacing w:before="0" w:after="0"/>
              <w:jc w:val="left"/>
              <w:rPr>
                <w:rFonts w:ascii="arial" w:hAnsi="arial"/>
                <w:b/>
                <w:spacing w:val="0"/>
                <w:sz w:val="18"/>
              </w:rPr>
            </w:pPr>
            <w:r>
              <w:rPr>
                <w:rFonts w:ascii="arial" w:hAnsi="arial"/>
                <w:b/>
                <w:spacing w:val="0"/>
                <w:sz w:val="18"/>
              </w:rPr>
              <w:t>Summary Compensation Table Total</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3,139,404</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5,527,722</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3,700,352</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3,300,218</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3,164,286</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pPr>
            <w:r>
              <w:rPr/>
              <w:t> </w:t>
            </w:r>
            <w:r>
              <w:rPr>
                <w:rFonts w:ascii="arial" w:hAnsi="arial"/>
                <w:sz w:val="18"/>
              </w:rPr>
              <w:t>-  Grant Date Fair Value of Option Awards and Stock Awards Granted in Fiscal Year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(2,232,879</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(2,625,811</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(1,987,594</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(1,910,430</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(1,620,188</w:t>
            </w:r>
          </w:p>
        </w:tc>
        <w:tc>
          <w:tcPr>
            <w:tcW w:w="110" w:type="dxa"/>
            <w:tcBorders/>
            <w:vAlign w:val="center"/>
          </w:tcPr>
          <w:p>
            <w:pPr>
              <w:pStyle w:val="TableContents"/>
              <w:bidi w:val="0"/>
              <w:spacing w:before="0" w:after="283"/>
              <w:jc w:val="left"/>
              <w:rPr/>
            </w:pPr>
            <w:r>
              <w:rPr/>
              <w:t>)</w:t>
            </w:r>
          </w:p>
        </w:tc>
      </w:tr>
      <w:tr>
        <w:trPr/>
        <w:tc>
          <w:tcPr>
            <w:tcW w:w="3140" w:type="dxa"/>
            <w:tcBorders/>
            <w:shd w:fill="E5E5E5" w:val="clear"/>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3140" w:type="dxa"/>
            <w:tcBorders/>
            <w:shd w:fill="E5E5E5" w:val="clear"/>
            <w:vAlign w:val="center"/>
          </w:tcPr>
          <w:p>
            <w:pPr>
              <w:pStyle w:val="TableContents"/>
              <w:bidi w:val="0"/>
              <w:spacing w:before="0" w:after="0"/>
              <w:jc w:val="left"/>
              <w:rPr/>
            </w:pPr>
            <w:r>
              <w:rPr/>
              <w:t> </w:t>
            </w:r>
            <w:r>
              <w:rPr>
                <w:rFonts w:ascii="arial" w:hAnsi="arial"/>
                <w:sz w:val="18"/>
              </w:rPr>
              <w:t xml:space="preserve">+  Fair Value at Fiscal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of Outstanding and Unvested Option Awards and Stock Awards Granted in Fiscal Year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3,483,075</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1,538,508</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850,287</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1,727,603</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1,519,400</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pPr>
            <w:r>
              <w:rPr/>
              <w:t> </w:t>
            </w:r>
            <w:r>
              <w:rPr>
                <w:rFonts w:ascii="arial" w:hAnsi="arial"/>
                <w:sz w:val="18"/>
              </w:rPr>
              <w:t>+  Change in Fair Value of Outstanding and Unvested Option Awards and Stock Awards Granted in Prior Fiscal Years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(1,373,167</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(182,461</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(155,168</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(239,369</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(738,005</w:t>
            </w:r>
          </w:p>
        </w:tc>
        <w:tc>
          <w:tcPr>
            <w:tcW w:w="110" w:type="dxa"/>
            <w:tcBorders/>
            <w:vAlign w:val="center"/>
          </w:tcPr>
          <w:p>
            <w:pPr>
              <w:pStyle w:val="TableContents"/>
              <w:bidi w:val="0"/>
              <w:spacing w:before="0" w:after="283"/>
              <w:jc w:val="left"/>
              <w:rPr/>
            </w:pPr>
            <w:r>
              <w:rPr/>
              <w:t>)</w:t>
            </w:r>
          </w:p>
        </w:tc>
      </w:tr>
      <w:tr>
        <w:trPr/>
        <w:tc>
          <w:tcPr>
            <w:tcW w:w="3140" w:type="dxa"/>
            <w:tcBorders/>
            <w:shd w:fill="E5E5E5" w:val="clear"/>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3140" w:type="dxa"/>
            <w:tcBorders/>
            <w:shd w:fill="E5E5E5" w:val="clear"/>
            <w:vAlign w:val="center"/>
          </w:tcPr>
          <w:p>
            <w:pPr>
              <w:pStyle w:val="TableContents"/>
              <w:bidi w:val="0"/>
              <w:spacing w:before="0" w:after="0"/>
              <w:jc w:val="left"/>
              <w:rPr/>
            </w:pPr>
            <w:r>
              <w:rPr/>
              <w:t> </w:t>
            </w:r>
            <w:r>
              <w:rPr>
                <w:rFonts w:ascii="arial" w:hAnsi="arial"/>
                <w:sz w:val="18"/>
              </w:rPr>
              <w:t>+  Fair Value at Vesting of Option Awards and Stock Awards Granted in Fiscal Year That Vested During Fiscal Year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pPr>
            <w:r>
              <w:rPr/>
              <w:t> </w:t>
            </w:r>
            <w:r>
              <w:rPr>
                <w:rFonts w:ascii="arial" w:hAnsi="arial"/>
                <w:sz w:val="18"/>
              </w:rPr>
              <w:t>+  Change in Fair Value as of Vesting Date of Option Awards and Stock Awards Granted in Prior Fiscal Years for Which Applicable Vesting Conditions Were Satisfied During Fiscal Year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(1,356,654</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563,197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(268,882</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(215,670</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(208,657</w:t>
            </w:r>
          </w:p>
        </w:tc>
        <w:tc>
          <w:tcPr>
            <w:tcW w:w="110" w:type="dxa"/>
            <w:tcBorders/>
            <w:vAlign w:val="center"/>
          </w:tcPr>
          <w:p>
            <w:pPr>
              <w:pStyle w:val="TableContents"/>
              <w:bidi w:val="0"/>
              <w:spacing w:before="0" w:after="283"/>
              <w:jc w:val="left"/>
              <w:rPr/>
            </w:pPr>
            <w:r>
              <w:rPr/>
              <w:t>)</w:t>
            </w:r>
          </w:p>
        </w:tc>
      </w:tr>
      <w:tr>
        <w:trPr/>
        <w:tc>
          <w:tcPr>
            <w:tcW w:w="3140" w:type="dxa"/>
            <w:tcBorders/>
            <w:shd w:fill="E5E5E5" w:val="clear"/>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3140" w:type="dxa"/>
            <w:tcBorders/>
            <w:shd w:fill="E5E5E5" w:val="clear"/>
            <w:vAlign w:val="center"/>
          </w:tcPr>
          <w:p>
            <w:pPr>
              <w:pStyle w:val="TableContents"/>
              <w:bidi w:val="0"/>
              <w:spacing w:before="0" w:after="0"/>
              <w:jc w:val="left"/>
              <w:rPr/>
            </w:pPr>
            <w:r>
              <w:rPr/>
              <w:t> </w:t>
            </w:r>
            <w:r>
              <w:rPr>
                <w:rFonts w:ascii="arial" w:hAnsi="arial"/>
                <w:sz w:val="18"/>
              </w:rPr>
              <w:t xml:space="preserve">-  Fair Value as of Prior Fiscal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of Option Awards and Stock Awards Granted in Prior Fiscal Years That Failed to Meet Applicable Vesting Conditions During Fiscal Year</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(630,558</w:t>
            </w:r>
          </w:p>
        </w:tc>
        <w:tc>
          <w:tcPr>
            <w:tcW w:w="95" w:type="dxa"/>
            <w:tcBorders/>
            <w:shd w:fill="E5E5E5" w:val="clear"/>
            <w:vAlign w:val="center"/>
          </w:tcPr>
          <w:p>
            <w:pPr>
              <w:pStyle w:val="TableContents"/>
              <w:bidi w:val="0"/>
              <w:spacing w:before="0" w:after="283"/>
              <w:jc w:val="left"/>
              <w:rPr/>
            </w:pPr>
            <w:r>
              <w:rPr/>
              <w: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(285,704</w:t>
            </w:r>
          </w:p>
        </w:tc>
        <w:tc>
          <w:tcPr>
            <w:tcW w:w="95" w:type="dxa"/>
            <w:tcBorders/>
            <w:shd w:fill="E5E5E5" w:val="clear"/>
            <w:vAlign w:val="center"/>
          </w:tcPr>
          <w:p>
            <w:pPr>
              <w:pStyle w:val="TableContents"/>
              <w:bidi w:val="0"/>
              <w:spacing w:before="0" w:after="283"/>
              <w:jc w:val="left"/>
              <w:rPr/>
            </w:pPr>
            <w:r>
              <w:rPr/>
              <w: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(317,870</w:t>
            </w:r>
          </w:p>
        </w:tc>
        <w:tc>
          <w:tcPr>
            <w:tcW w:w="110" w:type="dxa"/>
            <w:tcBorders/>
            <w:shd w:fill="E5E5E5" w:val="clear"/>
            <w:vAlign w:val="center"/>
          </w:tcPr>
          <w:p>
            <w:pPr>
              <w:pStyle w:val="TableContents"/>
              <w:bidi w:val="0"/>
              <w:spacing w:before="0" w:after="283"/>
              <w:jc w:val="left"/>
              <w:rPr/>
            </w:pPr>
            <w:r>
              <w:rPr/>
              <w:t>)</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pPr>
            <w:r>
              <w:rPr/>
              <w:t> </w:t>
            </w:r>
            <w:r>
              <w:rPr>
                <w:rFonts w:ascii="arial" w:hAnsi="arial"/>
                <w:sz w:val="18"/>
              </w:rPr>
              <w:t>+  Value of Dividends or Other Earnings Paid on Option Awards or Stock Awards in the Fiscal Year That Are Not Included in the Total Compensation for the Fiscal Year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sz w:val="4"/>
                <w:szCs w:val="4"/>
              </w:rPr>
            </w:pPr>
            <w:r>
              <w:rPr>
                <w:sz w:val="4"/>
                <w:szCs w:val="4"/>
              </w:rPr>
            </w:r>
          </w:p>
        </w:tc>
      </w:tr>
      <w:tr>
        <w:trPr/>
        <w:tc>
          <w:tcPr>
            <w:tcW w:w="3140" w:type="dxa"/>
            <w:tcBorders/>
            <w:shd w:fill="E5E5E5" w:val="clear"/>
            <w:vAlign w:val="center"/>
          </w:tcPr>
          <w:p>
            <w:pPr>
              <w:pStyle w:val="TableContents"/>
              <w:bidi w:val="0"/>
              <w:spacing w:before="0" w:after="283"/>
              <w:jc w:val="left"/>
              <w:rPr>
                <w:sz w:val="4"/>
                <w:szCs w:val="4"/>
              </w:rPr>
            </w:pPr>
            <w:r>
              <w:rPr>
                <w:sz w:val="4"/>
                <w:szCs w:val="4"/>
              </w:rPr>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10"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425"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3140" w:type="dxa"/>
            <w:tcBorders/>
            <w:shd w:fill="E5E5E5" w:val="clear"/>
            <w:vAlign w:val="center"/>
          </w:tcPr>
          <w:p>
            <w:pPr>
              <w:pStyle w:val="TableContents"/>
              <w:bidi w:val="0"/>
              <w:spacing w:before="0" w:after="0"/>
              <w:jc w:val="left"/>
              <w:rPr/>
            </w:pPr>
            <w:r>
              <w:rPr/>
              <w:t> </w:t>
            </w:r>
          </w:p>
          <w:p>
            <w:pPr>
              <w:pStyle w:val="TableContents"/>
              <w:bidi w:val="0"/>
              <w:spacing w:before="0" w:after="0"/>
              <w:jc w:val="left"/>
              <w:rPr>
                <w:rFonts w:ascii="arial" w:hAnsi="arial"/>
                <w:b/>
                <w:spacing w:val="0"/>
                <w:sz w:val="18"/>
              </w:rPr>
            </w:pPr>
            <w:r>
              <w:rPr>
                <w:rFonts w:ascii="arial" w:hAnsi="arial"/>
                <w:b/>
                <w:spacing w:val="0"/>
                <w:sz w:val="18"/>
              </w:rPr>
              <w:t>Compensation “Actually Paid”</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1,659,779</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4,821,155</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1,508,437</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2,376,649</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1055" w:type="dxa"/>
            <w:tcBorders/>
            <w:shd w:fill="E5E5E5" w:val="clear"/>
            <w:vAlign w:val="center"/>
          </w:tcPr>
          <w:p>
            <w:pPr>
              <w:pStyle w:val="TableContents"/>
              <w:bidi w:val="0"/>
              <w:spacing w:before="0" w:after="283"/>
              <w:jc w:val="right"/>
              <w:rPr/>
            </w:pPr>
            <w:r>
              <w:rPr/>
              <w:t>1,798,965</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(5)</w:t>
            </w:r>
          </w:p>
        </w:tc>
        <w:tc>
          <w:tcPr>
            <w:tcW w:w="9957" w:type="dxa"/>
            <w:tcBorders/>
            <w:vAlign w:val="center"/>
          </w:tcPr>
          <w:p>
            <w:pPr>
              <w:pStyle w:val="TableContents"/>
              <w:bidi w:val="0"/>
              <w:spacing w:before="0" w:after="0"/>
              <w:jc w:val="left"/>
              <w:rPr>
                <w:rFonts w:ascii="arial" w:hAnsi="arial"/>
                <w:sz w:val="18"/>
              </w:rPr>
            </w:pPr>
            <w:r>
              <w:rPr>
                <w:rFonts w:ascii="arial" w:hAnsi="arial"/>
                <w:sz w:val="18"/>
              </w:rPr>
              <w:t xml:space="preserve">Total shareholder return and peer group total shareholder return represent the cumulative total return for our common stock and the Standard &amp; Poor’s Software and Services Index (“S&amp;P 500/Software &amp; Services”), respectively, assuming $100 was invested at the market close on December 31, 2019 in the common stock of Sabre Corporation and in the S&amp;P 500/Software &amp; Services index, as well as reinvestments of dividends. </w:t>
            </w:r>
          </w:p>
        </w:tc>
      </w:tr>
    </w:tbl>
    <w:p>
      <w:pPr>
        <w:pStyle w:val="TextBody"/>
        <w:bidi w:val="0"/>
        <w:spacing w:before="0" w:after="0"/>
        <w:jc w:val="left"/>
        <w:rPr/>
      </w:pPr>
      <w:r>
        <w:rPr/>
        <w:t> </w:t>
      </w:r>
    </w:p>
    <w:tbl>
      <w:tblPr>
        <w:tblW w:w="44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31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260" w:type="dxa"/>
            <w:tcBorders/>
            <w:vAlign w:val="center"/>
          </w:tcPr>
          <w:p>
            <w:pPr>
              <w:pStyle w:val="TableContents"/>
              <w:bidi w:val="0"/>
              <w:spacing w:before="0" w:after="0"/>
              <w:jc w:val="left"/>
              <w:rPr>
                <w:b/>
                <w:color w:val="666666"/>
                <w:spacing w:val="0"/>
              </w:rPr>
            </w:pPr>
            <w:r>
              <w:rPr>
                <w:b/>
                <w:color w:val="666666"/>
                <w:spacing w:val="0"/>
              </w:rPr>
              <w:t>88</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left"/>
              <w:rPr>
                <w:color w:val="CF0A2C"/>
                <w:spacing w:val="0"/>
              </w:rPr>
            </w:pPr>
            <w:r>
              <w:rPr>
                <w:color w:val="CF0A2C"/>
                <w:spacing w:val="0"/>
              </w:rPr>
              <w:drawing>
                <wp:inline distT="0" distB="0" distL="0" distR="0">
                  <wp:extent cx="506095" cy="12255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506095" cy="122555"/>
                          </a:xfrm>
                          <a:prstGeom prst="rect">
                            <a:avLst/>
                          </a:prstGeom>
                        </pic:spPr>
                      </pic:pic>
                    </a:graphicData>
                  </a:graphic>
                </wp:inline>
              </w:drawing>
            </w:r>
            <w:r>
              <w:rPr>
                <w:color w:val="CF0A2C"/>
                <w:spacing w:val="0"/>
              </w:rPr>
              <w:t xml:space="preserve">  </w:t>
            </w:r>
            <w:r>
              <w:rPr>
                <w:b/>
                <w:color w:val="CF0A2C"/>
                <w:spacing w:val="0"/>
              </w:rPr>
              <w:t>Sabre Corporation </w:t>
            </w:r>
          </w:p>
          <w:p>
            <w:pPr>
              <w:pStyle w:val="TableContents"/>
              <w:bidi w:val="0"/>
              <w:spacing w:before="0" w:after="0"/>
              <w:jc w:val="left"/>
              <w:rPr>
                <w:color w:val="CF0A2C"/>
                <w:spacing w:val="0"/>
              </w:rPr>
            </w:pPr>
            <w:r>
              <w:rPr>
                <w:color w:val="CF0A2C"/>
                <w:spacing w:val="0"/>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92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35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PAY-VERSUS-PERFORMANCE TABLE 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(6)</w:t>
            </w:r>
          </w:p>
        </w:tc>
        <w:tc>
          <w:tcPr>
            <w:tcW w:w="9972" w:type="dxa"/>
            <w:tcBorders/>
            <w:vAlign w:val="center"/>
          </w:tcPr>
          <w:p>
            <w:pPr>
              <w:pStyle w:val="TableContents"/>
              <w:bidi w:val="0"/>
              <w:spacing w:before="0" w:after="0"/>
              <w:jc w:val="left"/>
              <w:rPr>
                <w:rFonts w:ascii="arial" w:hAnsi="arial"/>
                <w:sz w:val="18"/>
              </w:rPr>
            </w:pPr>
            <w:r>
              <w:rPr>
                <w:rFonts w:ascii="arial" w:hAnsi="arial"/>
                <w:sz w:val="18"/>
              </w:rPr>
              <w:t xml:space="preserve">Adjusted EBITDA represents, in Sabre’s assessment, the most important financial measure used by Sabre to link compensation actually paid to Sabre’s named executive officers for the most recently completed fiscal year by Sabre. See </w:t>
            </w:r>
          </w:p>
          <w:p>
            <w:pPr>
              <w:pStyle w:val="TableContents"/>
              <w:bidi w:val="0"/>
              <w:spacing w:before="0" w:after="0"/>
              <w:jc w:val="left"/>
              <w:rPr>
                <w:rFonts w:ascii="arial" w:hAnsi="arial"/>
                <w:spacing w:val="0"/>
                <w:sz w:val="18"/>
                <w:u w:val="single"/>
              </w:rPr>
            </w:pPr>
            <w:r>
              <w:rPr>
                <w:rFonts w:ascii="arial" w:hAnsi="arial"/>
                <w:spacing w:val="0"/>
                <w:sz w:val="18"/>
                <w:u w:val="single"/>
              </w:rPr>
              <w:t>Appendix B</w:t>
            </w:r>
          </w:p>
          <w:p>
            <w:pPr>
              <w:pStyle w:val="TableContents"/>
              <w:bidi w:val="0"/>
              <w:spacing w:before="0" w:after="0"/>
              <w:jc w:val="left"/>
              <w:rPr>
                <w:rFonts w:ascii="arial" w:hAnsi="arial"/>
                <w:sz w:val="18"/>
              </w:rPr>
            </w:pPr>
            <w:r>
              <w:rPr>
                <w:rFonts w:ascii="arial" w:hAnsi="arial"/>
                <w:sz w:val="18"/>
              </w:rPr>
              <w:t xml:space="preserve">for additional information on Adjusted EBITDA, including a </w:t>
            </w:r>
          </w:p>
          <w:p>
            <w:pPr>
              <w:pStyle w:val="TableContents"/>
              <w:bidi w:val="0"/>
              <w:spacing w:before="0" w:after="0"/>
              <w:jc w:val="left"/>
              <w:rPr>
                <w:rFonts w:ascii="arial" w:hAnsi="arial"/>
                <w:spacing w:val="0"/>
                <w:sz w:val="18"/>
              </w:rPr>
            </w:pPr>
            <w:r>
              <w:rPr>
                <w:rFonts w:ascii="arial" w:hAnsi="arial"/>
                <w:spacing w:val="0"/>
                <w:sz w:val="18"/>
              </w:rPr>
              <w:t>non-GAAP</w:t>
            </w:r>
          </w:p>
          <w:p>
            <w:pPr>
              <w:pStyle w:val="TableContents"/>
              <w:bidi w:val="0"/>
              <w:spacing w:before="0" w:after="0"/>
              <w:jc w:val="left"/>
              <w:rPr>
                <w:rFonts w:ascii="arial" w:hAnsi="arial"/>
                <w:sz w:val="18"/>
              </w:rPr>
            </w:pPr>
            <w:r>
              <w:rPr>
                <w:rFonts w:ascii="arial" w:hAnsi="arial"/>
                <w:sz w:val="18"/>
              </w:rPr>
              <w:t xml:space="preserve">to GAAP reconciliation. For 2024, Adjusted 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net, acquisition-related costs, litigation costs, net, indirect tax matters, stock-based compensation and the (benefit) provision for income taxes. For 2023, Adjusted 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net, acquisition-related costs, litigation costs, net, stock-based compensation and the remaining provision (benefit) for income taxes. For 2022, Adjusted 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provision (benefit) for income taxes. For 2021, Adjusted EBITDA was defined as (Loss) Income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(benefit) provision for income taxes; the calculation of Adjusted EBITDA was to no longer exclude the amortization of upfront incentive consideration in all periods presented. For 2020, Adjusted EBITDA was defined as (Loss) Income from continuing operations adjusted for depreciation and amortization of property and equipment, amortization of capitalized implementation costs, acquisition-related amortization, impairment and related charges, restructuring and other costs, amortization of upfront incentive consideration, interest expense, net, other, net, loss on extinguishment of debt, acquisition-related costs, litigation costs, net, stock-based compensation and the remaining provision for income taxes. </w:t>
            </w:r>
          </w:p>
        </w:tc>
      </w:tr>
    </w:tbl>
    <w:p>
      <w:pPr>
        <w:pStyle w:val="TextBody"/>
        <w:bidi w:val="0"/>
        <w:spacing w:before="0" w:after="0"/>
        <w:jc w:val="left"/>
        <w:rPr/>
      </w:pPr>
      <w:r>
        <w:rPr/>
        <w:t> </w:t>
      </w:r>
    </w:p>
    <w:tbl>
      <w:tblPr>
        <w:tblW w:w="44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31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right"/>
              <w:rPr>
                <w:color w:val="CF0A2C"/>
                <w:spacing w:val="0"/>
              </w:rPr>
            </w:pPr>
            <w:r>
              <w:rPr>
                <w:color w:val="CF0A2C"/>
                <w:spacing w:val="0"/>
              </w:rPr>
              <w:drawing>
                <wp:inline distT="0" distB="0" distL="0" distR="0">
                  <wp:extent cx="506095" cy="12255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506095" cy="122555"/>
                          </a:xfrm>
                          <a:prstGeom prst="rect">
                            <a:avLst/>
                          </a:prstGeom>
                        </pic:spPr>
                      </pic:pic>
                    </a:graphicData>
                  </a:graphic>
                </wp:inline>
              </w:drawing>
            </w:r>
            <w:r>
              <w:rPr>
                <w:color w:val="CF0A2C"/>
                <w:spacing w:val="0"/>
              </w:rPr>
              <w:t xml:space="preserve">  </w:t>
            </w:r>
            <w:r>
              <w:rPr>
                <w:b/>
                <w:color w:val="CF0A2C"/>
                <w:spacing w:val="0"/>
              </w:rPr>
              <w:t>Sabre Corporation </w:t>
            </w:r>
          </w:p>
          <w:p>
            <w:pPr>
              <w:pStyle w:val="TableContents"/>
              <w:bidi w:val="0"/>
              <w:spacing w:before="0" w:after="0"/>
              <w:jc w:val="right"/>
              <w:rPr>
                <w:color w:val="CF0A2C"/>
                <w:spacing w:val="0"/>
              </w:rPr>
            </w:pPr>
            <w:r>
              <w:rPr>
                <w:color w:val="CF0A2C"/>
                <w:spacing w:val="0"/>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260" w:type="dxa"/>
            <w:tcBorders/>
            <w:vAlign w:val="center"/>
          </w:tcPr>
          <w:p>
            <w:pPr>
              <w:pStyle w:val="TableContents"/>
              <w:bidi w:val="0"/>
              <w:spacing w:before="0" w:after="0"/>
              <w:jc w:val="right"/>
              <w:rPr>
                <w:b/>
                <w:color w:val="666666"/>
                <w:spacing w:val="0"/>
              </w:rPr>
            </w:pPr>
            <w:r>
              <w:rPr>
                <w:b/>
                <w:color w:val="666666"/>
                <w:spacing w:val="0"/>
              </w:rPr>
              <w:t>89</w:t>
            </w:r>
          </w:p>
        </w:tc>
        <w:tc>
          <w:tcPr>
            <w:tcW w:w="75" w:type="dxa"/>
            <w:tcBorders/>
            <w:vAlign w:val="center"/>
          </w:tcPr>
          <w:p>
            <w:pPr>
              <w:pStyle w:val="TableContents"/>
              <w:bidi w:val="0"/>
              <w:spacing w:before="0" w:after="0"/>
              <w:jc w:val="left"/>
              <w:rPr>
                <w:color w:val="666666"/>
                <w:spacing w:val="0"/>
              </w:rPr>
            </w:pPr>
            <w:r>
              <w:rPr>
                <w:color w:val="666666"/>
                <w:spacing w:val="0"/>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922" w:type="dxa"/>
        <w:jc w:val="left"/>
        <w:tblInd w:w="0" w:type="dxa"/>
        <w:tblLayout w:type="fixed"/>
        <w:tblCellMar>
          <w:top w:w="0" w:type="dxa"/>
          <w:left w:w="0" w:type="dxa"/>
          <w:bottom w:w="0" w:type="dxa"/>
          <w:right w:w="0" w:type="dxa"/>
        </w:tblCellMar>
      </w:tblPr>
      <w:tblGrid>
        <w:gridCol w:w="3575"/>
        <w:gridCol w:w="60"/>
        <w:gridCol w:w="23"/>
        <w:gridCol w:w="60"/>
        <w:gridCol w:w="23"/>
        <w:gridCol w:w="60"/>
        <w:gridCol w:w="23"/>
        <w:gridCol w:w="60"/>
        <w:gridCol w:w="38"/>
      </w:tblGrid>
      <w:tr>
        <w:trPr/>
        <w:tc>
          <w:tcPr>
            <w:tcW w:w="3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57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spacing w:val="0"/>
              </w:rPr>
            </w:pPr>
            <w:r>
              <w:rPr>
                <w:color w:val="FFFFFF"/>
                <w:spacing w:val="0"/>
              </w:rPr>
              <w:t> </w:t>
            </w:r>
            <w:r>
              <w:rPr>
                <w:rFonts w:ascii="arial" w:hAnsi="arial"/>
                <w:b/>
                <w:color w:val="FFFFFF"/>
                <w:spacing w:val="0"/>
                <w:sz w:val="18"/>
              </w:rPr>
              <w:t>PAY-VERSUS-PERFORMANCE TABLE 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The following chart reflects the relationship over each of the years in the </w:t>
      </w:r>
    </w:p>
    <w:p>
      <w:pPr>
        <w:pStyle w:val="TextBody"/>
        <w:bidi w:val="0"/>
        <w:spacing w:before="0" w:after="0"/>
        <w:jc w:val="left"/>
        <w:rPr>
          <w:rFonts w:ascii="arial" w:hAnsi="arial"/>
          <w:spacing w:val="0"/>
          <w:sz w:val="22"/>
        </w:rPr>
      </w:pPr>
      <w:r>
        <w:rPr>
          <w:rFonts w:ascii="arial" w:hAnsi="arial"/>
          <w:spacing w:val="0"/>
          <w:sz w:val="22"/>
        </w:rPr>
        <w:t>pay-versus-performance</w:t>
      </w:r>
    </w:p>
    <w:p>
      <w:pPr>
        <w:pStyle w:val="TextBody"/>
        <w:bidi w:val="0"/>
        <w:spacing w:before="0" w:after="0"/>
        <w:jc w:val="left"/>
        <w:rPr>
          <w:rFonts w:ascii="arial" w:hAnsi="arial"/>
          <w:sz w:val="22"/>
        </w:rPr>
      </w:pPr>
      <w:r>
        <w:rPr>
          <w:rFonts w:ascii="arial" w:hAnsi="arial"/>
          <w:sz w:val="22"/>
        </w:rPr>
        <w:t xml:space="preserve">table between the compensation “actually paid” to the CEO and the average compensation “actually paid” to the </w:t>
      </w:r>
    </w:p>
    <w:p>
      <w:pPr>
        <w:pStyle w:val="TextBody"/>
        <w:bidi w:val="0"/>
        <w:spacing w:before="0" w:after="0"/>
        <w:jc w:val="left"/>
        <w:rPr>
          <w:rFonts w:ascii="arial" w:hAnsi="arial"/>
          <w:spacing w:val="0"/>
          <w:sz w:val="22"/>
        </w:rPr>
      </w:pPr>
      <w:r>
        <w:rPr>
          <w:rFonts w:ascii="arial" w:hAnsi="arial"/>
          <w:spacing w:val="0"/>
          <w:sz w:val="22"/>
        </w:rPr>
        <w:t>non-CEO</w:t>
      </w:r>
    </w:p>
    <w:p>
      <w:pPr>
        <w:pStyle w:val="TextBody"/>
        <w:bidi w:val="0"/>
        <w:spacing w:before="0" w:after="0"/>
        <w:jc w:val="left"/>
        <w:rPr>
          <w:rFonts w:ascii="arial" w:hAnsi="arial"/>
          <w:sz w:val="22"/>
        </w:rPr>
      </w:pPr>
      <w:r>
        <w:rPr>
          <w:rFonts w:ascii="arial" w:hAnsi="arial"/>
          <w:sz w:val="22"/>
        </w:rPr>
        <w:t xml:space="preserve">named executive officers to Sabre’s cumulative total shareholder return, peer group cumulative total shareholder return, net income, and Adjusted EBITDA over each of the years presented in the table.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419354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5778500" cy="4193540"/>
                    </a:xfrm>
                    <a:prstGeom prst="rect">
                      <a:avLst/>
                    </a:prstGeom>
                  </pic:spPr>
                </pic:pic>
              </a:graphicData>
            </a:graphic>
          </wp:inline>
        </w:drawing>
      </w:r>
      <w:r>
        <w:rPr/>
        <w:t xml:space="preserve"> </w:t>
      </w:r>
    </w:p>
    <w:p>
      <w:pPr>
        <w:pStyle w:val="TextBody"/>
        <w:bidi w:val="0"/>
        <w:spacing w:before="240" w:after="0"/>
        <w:jc w:val="left"/>
        <w:rPr>
          <w:rFonts w:ascii="arial" w:hAnsi="arial"/>
          <w:sz w:val="22"/>
        </w:rPr>
      </w:pPr>
      <w:r>
        <w:rPr>
          <w:rFonts w:ascii="arial" w:hAnsi="arial"/>
          <w:sz w:val="22"/>
        </w:rPr>
        <w:t xml:space="preserve">The following financial performance measures represent, in Sabre’s assessment, the most important financial measures Sabre used to link compensation that we actually paid to our named executive officers for 2024: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125"/>
        <w:gridCol w:w="60"/>
        <w:gridCol w:w="1820"/>
      </w:tblGrid>
      <w:tr>
        <w:trPr/>
        <w:tc>
          <w:tcPr>
            <w:tcW w:w="12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w:t>
            </w:r>
          </w:p>
        </w:tc>
      </w:tr>
    </w:tbl>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125"/>
        <w:gridCol w:w="60"/>
        <w:gridCol w:w="1655"/>
      </w:tblGrid>
      <w:tr>
        <w:trPr/>
        <w:tc>
          <w:tcPr>
            <w:tcW w:w="12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left"/>
              <w:rPr>
                <w:rFonts w:ascii="arial" w:hAnsi="arial"/>
                <w:sz w:val="22"/>
              </w:rPr>
            </w:pPr>
            <w:r>
              <w:rPr>
                <w:rFonts w:ascii="arial" w:hAnsi="arial"/>
                <w:sz w:val="22"/>
              </w:rPr>
              <w:t xml:space="preserve">Free Cash Flow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125"/>
        <w:gridCol w:w="60"/>
        <w:gridCol w:w="980"/>
      </w:tblGrid>
      <w:tr>
        <w:trPr/>
        <w:tc>
          <w:tcPr>
            <w:tcW w:w="12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left"/>
              <w:rPr>
                <w:rFonts w:ascii="arial" w:hAnsi="arial"/>
                <w:sz w:val="22"/>
              </w:rPr>
            </w:pPr>
            <w:r>
              <w:rPr>
                <w:rFonts w:ascii="arial" w:hAnsi="arial"/>
                <w:sz w:val="22"/>
              </w:rPr>
              <w:t xml:space="preserve">Revenue </w:t>
            </w:r>
          </w:p>
        </w:tc>
      </w:tr>
    </w:tbl>
    <w:p>
      <w:pPr>
        <w:pStyle w:val="TextBody"/>
        <w:bidi w:val="0"/>
        <w:spacing w:before="120" w:after="0"/>
        <w:jc w:val="left"/>
        <w:rPr>
          <w:rFonts w:ascii="arial" w:hAnsi="arial"/>
          <w:sz w:val="22"/>
        </w:rPr>
      </w:pPr>
      <w:r>
        <w:rPr>
          <w:rFonts w:ascii="arial" w:hAnsi="arial"/>
          <w:sz w:val="22"/>
        </w:rPr>
        <w:t xml:space="preserve">Adjusted EBITDA was the primary financial metric of our 2024 annual incentive, and we consider it to be an important indicator of our overall business performance. Free Cash Flow was the primary financial metric of our 2024 PSU awards, and we consider it to be an important long-term indicator of our ability to operate our business and repay our debt. We consider revenue to be a significant driver of our Adjusted EBITDA and Free Cash Flow. </w:t>
      </w:r>
    </w:p>
    <w:p>
      <w:pPr>
        <w:pStyle w:val="TextBody"/>
        <w:bidi w:val="0"/>
        <w:spacing w:before="120" w:after="0"/>
        <w:jc w:val="left"/>
        <w:rPr>
          <w:rFonts w:ascii="arial" w:hAnsi="arial"/>
          <w:sz w:val="22"/>
        </w:rPr>
      </w:pPr>
      <w:r>
        <w:rPr>
          <w:rFonts w:ascii="arial" w:hAnsi="arial"/>
          <w:sz w:val="22"/>
        </w:rPr>
        <w:t xml:space="preserve">The information in this </w:t>
      </w:r>
    </w:p>
    <w:p>
      <w:pPr>
        <w:pStyle w:val="TextBody"/>
        <w:bidi w:val="0"/>
        <w:spacing w:before="120" w:after="0"/>
        <w:jc w:val="left"/>
        <w:rPr>
          <w:spacing w:val="0"/>
        </w:rPr>
      </w:pPr>
      <w:r>
        <w:rPr>
          <w:spacing w:val="0"/>
        </w:rPr>
        <w:t>“</w:t>
      </w:r>
      <w:r>
        <w:rPr>
          <w:rFonts w:ascii="arial" w:hAnsi="arial"/>
          <w:spacing w:val="0"/>
          <w:sz w:val="22"/>
        </w:rPr>
        <w:t>Pay-Versus-Performance</w:t>
      </w:r>
    </w:p>
    <w:p>
      <w:pPr>
        <w:pStyle w:val="TextBody"/>
        <w:bidi w:val="0"/>
        <w:spacing w:before="120" w:after="0"/>
        <w:jc w:val="left"/>
        <w:rPr>
          <w:rFonts w:ascii="arial" w:hAnsi="arial"/>
          <w:sz w:val="22"/>
        </w:rPr>
      </w:pPr>
      <w:r>
        <w:rPr>
          <w:rFonts w:ascii="arial" w:hAnsi="arial"/>
          <w:sz w:val="22"/>
        </w:rPr>
        <w:t xml:space="preserve">Table” section shall not be deemed to be incorporated by reference into any future filing by us under the Securities Act or the Exchange Act, except to the extent that we specifically incorporate this section by reference in such filing.  </w:t>
      </w:r>
    </w:p>
    <w:p>
      <w:pPr>
        <w:pStyle w:val="TextBody"/>
        <w:bidi w:val="0"/>
        <w:spacing w:before="0" w:after="0"/>
        <w:jc w:val="left"/>
        <w:rPr/>
      </w:pPr>
      <w:r>
        <w:rPr/>
        <w:t> </w:t>
      </w:r>
    </w:p>
    <w:tbl>
      <w:tblPr>
        <w:tblW w:w="44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31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260" w:type="dxa"/>
            <w:tcBorders/>
            <w:vAlign w:val="center"/>
          </w:tcPr>
          <w:p>
            <w:pPr>
              <w:pStyle w:val="TableContents"/>
              <w:bidi w:val="0"/>
              <w:spacing w:before="0" w:after="0"/>
              <w:jc w:val="left"/>
              <w:rPr>
                <w:b/>
                <w:color w:val="666666"/>
                <w:spacing w:val="0"/>
              </w:rPr>
            </w:pPr>
            <w:r>
              <w:rPr>
                <w:b/>
                <w:color w:val="666666"/>
                <w:spacing w:val="0"/>
              </w:rPr>
              <w:t>90</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80" w:type="dxa"/>
            <w:tcBorders/>
            <w:vAlign w:val="center"/>
          </w:tcPr>
          <w:p>
            <w:pPr>
              <w:pStyle w:val="TableContents"/>
              <w:bidi w:val="0"/>
              <w:spacing w:before="0" w:after="0"/>
              <w:jc w:val="right"/>
              <w:rPr>
                <w:color w:val="666666"/>
                <w:spacing w:val="0"/>
                <w:sz w:val="28"/>
              </w:rPr>
            </w:pPr>
            <w:r>
              <w:rPr>
                <w:color w:val="666666"/>
                <w:spacing w:val="0"/>
                <w:sz w:val="28"/>
              </w:rPr>
              <w:t>|</w:t>
            </w:r>
          </w:p>
        </w:tc>
        <w:tc>
          <w:tcPr>
            <w:tcW w:w="60" w:type="dxa"/>
            <w:tcBorders/>
            <w:vAlign w:val="center"/>
          </w:tcPr>
          <w:p>
            <w:pPr>
              <w:pStyle w:val="TableContents"/>
              <w:bidi w:val="0"/>
              <w:spacing w:before="0" w:after="0"/>
              <w:jc w:val="left"/>
              <w:rPr>
                <w:color w:val="666666"/>
                <w:spacing w:val="0"/>
              </w:rPr>
            </w:pPr>
            <w:r>
              <w:rPr>
                <w:color w:val="666666"/>
                <w:spacing w:val="0"/>
              </w:rPr>
              <w:t> </w:t>
            </w:r>
          </w:p>
        </w:tc>
        <w:tc>
          <w:tcPr>
            <w:tcW w:w="6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left"/>
              <w:rPr>
                <w:color w:val="CF0A2C"/>
                <w:spacing w:val="0"/>
              </w:rPr>
            </w:pPr>
            <w:r>
              <w:rPr>
                <w:color w:val="CF0A2C"/>
                <w:spacing w:val="0"/>
              </w:rPr>
              <w:drawing>
                <wp:inline distT="0" distB="0" distL="0" distR="0">
                  <wp:extent cx="506095" cy="12255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506095" cy="122555"/>
                          </a:xfrm>
                          <a:prstGeom prst="rect">
                            <a:avLst/>
                          </a:prstGeom>
                        </pic:spPr>
                      </pic:pic>
                    </a:graphicData>
                  </a:graphic>
                </wp:inline>
              </w:drawing>
            </w:r>
            <w:r>
              <w:rPr>
                <w:color w:val="CF0A2C"/>
                <w:spacing w:val="0"/>
              </w:rPr>
              <w:t xml:space="preserve">  </w:t>
            </w:r>
            <w:r>
              <w:rPr>
                <w:b/>
                <w:color w:val="CF0A2C"/>
                <w:spacing w:val="0"/>
              </w:rPr>
              <w:t>Sabre Corporation </w:t>
            </w:r>
          </w:p>
          <w:p>
            <w:pPr>
              <w:pStyle w:val="TableContents"/>
              <w:bidi w:val="0"/>
              <w:spacing w:before="0" w:after="0"/>
              <w:jc w:val="left"/>
              <w:rPr>
                <w:color w:val="CF0A2C"/>
                <w:spacing w:val="0"/>
              </w:rPr>
            </w:pPr>
            <w:r>
              <w:rPr>
                <w:color w:val="CF0A2C"/>
                <w:spacing w:val="0"/>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72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SECURITY OWNERSHIP OF CERTAIN BENEFICIAL OWNERS AND MANAGEMENT 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65" w:name="tx888712_65"/>
      <w:bookmarkEnd w:id="65"/>
      <w:r>
        <w:rPr>
          <w:rFonts w:ascii="arial" w:hAnsi="arial"/>
          <w:b/>
          <w:color w:val="CF0A2C"/>
          <w:sz w:val="44"/>
        </w:rPr>
        <w:t xml:space="preserve">SECURITY OWNERSHIP OF CERTAIN BENEFICIAL OWNERS AND MANAGEMENT </w:t>
      </w:r>
    </w:p>
    <w:p>
      <w:pPr>
        <w:pStyle w:val="TextBody"/>
        <w:bidi w:val="0"/>
        <w:spacing w:before="240" w:after="0"/>
        <w:jc w:val="left"/>
        <w:rPr>
          <w:rFonts w:ascii="arial" w:hAnsi="arial"/>
          <w:sz w:val="22"/>
        </w:rPr>
      </w:pPr>
      <w:r>
        <w:rPr>
          <w:rFonts w:ascii="arial" w:hAnsi="arial"/>
          <w:sz w:val="22"/>
        </w:rPr>
        <w:t xml:space="preserve">The following table sets forth information regarding the beneficial ownership of our common stock, determined in accordance with the SEC’s rules and regulation, as of December 31, 2024 (except to the extent indicated otherwise in the footnotes) for (1) each person or group who is known by us to own beneficially more than 5% of our outstanding shares, (2) each of our named executive officers, (3) each of the individuals that served as a director during 2024, and (4) all of our executive officers and directors as a group.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100"/>
        <w:gridCol w:w="60"/>
        <w:gridCol w:w="62"/>
        <w:gridCol w:w="62"/>
        <w:gridCol w:w="1148"/>
        <w:gridCol w:w="62"/>
        <w:gridCol w:w="62"/>
        <w:gridCol w:w="75"/>
        <w:gridCol w:w="75"/>
        <w:gridCol w:w="556"/>
        <w:gridCol w:w="348"/>
      </w:tblGrid>
      <w:tr>
        <w:trPr/>
        <w:tc>
          <w:tcPr>
            <w:tcW w:w="7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vMerge w:val="restart"/>
            <w:tcBorders/>
            <w:shd w:fill="666666" w:val="cle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450" w:type="dxa"/>
            <w:gridSpan w:val="9"/>
            <w:tcBorders>
              <w:bottom w:val="single" w:sz="12" w:space="0" w:color="FFFFFF"/>
            </w:tcBorders>
            <w:shd w:fill="666666" w:val="clear"/>
            <w:tcMar>
              <w:bottom w:w="28" w:type="dxa"/>
            </w:tcMar>
            <w:vAlign w:val="center"/>
          </w:tcPr>
          <w:p>
            <w:pPr>
              <w:pStyle w:val="TableContents"/>
              <w:bidi w:val="0"/>
              <w:spacing w:before="0" w:after="283"/>
              <w:jc w:val="center"/>
              <w:rPr>
                <w:b/>
                <w:color w:val="FFFFFF"/>
              </w:rPr>
            </w:pPr>
            <w:r>
              <w:rPr>
                <w:b/>
                <w:color w:val="FFFFFF"/>
              </w:rPr>
              <w:t>Shares of Common</w:t>
              <w:br/>
              <w:t>Stock</w:t>
              <w:br/>
              <w:t>Beneficially Owned(1)</w:t>
            </w:r>
          </w:p>
        </w:tc>
      </w:tr>
      <w:tr>
        <w:trPr/>
        <w:tc>
          <w:tcPr>
            <w:tcW w:w="7100" w:type="dxa"/>
            <w:vMerge w:val="continue"/>
            <w:tcBorders/>
            <w:shd w:fill="666666" w:val="clear"/>
            <w:vAlign w:val="center"/>
          </w:tcPr>
          <w:p>
            <w:pPr>
              <w:pStyle w:val="Normal"/>
              <w:bidi w:val="0"/>
              <w:jc w:val="left"/>
              <w:rPr/>
            </w:pPr>
            <w:r>
              <w:rPr/>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334"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Number </w:t>
            </w:r>
          </w:p>
        </w:tc>
        <w:tc>
          <w:tcPr>
            <w:tcW w:w="62"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54" w:type="dxa"/>
            <w:gridSpan w:val="4"/>
            <w:tcBorders/>
            <w:shd w:fill="666666" w:val="clear"/>
            <w:vAlign w:val="center"/>
          </w:tcPr>
          <w:p>
            <w:pPr>
              <w:pStyle w:val="TableContents"/>
              <w:bidi w:val="0"/>
              <w:spacing w:before="0" w:after="283"/>
              <w:jc w:val="center"/>
              <w:rPr>
                <w:color w:val="FFFFFF"/>
              </w:rPr>
            </w:pPr>
            <w:r>
              <w:rPr>
                <w:color w:val="FFFFFF"/>
              </w:rPr>
              <w:t> </w:t>
            </w:r>
            <w:r>
              <w:rPr>
                <w:b/>
                <w:color w:val="FFFFFF"/>
              </w:rPr>
              <w:t>Percent </w:t>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b/>
                <w:sz w:val="20"/>
              </w:rPr>
              <w:t>5% Stockholders: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1148"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0"/>
              <w:jc w:val="left"/>
              <w:rPr/>
            </w:pPr>
            <w:r>
              <w:rPr/>
              <w:t> </w:t>
            </w:r>
          </w:p>
        </w:tc>
        <w:tc>
          <w:tcPr>
            <w:tcW w:w="556" w:type="dxa"/>
            <w:tcBorders/>
            <w:shd w:fill="E5E5E5" w:val="clear"/>
            <w:vAlign w:val="center"/>
          </w:tcPr>
          <w:p>
            <w:pPr>
              <w:pStyle w:val="TableContents"/>
              <w:bidi w:val="0"/>
              <w:spacing w:before="0" w:after="0"/>
              <w:jc w:val="left"/>
              <w:rPr/>
            </w:pPr>
            <w:r>
              <w:rPr/>
              <w:t> </w:t>
            </w:r>
          </w:p>
        </w:tc>
        <w:tc>
          <w:tcPr>
            <w:tcW w:w="348" w:type="dxa"/>
            <w:tcBorders/>
            <w:shd w:fill="E5E5E5" w:val="clear"/>
            <w:vAlign w:val="center"/>
          </w:tcPr>
          <w:p>
            <w:pPr>
              <w:pStyle w:val="TableContents"/>
              <w:bidi w:val="0"/>
              <w:spacing w:before="0" w:after="0"/>
              <w:jc w:val="left"/>
              <w:rPr/>
            </w:pPr>
            <w:r>
              <w:rPr/>
              <w:t> </w:t>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BlackRock, Inc.(2)</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59,140,514</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15.6</w:t>
            </w:r>
          </w:p>
        </w:tc>
        <w:tc>
          <w:tcPr>
            <w:tcW w:w="348" w:type="dxa"/>
            <w:tcBorders/>
            <w:vAlign w:val="center"/>
          </w:tcPr>
          <w:p>
            <w:pPr>
              <w:pStyle w:val="TableContents"/>
              <w:bidi w:val="0"/>
              <w:spacing w:before="0" w:after="283"/>
              <w:jc w:val="left"/>
              <w:rPr/>
            </w:pPr>
            <w:r>
              <w:rPr/>
              <w:t>%</w:t>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The Vanguard Group(3)</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41,643,643</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11.0</w:t>
            </w:r>
          </w:p>
        </w:tc>
        <w:tc>
          <w:tcPr>
            <w:tcW w:w="348" w:type="dxa"/>
            <w:tcBorders/>
            <w:shd w:fill="E5E5E5" w:val="clear"/>
            <w:vAlign w:val="center"/>
          </w:tcPr>
          <w:p>
            <w:pPr>
              <w:pStyle w:val="TableContents"/>
              <w:bidi w:val="0"/>
              <w:spacing w:before="0" w:after="283"/>
              <w:jc w:val="left"/>
              <w:rPr/>
            </w:pPr>
            <w:r>
              <w:rPr/>
              <w:t>%</w:t>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EARNEST Partners, LLC(4)</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32,461,309</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8.4</w:t>
            </w:r>
          </w:p>
        </w:tc>
        <w:tc>
          <w:tcPr>
            <w:tcW w:w="348" w:type="dxa"/>
            <w:tcBorders/>
            <w:vAlign w:val="center"/>
          </w:tcPr>
          <w:p>
            <w:pPr>
              <w:pStyle w:val="TableContents"/>
              <w:bidi w:val="0"/>
              <w:spacing w:before="0" w:after="283"/>
              <w:jc w:val="left"/>
              <w:rPr/>
            </w:pPr>
            <w:r>
              <w:rPr/>
              <w:t>%</w:t>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Fundsmith LLP(5)</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22,261,537</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5.3</w:t>
            </w:r>
          </w:p>
        </w:tc>
        <w:tc>
          <w:tcPr>
            <w:tcW w:w="348" w:type="dxa"/>
            <w:tcBorders/>
            <w:shd w:fill="E5E5E5" w:val="clear"/>
            <w:vAlign w:val="center"/>
          </w:tcPr>
          <w:p>
            <w:pPr>
              <w:pStyle w:val="TableContents"/>
              <w:bidi w:val="0"/>
              <w:spacing w:before="0" w:after="283"/>
              <w:jc w:val="left"/>
              <w:rPr/>
            </w:pPr>
            <w:r>
              <w:rPr/>
              <w:t>%</w:t>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b/>
                <w:sz w:val="20"/>
              </w:rPr>
              <w:t>Named Executive Officers, Directors and Nominees for Director: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pPr>
            <w:r>
              <w:rPr/>
              <w:t> </w:t>
            </w:r>
          </w:p>
        </w:tc>
        <w:tc>
          <w:tcPr>
            <w:tcW w:w="1148" w:type="dxa"/>
            <w:tcBorders/>
            <w:vAlign w:val="center"/>
          </w:tcPr>
          <w:p>
            <w:pPr>
              <w:pStyle w:val="TableContents"/>
              <w:bidi w:val="0"/>
              <w:spacing w:before="0" w:after="0"/>
              <w:jc w:val="left"/>
              <w:rPr/>
            </w:pPr>
            <w:r>
              <w:rPr/>
              <w:t> </w:t>
            </w:r>
          </w:p>
        </w:tc>
        <w:tc>
          <w:tcPr>
            <w:tcW w:w="62" w:type="dxa"/>
            <w:tcBorders/>
            <w:vAlign w:val="center"/>
          </w:tcPr>
          <w:p>
            <w:pPr>
              <w:pStyle w:val="TableContents"/>
              <w:bidi w:val="0"/>
              <w:spacing w:before="0" w:after="0"/>
              <w:jc w:val="left"/>
              <w:rPr/>
            </w:pPr>
            <w:r>
              <w:rPr/>
              <w:t> </w:t>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556"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0"/>
              <w:jc w:val="left"/>
              <w:rPr/>
            </w:pPr>
            <w:r>
              <w:rPr/>
              <w:t> </w:t>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Kurt Ekert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2,055,605</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Michael Randolfi</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862,730</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Joe DiFonzo</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586,864</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Roshan Mendis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741,890</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Garry Wiseman</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526,065</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Ann Bruder(6)</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481,617</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George Bravante, Jr.(7)</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193,278</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Hervé Couturier</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172,389</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Rachel Gonzalez(8)</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114,519</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Gail Mandel(7)</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152,778</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Phyllis Newhouse</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143,652</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Elaine Paul(8)</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108,108</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Karl Peterson(7)</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134,655</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Zane Rowe(8)</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114,982</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Gregg Saretsky(8)</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154,303</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John Scott(7)</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154,303</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sz w:val="20"/>
              </w:rPr>
              <w:t>Wendi Sturgis(7)</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pPr>
            <w:r>
              <w:rPr/>
              <w:t>143,652</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pPr>
            <w:r>
              <w:rPr/>
              <w:t>*</w:t>
            </w:r>
          </w:p>
        </w:tc>
        <w:tc>
          <w:tcPr>
            <w:tcW w:w="348" w:type="dxa"/>
            <w:tcBorders/>
            <w:shd w:fill="E5E5E5" w:val="clear"/>
            <w:vAlign w:val="center"/>
          </w:tcPr>
          <w:p>
            <w:pPr>
              <w:pStyle w:val="TableContents"/>
              <w:bidi w:val="0"/>
              <w:spacing w:before="0" w:after="283"/>
              <w:jc w:val="left"/>
              <w:rPr>
                <w:sz w:val="4"/>
                <w:szCs w:val="4"/>
              </w:rPr>
            </w:pPr>
            <w:r>
              <w:rPr>
                <w:sz w:val="4"/>
                <w:szCs w:val="4"/>
              </w:rPr>
            </w:r>
          </w:p>
        </w:tc>
      </w:tr>
      <w:tr>
        <w:trPr/>
        <w:tc>
          <w:tcPr>
            <w:tcW w:w="7100" w:type="dxa"/>
            <w:tcBorders/>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tcMar>
              <w:left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0"/>
              <w:jc w:val="left"/>
              <w:rPr/>
            </w:pPr>
            <w:r>
              <w:rPr/>
              <w:t> </w:t>
            </w:r>
            <w:r>
              <w:rPr>
                <w:rFonts w:ascii="arial" w:hAnsi="arial"/>
                <w:sz w:val="20"/>
              </w:rPr>
              <w:t>Ashan Willy(9)</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w:t>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tcMar>
              <w:lef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w:t>
            </w:r>
          </w:p>
        </w:tc>
        <w:tc>
          <w:tcPr>
            <w:tcW w:w="348" w:type="dxa"/>
            <w:tcBorders/>
            <w:vAlign w:val="center"/>
          </w:tcPr>
          <w:p>
            <w:pPr>
              <w:pStyle w:val="TableContents"/>
              <w:bidi w:val="0"/>
              <w:spacing w:before="0" w:after="283"/>
              <w:jc w:val="left"/>
              <w:rPr>
                <w:sz w:val="4"/>
                <w:szCs w:val="4"/>
              </w:rPr>
            </w:pPr>
            <w:r>
              <w:rPr>
                <w:sz w:val="4"/>
                <w:szCs w:val="4"/>
              </w:rPr>
            </w:r>
          </w:p>
        </w:tc>
      </w:tr>
      <w:tr>
        <w:trPr/>
        <w:tc>
          <w:tcPr>
            <w:tcW w:w="7100" w:type="dxa"/>
            <w:tcBorders/>
            <w:shd w:fill="E5E5E5" w:val="clear"/>
            <w:vAlign w:val="center"/>
          </w:tcPr>
          <w:p>
            <w:pPr>
              <w:pStyle w:val="TableContents"/>
              <w:bidi w:val="0"/>
              <w:spacing w:before="0" w:after="283"/>
              <w:jc w:val="left"/>
              <w:rPr>
                <w:sz w:val="4"/>
                <w:szCs w:val="4"/>
              </w:rPr>
            </w:pPr>
            <w:r>
              <w:rPr>
                <w:sz w:val="4"/>
                <w:szCs w:val="4"/>
              </w:rPr>
            </w:r>
          </w:p>
        </w:tc>
        <w:tc>
          <w:tcPr>
            <w:tcW w:w="1394"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1116" w:type="dxa"/>
            <w:gridSpan w:val="5"/>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7100" w:type="dxa"/>
            <w:tcBorders/>
            <w:shd w:fill="E5E5E5" w:val="clear"/>
            <w:vAlign w:val="center"/>
          </w:tcPr>
          <w:p>
            <w:pPr>
              <w:pStyle w:val="TableContents"/>
              <w:bidi w:val="0"/>
              <w:spacing w:before="0" w:after="0"/>
              <w:jc w:val="left"/>
              <w:rPr/>
            </w:pPr>
            <w:r>
              <w:rPr/>
              <w:t> </w:t>
            </w:r>
            <w:r>
              <w:rPr>
                <w:rFonts w:ascii="arial" w:hAnsi="arial"/>
                <w:b/>
                <w:sz w:val="20"/>
              </w:rPr>
              <w:t>All Executive Officers, Directors and Nominees as a group (21 Persons)(10)</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1148" w:type="dxa"/>
            <w:tcBorders/>
            <w:shd w:fill="E5E5E5" w:val="clear"/>
            <w:vAlign w:val="center"/>
          </w:tcPr>
          <w:p>
            <w:pPr>
              <w:pStyle w:val="TableContents"/>
              <w:bidi w:val="0"/>
              <w:spacing w:before="0" w:after="283"/>
              <w:jc w:val="right"/>
              <w:rPr>
                <w:b/>
              </w:rPr>
            </w:pPr>
            <w:r>
              <w:rPr>
                <w:b/>
              </w:rPr>
              <w:t>8,695,808</w:t>
            </w:r>
          </w:p>
        </w:tc>
        <w:tc>
          <w:tcPr>
            <w:tcW w:w="62" w:type="dxa"/>
            <w:tcBorders/>
            <w:shd w:fill="E5E5E5" w:val="clear"/>
            <w:vAlign w:val="center"/>
          </w:tcPr>
          <w:p>
            <w:pPr>
              <w:pStyle w:val="TableContents"/>
              <w:bidi w:val="0"/>
              <w:spacing w:before="0" w:after="283"/>
              <w:jc w:val="left"/>
              <w:rPr>
                <w:sz w:val="4"/>
                <w:szCs w:val="4"/>
              </w:rPr>
            </w:pPr>
            <w:r>
              <w:rPr>
                <w:sz w:val="4"/>
                <w:szCs w:val="4"/>
              </w:rPr>
            </w:r>
          </w:p>
        </w:tc>
        <w:tc>
          <w:tcPr>
            <w:tcW w:w="62"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75" w:type="dxa"/>
            <w:tcBorders/>
            <w:shd w:fill="E5E5E5" w:val="clear"/>
            <w:vAlign w:val="center"/>
          </w:tcPr>
          <w:p>
            <w:pPr>
              <w:pStyle w:val="TableContents"/>
              <w:bidi w:val="0"/>
              <w:spacing w:before="0" w:after="283"/>
              <w:jc w:val="left"/>
              <w:rPr/>
            </w:pPr>
            <w:r>
              <w:rPr/>
              <w:t> </w:t>
            </w:r>
          </w:p>
        </w:tc>
        <w:tc>
          <w:tcPr>
            <w:tcW w:w="556" w:type="dxa"/>
            <w:tcBorders/>
            <w:shd w:fill="E5E5E5" w:val="clear"/>
            <w:vAlign w:val="center"/>
          </w:tcPr>
          <w:p>
            <w:pPr>
              <w:pStyle w:val="TableContents"/>
              <w:bidi w:val="0"/>
              <w:spacing w:before="0" w:after="283"/>
              <w:jc w:val="right"/>
              <w:rPr>
                <w:b/>
              </w:rPr>
            </w:pPr>
            <w:r>
              <w:rPr>
                <w:b/>
              </w:rPr>
              <w:t>2.3</w:t>
            </w:r>
          </w:p>
        </w:tc>
        <w:tc>
          <w:tcPr>
            <w:tcW w:w="348" w:type="dxa"/>
            <w:tcBorders/>
            <w:shd w:fill="E5E5E5" w:val="clear"/>
            <w:vAlign w:val="center"/>
          </w:tcPr>
          <w:p>
            <w:pPr>
              <w:pStyle w:val="TableContents"/>
              <w:bidi w:val="0"/>
              <w:spacing w:before="0" w:after="283"/>
              <w:jc w:val="left"/>
              <w:rPr>
                <w:b/>
              </w:rPr>
            </w:pPr>
            <w:r>
              <w:rPr>
                <w:b/>
              </w:rPr>
              <w:t>%</w:t>
            </w:r>
          </w:p>
        </w:tc>
      </w:tr>
    </w:tbl>
    <w:p>
      <w:pPr>
        <w:pStyle w:val="TextBody"/>
        <w:pBdr>
          <w:bottom w:val="single" w:sz="2" w:space="1" w:color="000000"/>
        </w:pBdr>
        <w:bidi w:val="0"/>
        <w:spacing w:lineRule="atLeast" w:line="160" w:before="0" w:after="40"/>
        <w:jc w:val="left"/>
        <w:rPr/>
      </w:pPr>
      <w:r>
        <w:rPr/>
        <w:t> </w:t>
      </w:r>
    </w:p>
    <w:tbl>
      <w:tblPr>
        <w:tblW w:w="4255" w:type="dxa"/>
        <w:jc w:val="left"/>
        <w:tblInd w:w="0" w:type="dxa"/>
        <w:tblLayout w:type="fixed"/>
        <w:tblCellMar>
          <w:top w:w="0" w:type="dxa"/>
          <w:left w:w="0" w:type="dxa"/>
          <w:bottom w:w="0" w:type="dxa"/>
          <w:right w:w="0" w:type="dxa"/>
        </w:tblCellMar>
      </w:tblPr>
      <w:tblGrid>
        <w:gridCol w:w="155"/>
        <w:gridCol w:w="4100"/>
      </w:tblGrid>
      <w:tr>
        <w:trPr/>
        <w:tc>
          <w:tcPr>
            <w:tcW w:w="155"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0"/>
              <w:jc w:val="left"/>
              <w:rPr>
                <w:rFonts w:ascii="arial" w:hAnsi="arial"/>
                <w:sz w:val="18"/>
              </w:rPr>
            </w:pPr>
            <w:r>
              <w:rPr>
                <w:rFonts w:ascii="arial" w:hAnsi="arial"/>
                <w:sz w:val="18"/>
              </w:rPr>
              <w:t xml:space="preserve">Represents beneficial ownership of 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arial" w:hAnsi="arial"/>
                <w:sz w:val="18"/>
              </w:rPr>
            </w:pPr>
            <w:r>
              <w:rPr>
                <w:rFonts w:ascii="arial" w:hAnsi="arial"/>
                <w:sz w:val="18"/>
              </w:rPr>
              <w:t xml:space="preserve">Shares shown in the table above include shares held in the beneficial owner’s name or jointly with others, or in the name of a bank, nominee, or trustee for the beneficial owner’s account. Unless otherwise noted, the address of each beneficial owner listed in the table is c/o Sabre Corporation, 3150 Sabre Drive, Southlake, Texas 76092. Unless otherwise noted and subject to applicable community property laws, we believe that each stockholder identified in the table possesses sole voting and investment power over all shares shown as beneficially owned by the stockholder. Percentage of beneficial ownership is based on the number of shares outstanding as of December 31, 2024.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91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12" w:type="dxa"/>
        <w:jc w:val="left"/>
        <w:tblInd w:w="0" w:type="dxa"/>
        <w:tblLayout w:type="fixed"/>
        <w:tblCellMar>
          <w:top w:w="0" w:type="dxa"/>
          <w:left w:w="0" w:type="dxa"/>
          <w:bottom w:w="0" w:type="dxa"/>
          <w:right w:w="0" w:type="dxa"/>
        </w:tblCellMar>
      </w:tblPr>
      <w:tblGrid>
        <w:gridCol w:w="7265"/>
        <w:gridCol w:w="60"/>
        <w:gridCol w:w="23"/>
        <w:gridCol w:w="60"/>
        <w:gridCol w:w="23"/>
        <w:gridCol w:w="60"/>
        <w:gridCol w:w="23"/>
        <w:gridCol w:w="60"/>
        <w:gridCol w:w="38"/>
      </w:tblGrid>
      <w:tr>
        <w:trPr/>
        <w:tc>
          <w:tcPr>
            <w:tcW w:w="7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2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SECURITY OWNERSHIP OF CERTAIN BENEFICIAL OWNERS AND MANAGEMENT 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BlackRock, Inc. (“BlackRock”) is as of December 31, 2023 and is based on the Schedule 13G/A filed by BlackRock with the SEC on January 22, 2024 (the “BlackRock 13G/A”). According to the BlackRock 13G/A, (i) the address of BlackRock is 50 Hudson Yards, New York, NY 10001 and (ii) BlackRock has sole voting power with respect to 58,154,710 shares, sole dispositive power with respect to 59,140,514 and no shared voting or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The Vanguard Group (“Vanguard”) is as of December 29, 2023 and is based on the Schedule 13G/A filed by Vanguard with the SEC on February 13, 2024 (the “Vanguard 13G/A”). According to the Vanguard 13G/A, (i) the address of Vanguard is 100 Vanguard Blvd., Malvern, PA 19355 and (ii) Vanguard has no sole voting power, shared voting power with respect to 302,723 shares, sole dispositive power with respect to 40,985,552 shares, and shared dispositive power with respect to 658,091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EARNEST Partners, LLC (“EARNEST”) is as of September 30, 2024 and is based on the Schedule 13G/A filed by Earnest with the SEC on November 13, 2024 (the “EARNEST 13G/A”). According to the EARNEST 13G/A, (i) the address of EARNEST is 1180 Peachtree Street NE, Suite 2300, Atlanta, GA 30309 and (ii) EARNEST has sole voting power with respect to 22,557,384 shares, shared voting power with respect to 2,881,649 shares, sole dispositive power with respect to 32,461,309 shares, and no shared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number of shares of our common stock beneficially owned by Fundsmith LLP (“Fundsmith”) is as of December 31, 2023 and is based on the Schedule 13G/A filed by Fundsmith with the SEC on February 14, 2024 (the “Fundsmith 13G/A”). According to the Fundsmith 13G/A, (i) the address of Fundsmith is 33 Cavendish Square, London, UK W1G 0PW and (ii) Fundsmith has sole voting power with respect to 22,261,537 shares, sole dispositive power with respect to 22,261,537 shares, and no shared voting or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(6)</w:t>
            </w:r>
          </w:p>
        </w:tc>
        <w:tc>
          <w:tcPr>
            <w:tcW w:w="9923" w:type="dxa"/>
            <w:tcBorders/>
            <w:vAlign w:val="center"/>
          </w:tcPr>
          <w:p>
            <w:pPr>
              <w:pStyle w:val="TableContents"/>
              <w:bidi w:val="0"/>
              <w:spacing w:before="0" w:after="0"/>
              <w:jc w:val="left"/>
              <w:rPr>
                <w:rFonts w:ascii="arial" w:hAnsi="arial"/>
                <w:sz w:val="18"/>
              </w:rPr>
            </w:pPr>
            <w:r>
              <w:rPr>
                <w:rFonts w:ascii="arial" w:hAnsi="arial"/>
                <w:sz w:val="18"/>
              </w:rPr>
              <w:t xml:space="preserve">Ms. Bruder’s employment with Sabre ended on October 31, 2024. The number of shares of our common stock beneficially owned is based on information available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(7)</w:t>
            </w:r>
          </w:p>
        </w:tc>
        <w:tc>
          <w:tcPr>
            <w:tcW w:w="9932" w:type="dxa"/>
            <w:tcBorders/>
            <w:vAlign w:val="center"/>
          </w:tcPr>
          <w:p>
            <w:pPr>
              <w:pStyle w:val="TableContents"/>
              <w:bidi w:val="0"/>
              <w:spacing w:before="0" w:after="0"/>
              <w:jc w:val="left"/>
              <w:rPr>
                <w:rFonts w:ascii="arial" w:hAnsi="arial"/>
                <w:sz w:val="18"/>
              </w:rPr>
            </w:pPr>
            <w:r>
              <w:rPr>
                <w:rFonts w:ascii="arial" w:hAnsi="arial"/>
                <w:sz w:val="18"/>
              </w:rPr>
              <w:t xml:space="preserve">Includes 115,357; 43,597; 79,190; 43,597; and 43,597 shares that are deferred by Mr. Bravante, Ms. Mandel, Mr. Peterson, Mr. Scott, and Ms. Sturgis respectively, pursuant to the Director Deferral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(8)</w:t>
            </w:r>
          </w:p>
        </w:tc>
        <w:tc>
          <w:tcPr>
            <w:tcW w:w="9954" w:type="dxa"/>
            <w:tcBorders/>
            <w:vAlign w:val="center"/>
          </w:tcPr>
          <w:p>
            <w:pPr>
              <w:pStyle w:val="TableContents"/>
              <w:bidi w:val="0"/>
              <w:spacing w:before="0" w:after="0"/>
              <w:jc w:val="left"/>
              <w:rPr>
                <w:rFonts w:ascii="arial" w:hAnsi="arial"/>
                <w:sz w:val="18"/>
              </w:rPr>
            </w:pPr>
            <w:r>
              <w:rPr>
                <w:rFonts w:ascii="arial" w:hAnsi="arial"/>
                <w:sz w:val="18"/>
              </w:rPr>
              <w:t xml:space="preserve">Ms. Gonzalez and Mr. Rowe retired from the Board of Directors effective February 16, 2024. Ms. Paul was elected to the Board of Directors effective February 16, 2024. Mr. Saretsky resigned from the Board of Directors effective August 12, 2024. The number of shares of our common stock beneficially owned by Ms. Gonzalez and Messrs. Rowe and Saretsky is based on information available to us.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305"/>
        <w:gridCol w:w="7250"/>
      </w:tblGrid>
      <w:tr>
        <w:trPr/>
        <w:tc>
          <w:tcPr>
            <w:tcW w:w="305" w:type="dxa"/>
            <w:tcBorders/>
            <w:vAlign w:val="center"/>
          </w:tcPr>
          <w:p>
            <w:pPr>
              <w:pStyle w:val="TableContents"/>
              <w:bidi w:val="0"/>
              <w:spacing w:before="0" w:after="283"/>
              <w:jc w:val="left"/>
              <w:rPr/>
            </w:pPr>
            <w:r>
              <w:rPr/>
              <w:t>(9)</w:t>
            </w:r>
          </w:p>
        </w:tc>
        <w:tc>
          <w:tcPr>
            <w:tcW w:w="7250" w:type="dxa"/>
            <w:tcBorders/>
            <w:vAlign w:val="center"/>
          </w:tcPr>
          <w:p>
            <w:pPr>
              <w:pStyle w:val="TableContents"/>
              <w:bidi w:val="0"/>
              <w:spacing w:before="0" w:after="0"/>
              <w:jc w:val="left"/>
              <w:rPr>
                <w:rFonts w:ascii="arial" w:hAnsi="arial"/>
                <w:sz w:val="18"/>
              </w:rPr>
            </w:pPr>
            <w:r>
              <w:rPr>
                <w:rFonts w:ascii="arial" w:hAnsi="arial"/>
                <w:sz w:val="18"/>
              </w:rPr>
              <w:t xml:space="preserve">Mr. Willy is a nominee for director and does not currently serve on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7"/>
        <w:gridCol w:w="9808"/>
      </w:tblGrid>
      <w:tr>
        <w:trPr/>
        <w:tc>
          <w:tcPr>
            <w:tcW w:w="397" w:type="dxa"/>
            <w:tcBorders/>
            <w:vAlign w:val="center"/>
          </w:tcPr>
          <w:p>
            <w:pPr>
              <w:pStyle w:val="TableContents"/>
              <w:bidi w:val="0"/>
              <w:spacing w:before="0" w:after="283"/>
              <w:jc w:val="left"/>
              <w:rPr/>
            </w:pPr>
            <w:r>
              <w:rPr/>
              <w:t>(10)</w:t>
            </w:r>
          </w:p>
        </w:tc>
        <w:tc>
          <w:tcPr>
            <w:tcW w:w="9808" w:type="dxa"/>
            <w:tcBorders/>
            <w:vAlign w:val="center"/>
          </w:tcPr>
          <w:p>
            <w:pPr>
              <w:pStyle w:val="TableContents"/>
              <w:bidi w:val="0"/>
              <w:spacing w:before="0" w:after="0"/>
              <w:jc w:val="left"/>
              <w:rPr>
                <w:rFonts w:ascii="arial" w:hAnsi="arial"/>
                <w:sz w:val="18"/>
              </w:rPr>
            </w:pPr>
            <w:r>
              <w:rPr>
                <w:rFonts w:ascii="arial" w:hAnsi="arial"/>
                <w:sz w:val="18"/>
              </w:rPr>
              <w:t xml:space="preserve">Includes 325,338 shares that are deferred pursuant to the Director Deferral Plan and 126,228 time-based restricted stock unit awards that vest within 60 days of December 31, 2024. </w:t>
            </w:r>
          </w:p>
        </w:tc>
      </w:tr>
    </w:tbl>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92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4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606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CERTAIN RELATIONSHIPS AND RELATED PARTY TRANSACTIONS 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66" w:name="tx888712_66"/>
      <w:bookmarkEnd w:id="66"/>
      <w:r>
        <w:rPr>
          <w:rFonts w:ascii="arial" w:hAnsi="arial"/>
          <w:b/>
          <w:color w:val="CF0A2C"/>
          <w:sz w:val="44"/>
        </w:rPr>
        <w:t xml:space="preserve">CERTAIN RELATIONSHIPS AND RELATED PARTY TRANSACTIONS </w:t>
      </w:r>
    </w:p>
    <w:p>
      <w:pPr>
        <w:pStyle w:val="TextBody"/>
        <w:bidi w:val="0"/>
        <w:spacing w:before="240" w:after="0"/>
        <w:jc w:val="left"/>
        <w:rPr>
          <w:rFonts w:ascii="arial" w:hAnsi="arial"/>
          <w:sz w:val="22"/>
        </w:rPr>
      </w:pPr>
      <w:r>
        <w:rPr>
          <w:rFonts w:ascii="arial" w:hAnsi="arial"/>
          <w:sz w:val="22"/>
        </w:rPr>
        <w:t xml:space="preserve">We have adopted a written related party transaction policy. Pursuant to this policy, the Audit Committee of the Board of Directors is responsible for evaluating each related party transaction and determining whether the transaction is fair, reasonable, and within our policy, and whether it should be ratified or approved. The Audit Committee, in evaluating a transaction, considers various factors, including the benefit of the transaction to us, the terms of the transaction and whether they are at arm’s-length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If less than a majority of the members of the Audit Committee is qualified to ratify or approve a transaction, the Audit Committee will submit the transaction to the disinterested directors of the Board of Directors, who will apply the same factors to evaluate, ratify, or approve the transaction. The Audit Committee reviews, at least annually, a summary of our transactions with our directors and officers and with firms that employ our directors, as well as any other related party transactions they deem relevant.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93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42" w:type="dxa"/>
        <w:jc w:val="left"/>
        <w:tblInd w:w="0" w:type="dxa"/>
        <w:tblLayout w:type="fixed"/>
        <w:tblCellMar>
          <w:top w:w="0" w:type="dxa"/>
          <w:left w:w="0" w:type="dxa"/>
          <w:bottom w:w="0" w:type="dxa"/>
          <w:right w:w="0" w:type="dxa"/>
        </w:tblCellMar>
      </w:tblPr>
      <w:tblGrid>
        <w:gridCol w:w="2195"/>
        <w:gridCol w:w="60"/>
        <w:gridCol w:w="23"/>
        <w:gridCol w:w="60"/>
        <w:gridCol w:w="23"/>
        <w:gridCol w:w="60"/>
        <w:gridCol w:w="23"/>
        <w:gridCol w:w="60"/>
        <w:gridCol w:w="38"/>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OTHER INFORMATION 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67" w:name="tx888712_67"/>
      <w:bookmarkEnd w:id="67"/>
      <w:r>
        <w:rPr>
          <w:rFonts w:ascii="arial" w:hAnsi="arial"/>
          <w:b/>
          <w:color w:val="CF0A2C"/>
          <w:sz w:val="44"/>
        </w:rPr>
        <w:t xml:space="preserve">OTHER INFORMATION </w:t>
      </w:r>
    </w:p>
    <w:p>
      <w:pPr>
        <w:pStyle w:val="TextBody"/>
        <w:bidi w:val="0"/>
        <w:spacing w:before="360" w:after="0"/>
        <w:jc w:val="left"/>
        <w:rPr>
          <w:rFonts w:ascii="arial" w:hAnsi="arial"/>
          <w:b/>
          <w:color w:val="CF0A2C"/>
          <w:sz w:val="28"/>
        </w:rPr>
      </w:pPr>
      <w:bookmarkStart w:id="68" w:name="tx888712_68"/>
      <w:bookmarkEnd w:id="68"/>
      <w:r>
        <w:rPr>
          <w:rFonts w:ascii="arial" w:hAnsi="arial"/>
          <w:b/>
          <w:color w:val="CF0A2C"/>
          <w:sz w:val="28"/>
        </w:rPr>
        <w:t xml:space="preserve">Delinquent Section 16(a) Reports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Section 16(a) of the Exchange Act requires our directors, executive officers, and any person owning more than 10% of a class of our common stock to file reports with the SEC regarding their ownership of our stock and any changes in ownership. We maintain a compliance program to assist our directors and executive officers in making these filings. We believe that our executive officers, directors, and 10% stockholders timely complied with their filing requirements for 2024. </w:t>
      </w:r>
    </w:p>
    <w:p>
      <w:pPr>
        <w:pStyle w:val="TextBody"/>
        <w:bidi w:val="0"/>
        <w:spacing w:before="360" w:after="0"/>
        <w:jc w:val="left"/>
        <w:rPr>
          <w:rFonts w:ascii="arial" w:hAnsi="arial"/>
          <w:b/>
          <w:color w:val="CF0A2C"/>
          <w:sz w:val="28"/>
        </w:rPr>
      </w:pPr>
      <w:bookmarkStart w:id="69" w:name="tx888712_69"/>
      <w:bookmarkEnd w:id="69"/>
      <w:r>
        <w:rPr>
          <w:rFonts w:ascii="arial" w:hAnsi="arial"/>
          <w:b/>
          <w:color w:val="CF0A2C"/>
          <w:sz w:val="28"/>
        </w:rPr>
        <w:t xml:space="preserve">2026 Stockholder Proposals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Proposals by stockholders for inclusion in our proxy statement and form of proxy for the 2026 Annual Meeting pursuant to Rule 14a-8 of the Exchange Act should be addressed to the Corporate Secretary, Sabre Corporation, 3150 Sabre Drive, Southlake, Texas 76092, and must be received at this address no later than November 13, 2025. Any such proposals must also otherwise comply with the requirements of the SEC relating to stockholder proposals. Upon receipt of a proposal, we will determine whether or not to include the proposal in the proxy statement and form of proxy in accordance with applicable law. It is suggested that proposals be forwarded by certified mail, return receipt requested. </w:t>
      </w:r>
    </w:p>
    <w:p>
      <w:pPr>
        <w:pStyle w:val="TextBody"/>
        <w:bidi w:val="0"/>
        <w:spacing w:before="360" w:after="0"/>
        <w:jc w:val="left"/>
        <w:rPr>
          <w:rFonts w:ascii="arial" w:hAnsi="arial"/>
          <w:b/>
          <w:color w:val="CF0A2C"/>
          <w:sz w:val="28"/>
        </w:rPr>
      </w:pPr>
      <w:bookmarkStart w:id="70" w:name="tx888712_70"/>
      <w:bookmarkEnd w:id="70"/>
      <w:r>
        <w:rPr>
          <w:rFonts w:ascii="arial" w:hAnsi="arial"/>
          <w:b/>
          <w:color w:val="CF0A2C"/>
          <w:sz w:val="28"/>
        </w:rPr>
        <w:t xml:space="preserve">Proxy Access Nominations and Annual Meeting Advance Notice Requirements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Stockholders who wish to nominate one or more director candidates to be included in our proxy materials pursuant to Section 2.19 of our Bylaws (a “proxy access nomination”) must submit written notice of the nomination to the Corporate Secretary, which generally must be received at least 120 days, but not more than 150 days, before the anniversary of the date that we commenced mailing of our definitive proxy statement for the previous year’s annual meeting. Any notice of a proxy access nomination must comply with the requirements of our Bylaws, which may be found in the investor relations section of our website at </w:t>
      </w:r>
      <w:r>
        <w:rPr>
          <w:rFonts w:ascii="arial" w:hAnsi="arial"/>
          <w:sz w:val="22"/>
          <w:u w:val="single"/>
        </w:rPr>
        <w:t>investors.sabre.com</w:t>
      </w:r>
      <w:r>
        <w:rPr>
          <w:rFonts w:ascii="arial" w:hAnsi="arial"/>
          <w:sz w:val="22"/>
        </w:rPr>
        <w:t xml:space="preserve">, and any applicable law. </w:t>
      </w:r>
    </w:p>
    <w:p>
      <w:pPr>
        <w:pStyle w:val="TextBody"/>
        <w:bidi w:val="0"/>
        <w:spacing w:before="240" w:after="0"/>
        <w:jc w:val="left"/>
        <w:rPr>
          <w:rFonts w:ascii="arial" w:hAnsi="arial"/>
          <w:sz w:val="22"/>
        </w:rPr>
      </w:pPr>
      <w:r>
        <w:rPr>
          <w:rFonts w:ascii="arial" w:hAnsi="arial"/>
          <w:sz w:val="22"/>
        </w:rPr>
        <w:t xml:space="preserve">Our Bylaws establish advance notice procedures with respect to stockholder proposals and the nomination of candidates for election as directors, other than nominations made by or at the direction of the Board of Directors, to be submitted to the stockholders for consideration at an annual meeting but without being including in the Company’s proxy statement. In order for any matter to be “properly brought” before a meeting in accordance with the advance notice procedures in our Bylaws,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or December 24, 2025 and January 23, 2026 for the 2026 Annual Meeting. Our Bylaws also specify requirements as to the form and content of a stockholder’s notice. Stockholders who intend to solicit proxies in support of director nominees other than the Company’s nominees must also comply with and provide the information required by Rule 14a-19 under the Exchange Act. </w:t>
      </w:r>
    </w:p>
    <w:p>
      <w:pPr>
        <w:pStyle w:val="TextBody"/>
        <w:bidi w:val="0"/>
        <w:spacing w:before="240" w:after="0"/>
        <w:jc w:val="left"/>
        <w:rPr>
          <w:rFonts w:ascii="arial" w:hAnsi="arial"/>
          <w:sz w:val="22"/>
        </w:rPr>
      </w:pPr>
      <w:r>
        <w:rPr>
          <w:rFonts w:ascii="arial" w:hAnsi="arial"/>
          <w:sz w:val="22"/>
        </w:rPr>
        <w:t xml:space="preserve">Under our Bylaws, the Board of Directors may authorize rules and regulations for the conduct of meetings. Except to the extent inconsistent with such rules and regulations adopted by the Board of Directors, the chairperson of the meeting of stockholders shall have the right to adopt rules and regulations for the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75"/>
        <w:gridCol w:w="60"/>
        <w:gridCol w:w="26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left"/>
              <w:rPr>
                <w:b/>
                <w:color w:val="666666"/>
              </w:rPr>
            </w:pPr>
            <w:r>
              <w:rPr>
                <w:b/>
                <w:color w:val="666666"/>
              </w:rPr>
              <w:t>94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4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2195"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OTHER INFORMATION 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conduct of meetings, which may have the effect of precluding the conduct of certain business at a meeting if the rules and regulations are not followed. These procedures are only a summary of the provisions regarding stockholder nominations of directors and proposals of other business in our Bylaws. Please refer to our Bylaws for more information on these requirements. </w:t>
      </w:r>
    </w:p>
    <w:p>
      <w:pPr>
        <w:pStyle w:val="TextBody"/>
        <w:bidi w:val="0"/>
        <w:spacing w:before="240" w:after="0"/>
        <w:jc w:val="left"/>
        <w:rPr>
          <w:rFonts w:ascii="arial" w:hAnsi="arial"/>
          <w:sz w:val="22"/>
        </w:rPr>
      </w:pPr>
      <w:r>
        <w:rPr>
          <w:rFonts w:ascii="arial" w:hAnsi="arial"/>
          <w:sz w:val="22"/>
        </w:rPr>
        <w:t xml:space="preserve">The chairperson or other officer presiding at the Annual Meeting has the sole authority to determine whether any nomination or other proposal has been properly brought before the meeting in accordance with our Bylaws. If we receive a proposal other than pursuant to Rule 14a-8 or a nomination for the 2025 Annual Meeting of Stockholders, and such nomination or other proposal was not delivered within the time frame specified in our Bylaws, then the persons appointed by the Board of Directors and named in the proxies for the 2025 Annual Meeting of Stockholders may exercise discretionary voting power if a vote is taken with respect to that nomination or other proposal. </w:t>
      </w:r>
    </w:p>
    <w:p>
      <w:pPr>
        <w:pStyle w:val="TextBody"/>
        <w:bidi w:val="0"/>
        <w:spacing w:before="360" w:after="0"/>
        <w:jc w:val="left"/>
        <w:rPr>
          <w:rFonts w:ascii="arial" w:hAnsi="arial"/>
          <w:b/>
          <w:color w:val="CF0A2C"/>
          <w:sz w:val="28"/>
        </w:rPr>
      </w:pPr>
      <w:bookmarkStart w:id="71" w:name="tx888712_71"/>
      <w:bookmarkEnd w:id="71"/>
      <w:r>
        <w:rPr>
          <w:rFonts w:ascii="arial" w:hAnsi="arial"/>
          <w:b/>
          <w:color w:val="CF0A2C"/>
          <w:sz w:val="28"/>
        </w:rPr>
        <w:t xml:space="preserve">Householding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Some stockholders as of the record date who have the same address and last name and have not previously requested electronic delivery of proxy materials will receive a single proxy package containing one annual report, one proxy statement, and multiple proxy cards for each stockholder. This procedure helps us reduce printing and postage costs associated with providing our proxy materials. </w:t>
      </w:r>
    </w:p>
    <w:p>
      <w:pPr>
        <w:pStyle w:val="TextBody"/>
        <w:bidi w:val="0"/>
        <w:spacing w:before="240" w:after="0"/>
        <w:jc w:val="left"/>
        <w:rPr>
          <w:rFonts w:ascii="arial" w:hAnsi="arial"/>
          <w:sz w:val="22"/>
        </w:rPr>
      </w:pPr>
      <w:r>
        <w:rPr>
          <w:rFonts w:ascii="arial" w:hAnsi="arial"/>
          <w:sz w:val="22"/>
        </w:rPr>
        <w:t xml:space="preserve">Once you have received notice that your broker or Sabre will be householding your materials, householding will continue until you are notified otherwise or you revoke your consent. You may request a separate copy of the Notice and/or set of our printed proxy materials by sending a written request to Sabre Corporation, 3150 Sabre Drive, Southlake, Texas 76092, Attention: Corporate Secretary, or by calling (682) 605-1000. </w:t>
      </w:r>
    </w:p>
    <w:p>
      <w:pPr>
        <w:pStyle w:val="TextBody"/>
        <w:bidi w:val="0"/>
        <w:spacing w:before="240" w:after="0"/>
        <w:jc w:val="left"/>
        <w:rPr>
          <w:rFonts w:ascii="arial" w:hAnsi="arial"/>
          <w:sz w:val="22"/>
        </w:rPr>
      </w:pPr>
      <w:r>
        <w:rPr>
          <w:rFonts w:ascii="arial" w:hAnsi="arial"/>
          <w:sz w:val="22"/>
        </w:rPr>
        <w:t xml:space="preserve">If, at any time: (1) you no longer wish to participate in householding and would prefer to receive a separate set of our printed proxy materials or (2) you and another stockholder sharing the same address wish to participate in householding and prefer to receive one set of our printed proxy materials, please notify either your broker (if you hold your shares in street name) or Sabre (if you are a stockholder of record). You can notify Sabre by sending a written request to Sabre Corporation, 3150 Sabre Drive, Southlake, Texas 76092, Attention: Corporate Secretary. </w:t>
      </w:r>
    </w:p>
    <w:p>
      <w:pPr>
        <w:pStyle w:val="TextBody"/>
        <w:bidi w:val="0"/>
        <w:spacing w:before="0" w:after="0"/>
        <w:jc w:val="left"/>
        <w:rPr/>
      </w:pPr>
      <w:r>
        <w:rPr/>
        <w:t> </w:t>
      </w:r>
    </w:p>
    <w:tbl>
      <w:tblPr>
        <w:tblW w:w="3395" w:type="dxa"/>
        <w:jc w:val="left"/>
        <w:tblInd w:w="0" w:type="dxa"/>
        <w:tblLayout w:type="fixed"/>
        <w:tblCellMar>
          <w:top w:w="0" w:type="dxa"/>
          <w:left w:w="0" w:type="dxa"/>
          <w:bottom w:w="0" w:type="dxa"/>
          <w:right w:w="0" w:type="dxa"/>
        </w:tblCellMar>
      </w:tblPr>
      <w:tblGrid>
        <w:gridCol w:w="3395"/>
      </w:tblGrid>
      <w:tr>
        <w:trPr/>
        <w:tc>
          <w:tcPr>
            <w:tcW w:w="339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left"/>
              <w:rPr>
                <w:rFonts w:ascii="arial" w:hAnsi="arial"/>
                <w:sz w:val="22"/>
              </w:rPr>
            </w:pPr>
            <w:r>
              <w:rPr>
                <w:rFonts w:ascii="arial" w:hAnsi="arial"/>
                <w:sz w:val="22"/>
              </w:rPr>
              <w:t>By order of the Board of Directors.</w:t>
            </w:r>
          </w:p>
          <w:p>
            <w:pPr>
              <w:pStyle w:val="TableContents"/>
              <w:bidi w:val="0"/>
              <w:spacing w:before="0" w:after="20"/>
              <w:jc w:val="left"/>
              <w:rPr/>
            </w:pPr>
            <w:r>
              <w:rPr/>
              <w:t> </w:t>
            </w:r>
          </w:p>
        </w:tc>
      </w:tr>
      <w:tr>
        <w:trPr/>
        <w:tc>
          <w:tcPr>
            <w:tcW w:w="3395" w:type="dxa"/>
            <w:tcBorders/>
            <w:vAlign w:val="center"/>
          </w:tcPr>
          <w:p>
            <w:pPr>
              <w:pStyle w:val="TableContents"/>
              <w:bidi w:val="0"/>
              <w:spacing w:before="0" w:after="0"/>
              <w:jc w:val="left"/>
              <w:rPr/>
            </w:pPr>
            <w:r>
              <w:rPr/>
              <w:drawing>
                <wp:inline distT="0" distB="0" distL="0" distR="0">
                  <wp:extent cx="1546860" cy="29400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1546860" cy="29400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395" w:type="dxa"/>
            <w:tcBorders/>
            <w:vAlign w:val="center"/>
          </w:tcPr>
          <w:p>
            <w:pPr>
              <w:pStyle w:val="TableContents"/>
              <w:bidi w:val="0"/>
              <w:spacing w:before="0" w:after="283"/>
              <w:jc w:val="left"/>
              <w:rPr/>
            </w:pPr>
            <w:r>
              <w:rPr/>
              <w:t>Steve Milton</w:t>
            </w:r>
          </w:p>
        </w:tc>
      </w:tr>
      <w:tr>
        <w:trPr/>
        <w:tc>
          <w:tcPr>
            <w:tcW w:w="3395" w:type="dxa"/>
            <w:tcBorders/>
            <w:vAlign w:val="center"/>
          </w:tcPr>
          <w:p>
            <w:pPr>
              <w:pStyle w:val="TableContents"/>
              <w:bidi w:val="0"/>
              <w:spacing w:before="0" w:after="283"/>
              <w:jc w:val="left"/>
              <w:rPr>
                <w:i/>
              </w:rPr>
            </w:pPr>
            <w:r>
              <w:rPr>
                <w:i/>
              </w:rPr>
              <w:t>Corporate Secretary</w:t>
            </w:r>
          </w:p>
        </w:tc>
      </w:tr>
    </w:tbl>
    <w:p>
      <w:pPr>
        <w:pStyle w:val="TextBody"/>
        <w:bidi w:val="0"/>
        <w:spacing w:before="240" w:after="0"/>
        <w:jc w:val="left"/>
        <w:rPr>
          <w:rFonts w:ascii="arial" w:hAnsi="arial"/>
          <w:sz w:val="22"/>
        </w:rPr>
      </w:pPr>
      <w:r>
        <w:rPr>
          <w:rFonts w:ascii="arial" w:hAnsi="arial"/>
          <w:sz w:val="22"/>
        </w:rPr>
        <w:t xml:space="preserve">SABRE CORPORATION </w:t>
      </w:r>
    </w:p>
    <w:p>
      <w:pPr>
        <w:pStyle w:val="TextBody"/>
        <w:bidi w:val="0"/>
        <w:spacing w:before="0" w:after="0"/>
        <w:jc w:val="left"/>
        <w:rPr>
          <w:rFonts w:ascii="arial" w:hAnsi="arial"/>
          <w:sz w:val="22"/>
        </w:rPr>
      </w:pPr>
      <w:r>
        <w:rPr>
          <w:rFonts w:ascii="arial" w:hAnsi="arial"/>
          <w:sz w:val="22"/>
        </w:rPr>
        <w:t xml:space="preserve">3150 Sabre Drive </w:t>
      </w:r>
    </w:p>
    <w:p>
      <w:pPr>
        <w:pStyle w:val="TextBody"/>
        <w:bidi w:val="0"/>
        <w:spacing w:before="0" w:after="0"/>
        <w:jc w:val="left"/>
        <w:rPr>
          <w:rFonts w:ascii="arial" w:hAnsi="arial"/>
          <w:sz w:val="22"/>
        </w:rPr>
      </w:pPr>
      <w:r>
        <w:rPr>
          <w:rFonts w:ascii="arial" w:hAnsi="arial"/>
          <w:sz w:val="22"/>
        </w:rPr>
        <w:t xml:space="preserve">Southlake, Texas 76092 </w:t>
      </w:r>
    </w:p>
    <w:p>
      <w:pPr>
        <w:pStyle w:val="TextBody"/>
        <w:bidi w:val="0"/>
        <w:spacing w:before="0" w:after="0"/>
        <w:jc w:val="left"/>
        <w:rPr>
          <w:rFonts w:ascii="arial" w:hAnsi="arial"/>
          <w:sz w:val="22"/>
        </w:rPr>
      </w:pPr>
      <w:r>
        <w:rPr>
          <w:rFonts w:ascii="arial" w:hAnsi="arial"/>
          <w:sz w:val="22"/>
        </w:rPr>
        <w:t xml:space="preserve">Telephone: (682) 605-1000 </w:t>
      </w:r>
    </w:p>
    <w:p>
      <w:pPr>
        <w:pStyle w:val="TextBody"/>
        <w:bidi w:val="0"/>
        <w:spacing w:before="120" w:after="0"/>
        <w:jc w:val="left"/>
        <w:rPr>
          <w:rFonts w:ascii="arial" w:hAnsi="arial"/>
          <w:sz w:val="22"/>
        </w:rPr>
      </w:pPr>
      <w:r>
        <w:rPr>
          <w:rFonts w:ascii="arial" w:hAnsi="arial"/>
          <w:sz w:val="22"/>
        </w:rPr>
        <w:t xml:space="preserve">March 13, 2025 </w:t>
      </w:r>
    </w:p>
    <w:p>
      <w:pPr>
        <w:pStyle w:val="TextBody"/>
        <w:bidi w:val="0"/>
        <w:spacing w:before="0" w:after="0"/>
        <w:jc w:val="left"/>
        <w:rPr/>
      </w:pPr>
      <w:r>
        <w:rPr/>
        <w:t> </w:t>
      </w:r>
    </w:p>
    <w:tbl>
      <w:tblPr>
        <w:tblW w:w="654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260" w:type="dxa"/>
            <w:tcBorders/>
            <w:vAlign w:val="center"/>
          </w:tcPr>
          <w:p>
            <w:pPr>
              <w:pStyle w:val="TableContents"/>
              <w:bidi w:val="0"/>
              <w:spacing w:before="0" w:after="283"/>
              <w:jc w:val="right"/>
              <w:rPr>
                <w:b/>
                <w:color w:val="666666"/>
              </w:rPr>
            </w:pPr>
            <w:r>
              <w:rPr>
                <w:b/>
                <w:color w:val="666666"/>
              </w:rPr>
              <w:t>95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72" w:name="tx888712_72"/>
      <w:bookmarkEnd w:id="72"/>
      <w:r>
        <w:rPr>
          <w:rFonts w:ascii="arial" w:hAnsi="arial"/>
          <w:b/>
          <w:color w:val="CF0A2C"/>
          <w:sz w:val="44"/>
        </w:rPr>
        <w:t xml:space="preserve">APPENDIX A </w:t>
      </w:r>
    </w:p>
    <w:p>
      <w:pPr>
        <w:pStyle w:val="TextBody"/>
        <w:bidi w:val="0"/>
        <w:spacing w:before="440" w:after="0"/>
        <w:jc w:val="left"/>
        <w:rPr>
          <w:rFonts w:ascii="arial" w:hAnsi="arial"/>
          <w:b/>
          <w:color w:val="CF0A2C"/>
          <w:sz w:val="44"/>
        </w:rPr>
      </w:pPr>
      <w:r>
        <w:rPr>
          <w:rFonts w:ascii="arial" w:hAnsi="arial"/>
          <w:b/>
          <w:color w:val="CF0A2C"/>
          <w:sz w:val="44"/>
        </w:rPr>
        <w:t xml:space="preserve">SABRE CORPORATION </w:t>
      </w:r>
    </w:p>
    <w:p>
      <w:pPr>
        <w:pStyle w:val="TextBody"/>
        <w:bidi w:val="0"/>
        <w:spacing w:before="0" w:after="0"/>
        <w:jc w:val="left"/>
        <w:rPr>
          <w:rFonts w:ascii="arial" w:hAnsi="arial"/>
          <w:b/>
          <w:color w:val="CF0A2C"/>
          <w:sz w:val="44"/>
        </w:rPr>
      </w:pPr>
      <w:r>
        <w:rPr>
          <w:rFonts w:ascii="arial" w:hAnsi="arial"/>
          <w:b/>
          <w:color w:val="CF0A2C"/>
          <w:sz w:val="44"/>
        </w:rPr>
        <w:t xml:space="preserve">2025 OMNIBUS INCENTIVE COMPENSATION PLAN </w:t>
      </w:r>
    </w:p>
    <w:p>
      <w:pPr>
        <w:pStyle w:val="TextBody"/>
        <w:bidi w:val="0"/>
        <w:spacing w:before="240" w:after="0"/>
        <w:jc w:val="left"/>
        <w:rPr>
          <w:rFonts w:ascii="arial" w:hAnsi="arial"/>
          <w:b/>
          <w:color w:val="CF0A2C"/>
          <w:sz w:val="28"/>
        </w:rPr>
      </w:pPr>
      <w:r>
        <w:rPr>
          <w:rFonts w:ascii="arial" w:hAnsi="arial"/>
          <w:b/>
          <w:color w:val="CF0A2C"/>
          <w:sz w:val="28"/>
        </w:rPr>
        <w:t xml:space="preserve">1. Purpose of the Plan.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This Sabre Corporation 2025 Omnibus Incentive Compensation Plan is intended to promote the interests of the Company and its stockholders by providing the employees and other service providers of the Company, who are responsible for the management, growth, and protection of the business of the Company, with incentives and rewards to encourage them to continue in the service of the Company. The Plan is designed to meet this intent by providing employees with a proprietary interest aligned with the long-term growth, profitability, and financial success of the Company. </w:t>
      </w:r>
    </w:p>
    <w:p>
      <w:pPr>
        <w:pStyle w:val="TextBody"/>
        <w:bidi w:val="0"/>
        <w:spacing w:before="240" w:after="0"/>
        <w:jc w:val="left"/>
        <w:rPr>
          <w:rFonts w:ascii="arial" w:hAnsi="arial"/>
          <w:b/>
          <w:color w:val="CF0A2C"/>
          <w:sz w:val="28"/>
        </w:rPr>
      </w:pPr>
      <w:r>
        <w:rPr>
          <w:rFonts w:ascii="arial" w:hAnsi="arial"/>
          <w:b/>
          <w:color w:val="CF0A2C"/>
          <w:sz w:val="28"/>
        </w:rPr>
        <w:t xml:space="preserve">2. Definitions.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As used in the Plan or in any instrument governing the terms of any Award, the following definitions apply to the terms indicated below: </w:t>
      </w:r>
    </w:p>
    <w:p>
      <w:pPr>
        <w:pStyle w:val="TextBody"/>
        <w:bidi w:val="0"/>
        <w:spacing w:before="240" w:after="0"/>
        <w:jc w:val="left"/>
        <w:rPr>
          <w:rFonts w:ascii="arial" w:hAnsi="arial"/>
          <w:sz w:val="22"/>
        </w:rPr>
      </w:pPr>
      <w:r>
        <w:rPr>
          <w:rFonts w:ascii="arial" w:hAnsi="arial"/>
          <w:sz w:val="22"/>
        </w:rPr>
        <w:t>(a) “</w:t>
      </w:r>
      <w:r>
        <w:rPr>
          <w:rFonts w:ascii="arial" w:hAnsi="arial"/>
          <w:i/>
          <w:sz w:val="22"/>
        </w:rPr>
        <w:t>Affiliate</w:t>
      </w:r>
      <w:r>
        <w:rPr>
          <w:rFonts w:ascii="arial" w:hAnsi="arial"/>
          <w:sz w:val="22"/>
        </w:rPr>
        <w:t xml:space="preserve">” means the Company and any of its direct or indirect Subsidiaries. </w:t>
      </w:r>
    </w:p>
    <w:p>
      <w:pPr>
        <w:pStyle w:val="TextBody"/>
        <w:bidi w:val="0"/>
        <w:spacing w:before="240" w:after="0"/>
        <w:jc w:val="left"/>
        <w:rPr>
          <w:rFonts w:ascii="arial" w:hAnsi="arial"/>
          <w:sz w:val="22"/>
        </w:rPr>
      </w:pPr>
      <w:r>
        <w:rPr>
          <w:rFonts w:ascii="arial" w:hAnsi="arial"/>
          <w:sz w:val="22"/>
        </w:rPr>
        <w:t>(b) “</w:t>
      </w:r>
      <w:r>
        <w:rPr>
          <w:rFonts w:ascii="arial" w:hAnsi="arial"/>
          <w:i/>
          <w:sz w:val="22"/>
        </w:rPr>
        <w:t>Affiliated Entity</w:t>
      </w:r>
      <w:r>
        <w:rPr>
          <w:rFonts w:ascii="arial" w:hAnsi="arial"/>
          <w:sz w:val="22"/>
        </w:rPr>
        <w:t xml:space="preserve">” means any entity related to the Company as a member of a controlled group of corporations in accordance with Section 414(b) of the Code or as a trade or business under common control in accordance with Section 414(c) of the Code, for so long as such entity is so related, including without limitation any Affiliate. </w:t>
      </w:r>
    </w:p>
    <w:p>
      <w:pPr>
        <w:pStyle w:val="TextBody"/>
        <w:bidi w:val="0"/>
        <w:spacing w:before="240" w:after="0"/>
        <w:jc w:val="left"/>
        <w:rPr>
          <w:rFonts w:ascii="arial" w:hAnsi="arial"/>
          <w:sz w:val="22"/>
        </w:rPr>
      </w:pPr>
      <w:r>
        <w:rPr>
          <w:rFonts w:ascii="arial" w:hAnsi="arial"/>
          <w:sz w:val="22"/>
        </w:rPr>
        <w:t>(c) “</w:t>
      </w:r>
      <w:r>
        <w:rPr>
          <w:rFonts w:ascii="arial" w:hAnsi="arial"/>
          <w:i/>
          <w:sz w:val="22"/>
        </w:rPr>
        <w:t>Awards</w:t>
      </w:r>
      <w:r>
        <w:rPr>
          <w:rFonts w:ascii="arial" w:hAnsi="arial"/>
          <w:sz w:val="22"/>
        </w:rPr>
        <w:t xml:space="preserve">” mean all awards granted pursuant to the terms of the Plan including, but not limited to, Cash Incentive Awards, Incentive Stock Options, Non-Qualified Stock Options, Stock Appreciation Rights, restricted stock awards and restricted stock unit awards. </w:t>
      </w:r>
    </w:p>
    <w:p>
      <w:pPr>
        <w:pStyle w:val="TextBody"/>
        <w:bidi w:val="0"/>
        <w:spacing w:before="240" w:after="0"/>
        <w:jc w:val="left"/>
        <w:rPr>
          <w:rFonts w:ascii="arial" w:hAnsi="arial"/>
          <w:sz w:val="22"/>
        </w:rPr>
      </w:pPr>
      <w:r>
        <w:rPr>
          <w:rFonts w:ascii="arial" w:hAnsi="arial"/>
          <w:sz w:val="22"/>
        </w:rPr>
        <w:t>(d) “</w:t>
      </w:r>
      <w:r>
        <w:rPr>
          <w:rFonts w:ascii="arial" w:hAnsi="arial"/>
          <w:i/>
          <w:sz w:val="22"/>
        </w:rPr>
        <w:t>Award Agreement</w:t>
      </w:r>
      <w:r>
        <w:rPr>
          <w:rFonts w:ascii="arial" w:hAnsi="arial"/>
          <w:sz w:val="22"/>
        </w:rPr>
        <w:t xml:space="preserve">” means the written agreement, in a form determined by the Committee or its delegee from time to time, between the Company and a Participant that evidences the grant of an Award and sets out the terms and conditions of an Award. </w:t>
      </w:r>
    </w:p>
    <w:p>
      <w:pPr>
        <w:pStyle w:val="TextBody"/>
        <w:bidi w:val="0"/>
        <w:spacing w:before="240" w:after="0"/>
        <w:jc w:val="left"/>
        <w:rPr>
          <w:rFonts w:ascii="arial" w:hAnsi="arial"/>
          <w:sz w:val="22"/>
        </w:rPr>
      </w:pPr>
      <w:r>
        <w:rPr>
          <w:rFonts w:ascii="arial" w:hAnsi="arial"/>
          <w:sz w:val="22"/>
        </w:rPr>
        <w:t>(e) “</w:t>
      </w:r>
      <w:r>
        <w:rPr>
          <w:rFonts w:ascii="arial" w:hAnsi="arial"/>
          <w:i/>
          <w:sz w:val="22"/>
        </w:rPr>
        <w:t>Board</w:t>
      </w:r>
      <w:r>
        <w:rPr>
          <w:rFonts w:ascii="arial" w:hAnsi="arial"/>
          <w:sz w:val="22"/>
        </w:rPr>
        <w:t xml:space="preserve">” means the Board of Directors of Sabre Corporation. </w:t>
      </w:r>
    </w:p>
    <w:p>
      <w:pPr>
        <w:pStyle w:val="TextBody"/>
        <w:bidi w:val="0"/>
        <w:spacing w:before="240" w:after="0"/>
        <w:jc w:val="left"/>
        <w:rPr>
          <w:rFonts w:ascii="arial" w:hAnsi="arial"/>
          <w:sz w:val="22"/>
        </w:rPr>
      </w:pPr>
      <w:r>
        <w:rPr>
          <w:rFonts w:ascii="arial" w:hAnsi="arial"/>
          <w:sz w:val="22"/>
        </w:rPr>
        <w:t>(f) “</w:t>
      </w:r>
      <w:r>
        <w:rPr>
          <w:rFonts w:ascii="arial" w:hAnsi="arial"/>
          <w:i/>
          <w:sz w:val="22"/>
        </w:rPr>
        <w:t>Cash Incentive Award</w:t>
      </w:r>
      <w:r>
        <w:rPr>
          <w:rFonts w:ascii="arial" w:hAnsi="arial"/>
          <w:sz w:val="22"/>
        </w:rPr>
        <w:t xml:space="preserve">” means an award granted pursuant to Section 8 of the Plan. </w:t>
      </w:r>
    </w:p>
    <w:p>
      <w:pPr>
        <w:pStyle w:val="TextBody"/>
        <w:bidi w:val="0"/>
        <w:spacing w:before="240" w:after="0"/>
        <w:jc w:val="left"/>
        <w:rPr>
          <w:rFonts w:ascii="arial" w:hAnsi="arial"/>
          <w:sz w:val="22"/>
        </w:rPr>
      </w:pPr>
      <w:r>
        <w:rPr>
          <w:rFonts w:ascii="arial" w:hAnsi="arial"/>
          <w:sz w:val="22"/>
        </w:rPr>
        <w:t>(g) “</w:t>
      </w:r>
      <w:r>
        <w:rPr>
          <w:rFonts w:ascii="arial" w:hAnsi="arial"/>
          <w:i/>
          <w:sz w:val="22"/>
        </w:rPr>
        <w:t>Cause</w:t>
      </w:r>
      <w:r>
        <w:rPr>
          <w:rFonts w:ascii="arial" w:hAnsi="arial"/>
          <w:sz w:val="22"/>
        </w:rPr>
        <w:t xml:space="preserve">” shall mean, when used in connection with the termination of a Participant’s Employment, (i) if the Participant is a participant in the Sabre Corporation Executive Severance Plan as of the Grant Date, the definition used in such Executive Severance Plan as of the Grant Date, (ii) if the Participant is not a participant in the Sabre Corporation Executive Severance Plan as of the Grant Date but has an effective employment agreement with the Company or any Affiliated Entity as of the Grant Date, the definition used in such employment agreement as of the Grant Date, or (iii) if the Participant is not a participant in the Sabre Corporation Executive Severance Plan and does not have an effective employment agreement as of the Grant Date, unless otherwise provided in the Participant’s Award Agreement, the termination of the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Participant’s Employment on account of (i) a failure of the Participant to substantially perform his or her duties (other than as a result of physical or mental illness or injury); (ii) the Participant’s willful misconduct or gross negligence which is injurious to the Company or any Affiliated Entity (whether financially, reputationally or otherwise); (iii) a breach by a Participant of the Participant’s fiduciary duty or duty of loyalty to the Company or any Affiliated Entity; (iv) the Participant’s unauthorized removal from the premises of the Company or any Affiliated Entity of any document (in any medium or form) relating to the Company, any Affiliated Entity, or the customers of the Company or any Affiliated Entity other than in the good faith performance of the Participant’s duties; or (v) the indictment or a plea of nolo contendere by the Participant of any felony or other serious crime involving moral turpitude. Any rights the Company or any Affiliated Entity may have hereunder in respect of the events giving rise to Cause shall be in addition to the rights the Company or Affiliated Entity may have under any other agreement with the Employee or at law or in equity. If, subsequent to the termination of Employment of a Participant which is not a participant in the Sabre Corporation Executive Severance Plan as of the Grant Date or without an effective employment agreement as of the Grant Date, it is discovered that such Participant’s Employment could have been terminated for Cause, as such term is defined above (unless otherwise defined in a Grant Agreement), the Participant’s Employment shall, at the election of the Board, in its sole discretion, be deemed to have been terminated for Cause retroactively to the date the events giving rise to Cause occurred. Once an entity ceases to be an Affiliated Entity, even if an effective employment agreement as of the Grant Date was with such entity, such agreement shall continue to apply with regard to defining Cause (and for such purpose references to such entity shall be deemed to be references to the Company and any entity that continues to be an Affiliated Entity). </w:t>
      </w:r>
    </w:p>
    <w:p>
      <w:pPr>
        <w:pStyle w:val="TextBody"/>
        <w:bidi w:val="0"/>
        <w:spacing w:before="240" w:after="0"/>
        <w:jc w:val="left"/>
        <w:rPr>
          <w:rFonts w:ascii="arial" w:hAnsi="arial"/>
          <w:sz w:val="22"/>
        </w:rPr>
      </w:pPr>
      <w:r>
        <w:rPr>
          <w:rFonts w:ascii="arial" w:hAnsi="arial"/>
          <w:sz w:val="22"/>
        </w:rPr>
        <w:t>(h) “</w:t>
      </w:r>
      <w:r>
        <w:rPr>
          <w:rFonts w:ascii="arial" w:hAnsi="arial"/>
          <w:i/>
          <w:sz w:val="22"/>
        </w:rPr>
        <w:t>Change in Control</w:t>
      </w:r>
      <w:r>
        <w:rPr>
          <w:rFonts w:ascii="arial" w:hAnsi="arial"/>
          <w:sz w:val="22"/>
        </w:rPr>
        <w:t xml:space="preserve">” means the occurrence of any of the following events: (i) any sale, lease, exchange or other transfer (in one transaction or a series of related transactions) of all or substantially all of the assets of the Company on a consolidated basis to any Person or group of related persons for purposes of Section 13(d) of the Exchange Act (a “Group”), together with any Affiliates thereof; (ii) the approval by the holders of the outstanding voting power of the Company of any plan or proposal for the liquidation or dissolution of the Company; (iii) any Person or Group(other than any employee benefit plan sponsored by Sabre Corporation) shall become the beneficial owner (within the meaning of Section 13(d) of the Exchange Act), directly or indirectly, of Common Stock representing more than 40% of the aggregate outstanding voting power of the Company and such Person or Group actually has the power to vote such Common Stock in any such election; (iv)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 (v) consummation of a merger or consolidation of the Company with another entity in which the holders of the Common Stock of the Company immediately prior to the consummation of the transaction hold, directly or indirectly, immediately following the consummation of the transaction, less than 50% of the common equity interests in the surviving corporation in such transaction. Notwithstanding the foregoing, with respect to any Award that constitutes “non-qualified deferred compensation” within the meaning of Section 409A of the Code, an event shall not be considered to be a Change in Control under the Plan for purposes of any payment in respect of such Award unless such event is also a “change in ownership,” “change in effective control” or “change in the ownership of a substantial portion of the assets” of the Company within the meaning of Section 409A of the Code. </w:t>
      </w:r>
    </w:p>
    <w:p>
      <w:pPr>
        <w:pStyle w:val="TextBody"/>
        <w:bidi w:val="0"/>
        <w:spacing w:before="240" w:after="0"/>
        <w:jc w:val="left"/>
        <w:rPr>
          <w:rFonts w:ascii="arial" w:hAnsi="arial"/>
          <w:sz w:val="22"/>
        </w:rPr>
      </w:pPr>
      <w:r>
        <w:rPr>
          <w:rFonts w:ascii="arial" w:hAnsi="arial"/>
          <w:sz w:val="22"/>
        </w:rPr>
        <w:t>(i) “</w:t>
      </w:r>
      <w:r>
        <w:rPr>
          <w:rFonts w:ascii="arial" w:hAnsi="arial"/>
          <w:i/>
          <w:sz w:val="22"/>
        </w:rPr>
        <w:t>Code</w:t>
      </w:r>
      <w:r>
        <w:rPr>
          <w:rFonts w:ascii="arial" w:hAnsi="arial"/>
          <w:sz w:val="22"/>
        </w:rPr>
        <w:t xml:space="preserve">” means the Internal Revenue Code of 1986, as amended from time to time, and all regulations, interpretations, and administrative guidance issued thereunder.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A-2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(j) “</w:t>
      </w:r>
      <w:r>
        <w:rPr>
          <w:rFonts w:ascii="arial" w:hAnsi="arial"/>
          <w:i/>
          <w:sz w:val="22"/>
        </w:rPr>
        <w:t>Committee</w:t>
      </w:r>
      <w:r>
        <w:rPr>
          <w:rFonts w:ascii="arial" w:hAnsi="arial"/>
          <w:sz w:val="22"/>
        </w:rPr>
        <w:t xml:space="preserve">” means the Compensation Committee of the Board or such other committee as the Board shall appoint from time to time to administer the Plan and to otherwise exercise and perform the authority and functions assigned to the Committee under the terms of the Plan. </w:t>
      </w:r>
    </w:p>
    <w:p>
      <w:pPr>
        <w:pStyle w:val="TextBody"/>
        <w:bidi w:val="0"/>
        <w:spacing w:before="240" w:after="0"/>
        <w:jc w:val="left"/>
        <w:rPr>
          <w:rFonts w:ascii="arial" w:hAnsi="arial"/>
          <w:sz w:val="22"/>
        </w:rPr>
      </w:pPr>
      <w:r>
        <w:rPr>
          <w:rFonts w:ascii="arial" w:hAnsi="arial"/>
          <w:sz w:val="22"/>
        </w:rPr>
        <w:t>(k) “</w:t>
      </w:r>
      <w:r>
        <w:rPr>
          <w:rFonts w:ascii="arial" w:hAnsi="arial"/>
          <w:i/>
          <w:sz w:val="22"/>
        </w:rPr>
        <w:t>Common Stock</w:t>
      </w:r>
      <w:r>
        <w:rPr>
          <w:rFonts w:ascii="arial" w:hAnsi="arial"/>
          <w:sz w:val="22"/>
        </w:rPr>
        <w:t xml:space="preserve">” means Sabre Corporation Common Stock, $0.01 par value per share, or any other security into which the common stock shall be changed pursuant to the adjustment provisions of Section 11 of the Plan. </w:t>
      </w:r>
    </w:p>
    <w:p>
      <w:pPr>
        <w:pStyle w:val="TextBody"/>
        <w:bidi w:val="0"/>
        <w:spacing w:before="240" w:after="0"/>
        <w:jc w:val="left"/>
        <w:rPr>
          <w:rFonts w:ascii="arial" w:hAnsi="arial"/>
          <w:sz w:val="22"/>
        </w:rPr>
      </w:pPr>
      <w:r>
        <w:rPr>
          <w:rFonts w:ascii="arial" w:hAnsi="arial"/>
          <w:sz w:val="22"/>
        </w:rPr>
        <w:t>(l) “</w:t>
      </w:r>
      <w:r>
        <w:rPr>
          <w:rFonts w:ascii="arial" w:hAnsi="arial"/>
          <w:i/>
          <w:sz w:val="22"/>
        </w:rPr>
        <w:t>Company</w:t>
      </w:r>
      <w:r>
        <w:rPr>
          <w:rFonts w:ascii="arial" w:hAnsi="arial"/>
          <w:sz w:val="22"/>
        </w:rPr>
        <w:t xml:space="preserve">” means Sabre Corporation and all of its Subsidiaries, collectively. For purposes of the Plan, the “Company” shall include any successor to the Company, subject to applicable law. </w:t>
      </w:r>
    </w:p>
    <w:p>
      <w:pPr>
        <w:pStyle w:val="TextBody"/>
        <w:bidi w:val="0"/>
        <w:spacing w:before="240" w:after="0"/>
        <w:jc w:val="left"/>
        <w:rPr>
          <w:rFonts w:ascii="arial" w:hAnsi="arial"/>
          <w:sz w:val="22"/>
        </w:rPr>
      </w:pPr>
      <w:r>
        <w:rPr>
          <w:rFonts w:ascii="arial" w:hAnsi="arial"/>
          <w:sz w:val="22"/>
        </w:rPr>
        <w:t>(m) “</w:t>
      </w:r>
      <w:r>
        <w:rPr>
          <w:rFonts w:ascii="arial" w:hAnsi="arial"/>
          <w:i/>
          <w:sz w:val="22"/>
        </w:rPr>
        <w:t>Deferred Compensation Plan</w:t>
      </w:r>
      <w:r>
        <w:rPr>
          <w:rFonts w:ascii="arial" w:hAnsi="arial"/>
          <w:sz w:val="22"/>
        </w:rPr>
        <w:t xml:space="preserve">” means any plan, agreement or arrangement maintained by the Company from time to time that is established or maintained under this Plan and that provides opportunities for deferral of compensation. </w:t>
      </w:r>
    </w:p>
    <w:p>
      <w:pPr>
        <w:pStyle w:val="TextBody"/>
        <w:bidi w:val="0"/>
        <w:spacing w:before="240" w:after="0"/>
        <w:jc w:val="left"/>
        <w:rPr>
          <w:rFonts w:ascii="arial" w:hAnsi="arial"/>
          <w:sz w:val="22"/>
        </w:rPr>
      </w:pPr>
      <w:r>
        <w:rPr>
          <w:rFonts w:ascii="arial" w:hAnsi="arial"/>
          <w:sz w:val="22"/>
        </w:rPr>
        <w:t>(n) “</w:t>
      </w:r>
      <w:r>
        <w:rPr>
          <w:rFonts w:ascii="arial" w:hAnsi="arial"/>
          <w:i/>
          <w:sz w:val="22"/>
        </w:rPr>
        <w:t>Disability</w:t>
      </w:r>
      <w:r>
        <w:rPr>
          <w:rFonts w:ascii="arial" w:hAnsi="arial"/>
          <w:sz w:val="22"/>
        </w:rPr>
        <w:t xml:space="preserve">” shall mean a permanent disability as defined in the Company’s or an Affiliate’s disability plans, or as determined from time to time by the Company, in its sole discretion, or as specified in the Participant’s Award Agreement, provided that (i) in the event the Participant is a participant in the Sabre Corporation Executive Severance Plan and such Executive Severance Plan contains a different definition of the term “Disability” (or any derivation of such term), the definition in such Executive Severance Plan shall control or (ii) in the event the Participant is not a participant in the Sabre Corporation Executive Severance Plan but is a party to an effective employment agreement with the Company or any Affiliated Entity as of the Grant Date, and such agreement contains or operates under a different definition of “Disability” (or any derivative of such term), the definition of Disability used in such agreement at the time of grant shall be substituted for the definition set forth above for all purposes hereunder. </w:t>
      </w:r>
    </w:p>
    <w:p>
      <w:pPr>
        <w:pStyle w:val="TextBody"/>
        <w:bidi w:val="0"/>
        <w:spacing w:before="240" w:after="0"/>
        <w:jc w:val="left"/>
        <w:rPr>
          <w:rFonts w:ascii="arial" w:hAnsi="arial"/>
          <w:sz w:val="22"/>
        </w:rPr>
      </w:pPr>
      <w:r>
        <w:rPr>
          <w:rFonts w:ascii="arial" w:hAnsi="arial"/>
          <w:sz w:val="22"/>
        </w:rPr>
        <w:t>(o) “</w:t>
      </w:r>
      <w:r>
        <w:rPr>
          <w:rFonts w:ascii="arial" w:hAnsi="arial"/>
          <w:i/>
          <w:sz w:val="22"/>
        </w:rPr>
        <w:t>Effective Date</w:t>
      </w:r>
      <w:r>
        <w:rPr>
          <w:rFonts w:ascii="arial" w:hAnsi="arial"/>
          <w:sz w:val="22"/>
        </w:rPr>
        <w:t xml:space="preserve">” means the date the Plan is approved by the Company’s stockholders. </w:t>
      </w:r>
    </w:p>
    <w:p>
      <w:pPr>
        <w:pStyle w:val="TextBody"/>
        <w:bidi w:val="0"/>
        <w:spacing w:before="240" w:after="0"/>
        <w:jc w:val="left"/>
        <w:rPr>
          <w:rFonts w:ascii="arial" w:hAnsi="arial"/>
          <w:sz w:val="22"/>
        </w:rPr>
      </w:pPr>
      <w:r>
        <w:rPr>
          <w:rFonts w:ascii="arial" w:hAnsi="arial"/>
          <w:sz w:val="22"/>
        </w:rPr>
        <w:t>(p) “</w:t>
      </w:r>
      <w:r>
        <w:rPr>
          <w:rFonts w:ascii="arial" w:hAnsi="arial"/>
          <w:i/>
          <w:sz w:val="22"/>
        </w:rPr>
        <w:t>Employment</w:t>
      </w:r>
      <w:r>
        <w:rPr>
          <w:rFonts w:ascii="arial" w:hAnsi="arial"/>
          <w:sz w:val="22"/>
        </w:rPr>
        <w:t>” shall mean, except as otherwise required by Section 409A of the Code, employment with the Company or any Affiliated Entity, and shall include the provision of services as a consultant for the Company or any Affiliated Entity. A Participant’s Employment shall terminate on the date the Participant is no longer employed by an entity that is at least one of (i) the Company, (ii) an Affiliate, or (iii) an entity that is an Affiliated Entity as of such date. “</w:t>
      </w:r>
      <w:r>
        <w:rPr>
          <w:rFonts w:ascii="arial" w:hAnsi="arial"/>
          <w:i/>
          <w:sz w:val="22"/>
        </w:rPr>
        <w:t>Employed</w:t>
      </w:r>
      <w:r>
        <w:rPr>
          <w:rFonts w:ascii="arial" w:hAnsi="arial"/>
          <w:sz w:val="22"/>
        </w:rPr>
        <w:t xml:space="preserve">” shall have a correlative meaning. </w:t>
      </w:r>
    </w:p>
    <w:p>
      <w:pPr>
        <w:pStyle w:val="TextBody"/>
        <w:bidi w:val="0"/>
        <w:spacing w:before="240" w:after="0"/>
        <w:jc w:val="left"/>
        <w:rPr>
          <w:rFonts w:ascii="arial" w:hAnsi="arial"/>
          <w:sz w:val="22"/>
        </w:rPr>
      </w:pPr>
      <w:r>
        <w:rPr>
          <w:rFonts w:ascii="arial" w:hAnsi="arial"/>
          <w:sz w:val="22"/>
        </w:rPr>
        <w:t>(q) “</w:t>
      </w:r>
      <w:r>
        <w:rPr>
          <w:rFonts w:ascii="arial" w:hAnsi="arial"/>
          <w:i/>
          <w:sz w:val="22"/>
        </w:rPr>
        <w:t>Exchange Act</w:t>
      </w:r>
      <w:r>
        <w:rPr>
          <w:rFonts w:ascii="arial" w:hAnsi="arial"/>
          <w:sz w:val="22"/>
        </w:rPr>
        <w:t xml:space="preserve">” means the Securities Exchange Act of 1934, as amended. </w:t>
      </w:r>
    </w:p>
    <w:p>
      <w:pPr>
        <w:pStyle w:val="TextBody"/>
        <w:bidi w:val="0"/>
        <w:spacing w:before="240" w:after="0"/>
        <w:jc w:val="left"/>
        <w:rPr>
          <w:rFonts w:ascii="arial" w:hAnsi="arial"/>
          <w:sz w:val="22"/>
        </w:rPr>
      </w:pPr>
      <w:r>
        <w:rPr>
          <w:rFonts w:ascii="arial" w:hAnsi="arial"/>
          <w:sz w:val="22"/>
        </w:rPr>
        <w:t>(r) “</w:t>
      </w:r>
      <w:r>
        <w:rPr>
          <w:rFonts w:ascii="arial" w:hAnsi="arial"/>
          <w:i/>
          <w:sz w:val="22"/>
        </w:rPr>
        <w:t>Fair Market Value</w:t>
      </w:r>
      <w:r>
        <w:rPr>
          <w:rFonts w:ascii="arial" w:hAnsi="arial"/>
          <w:sz w:val="22"/>
        </w:rPr>
        <w:t xml:space="preserve">” means, with respect to a share of Common Stock, as of the applicable date of determination (i) closing price of a share of Common Stock on the date of grant as reported on the principal securities exchange on which shares of Common Stock are then listed or admitted to trading or (ii) if not so reported, the average of the closing bid and ask prices on the date of grant as reported on the NASDAQ Stock Market. In the event that the price of a share of Common Stock shall not be so reported, the Fair Market Value of a share of Common Stock shall be determined by the Committee in its sole discretion taking into account the requirements of Section 409A of the Code. </w:t>
      </w:r>
    </w:p>
    <w:p>
      <w:pPr>
        <w:pStyle w:val="TextBody"/>
        <w:bidi w:val="0"/>
        <w:spacing w:before="240" w:after="0"/>
        <w:jc w:val="left"/>
        <w:rPr>
          <w:rFonts w:ascii="arial" w:hAnsi="arial"/>
          <w:sz w:val="22"/>
        </w:rPr>
      </w:pPr>
      <w:r>
        <w:rPr>
          <w:rFonts w:ascii="arial" w:hAnsi="arial"/>
          <w:sz w:val="22"/>
        </w:rPr>
        <w:t>(s) “</w:t>
      </w:r>
      <w:r>
        <w:rPr>
          <w:rFonts w:ascii="arial" w:hAnsi="arial"/>
          <w:i/>
          <w:sz w:val="22"/>
        </w:rPr>
        <w:t>Good Reason</w:t>
      </w:r>
      <w:r>
        <w:rPr>
          <w:rFonts w:ascii="arial" w:hAnsi="arial"/>
          <w:sz w:val="22"/>
        </w:rPr>
        <w:t xml:space="preserve">” shall mean, unless otherwise defined in a Participant’s Award Agreement (i) a material diminution in a Participant’s duties and responsibilities other than a change in such Participant’s duties and responsibilities that results from becoming part of a larger organization following a Change in Control, (ii) a decrease in a Participant’s base salary or bonus opportunity other than a proportionate decrease in bonus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opportunity of less than 10% that applies to employees generally of the Company or its Affiliates otherwise eligible to participate in the affected plan, or (iii) a relocation of a Participant’s primary work location more than 50 miles from the Participant’s work location immediately prior to the Participant’s commencement of participation in the Plan, without the Participant’s prior written consent; provided, that, within twenty days following the occurrence of any of the events set forth herein, the Participant shall have delivered written notice to the Company of his or her intention to terminate his or her Employment for Good Reason, which notice specifies in reasonable detail the circumstances claimed to give rise to the Participant’s right to terminate Employment for Good Reason, and the Company shall not have cured such circumstances within thirty days following the Company’s receipt of such notice. Notwithstanding the foregoing, if, as of the Grant Date, the Participant is a participant in the Sabre Corporation Executive Severance Plan and such Executive Severance Plan contains a different definition of the term “Good Reason” (or any derivation of such term), the definition in such Executive Severance Plan as of the Grant Date shall control or, if the Participant is not a participant in the Sabre Corporation Executive Severance Plan but is a party to an effective employment with the Company or any Affiliated Entity that contains a different definition of the term “Good Reason” (or any derivation of such term), the definition in such employment agreement as of the Grant Date shall control. Once an entity ceases to be an Affiliated Entity, even if an effective employment agreement as of the Grant Date was with such entity, such agreement shall continue to apply with regard to defining Good Reason (and for such purpose references to such entity shall be deemed to be references to the Company and any entity that continues to be an Affiliated Entity). </w:t>
      </w:r>
    </w:p>
    <w:p>
      <w:pPr>
        <w:pStyle w:val="TextBody"/>
        <w:bidi w:val="0"/>
        <w:spacing w:before="240" w:after="0"/>
        <w:jc w:val="left"/>
        <w:rPr>
          <w:rFonts w:ascii="arial" w:hAnsi="arial"/>
          <w:sz w:val="22"/>
        </w:rPr>
      </w:pPr>
      <w:r>
        <w:rPr>
          <w:rFonts w:ascii="arial" w:hAnsi="arial"/>
          <w:sz w:val="22"/>
        </w:rPr>
        <w:t>(t) “</w:t>
      </w:r>
      <w:r>
        <w:rPr>
          <w:rFonts w:ascii="arial" w:hAnsi="arial"/>
          <w:i/>
          <w:sz w:val="22"/>
        </w:rPr>
        <w:t>Grant Date</w:t>
      </w:r>
      <w:r>
        <w:rPr>
          <w:rFonts w:ascii="arial" w:hAnsi="arial"/>
          <w:sz w:val="22"/>
        </w:rPr>
        <w:t xml:space="preserve">” means the date designated by the Committee and specified in the Award Agreement as the date the Award is granted. </w:t>
      </w:r>
    </w:p>
    <w:p>
      <w:pPr>
        <w:pStyle w:val="TextBody"/>
        <w:bidi w:val="0"/>
        <w:spacing w:before="240" w:after="0"/>
        <w:jc w:val="left"/>
        <w:rPr>
          <w:rFonts w:ascii="arial" w:hAnsi="arial"/>
          <w:sz w:val="22"/>
        </w:rPr>
      </w:pPr>
      <w:r>
        <w:rPr>
          <w:rFonts w:ascii="arial" w:hAnsi="arial"/>
          <w:sz w:val="22"/>
        </w:rPr>
        <w:t>(u) “</w:t>
      </w:r>
      <w:r>
        <w:rPr>
          <w:rFonts w:ascii="arial" w:hAnsi="arial"/>
          <w:i/>
          <w:sz w:val="22"/>
        </w:rPr>
        <w:t>Incentive Stock Option</w:t>
      </w:r>
      <w:r>
        <w:rPr>
          <w:rFonts w:ascii="arial" w:hAnsi="arial"/>
          <w:sz w:val="22"/>
        </w:rPr>
        <w:t xml:space="preserve">” means an Option qualified under Section 422 of the Code. </w:t>
      </w:r>
    </w:p>
    <w:p>
      <w:pPr>
        <w:pStyle w:val="TextBody"/>
        <w:bidi w:val="0"/>
        <w:spacing w:before="240" w:after="0"/>
        <w:jc w:val="left"/>
        <w:rPr>
          <w:rFonts w:ascii="arial" w:hAnsi="arial"/>
          <w:sz w:val="22"/>
        </w:rPr>
      </w:pPr>
      <w:r>
        <w:rPr>
          <w:rFonts w:ascii="arial" w:hAnsi="arial"/>
          <w:sz w:val="22"/>
        </w:rPr>
        <w:t>(v) “</w:t>
      </w:r>
      <w:r>
        <w:rPr>
          <w:rFonts w:ascii="arial" w:hAnsi="arial"/>
          <w:i/>
          <w:sz w:val="22"/>
        </w:rPr>
        <w:t>Non-Qualified Stock Option</w:t>
      </w:r>
      <w:r>
        <w:rPr>
          <w:rFonts w:ascii="arial" w:hAnsi="arial"/>
          <w:sz w:val="22"/>
        </w:rPr>
        <w:t xml:space="preserve">” means an Option that is not an “incentive stock option” within the meaning of Section 422 of the Code. </w:t>
      </w:r>
    </w:p>
    <w:p>
      <w:pPr>
        <w:pStyle w:val="TextBody"/>
        <w:bidi w:val="0"/>
        <w:spacing w:before="240" w:after="0"/>
        <w:jc w:val="left"/>
        <w:rPr>
          <w:rFonts w:ascii="arial" w:hAnsi="arial"/>
          <w:sz w:val="22"/>
        </w:rPr>
      </w:pPr>
      <w:r>
        <w:rPr>
          <w:rFonts w:ascii="arial" w:hAnsi="arial"/>
          <w:sz w:val="22"/>
        </w:rPr>
        <w:t>(w) “</w:t>
      </w:r>
      <w:r>
        <w:rPr>
          <w:rFonts w:ascii="arial" w:hAnsi="arial"/>
          <w:i/>
          <w:sz w:val="22"/>
        </w:rPr>
        <w:t>Option</w:t>
      </w:r>
      <w:r>
        <w:rPr>
          <w:rFonts w:ascii="arial" w:hAnsi="arial"/>
          <w:sz w:val="22"/>
        </w:rPr>
        <w:t xml:space="preserve">” means a stock option to purchase shares of Common Stock granted to a Participant pursuant to Section 6 of the Plan. </w:t>
      </w:r>
    </w:p>
    <w:p>
      <w:pPr>
        <w:pStyle w:val="TextBody"/>
        <w:bidi w:val="0"/>
        <w:spacing w:before="240" w:after="0"/>
        <w:jc w:val="left"/>
        <w:rPr>
          <w:rFonts w:ascii="arial" w:hAnsi="arial"/>
          <w:sz w:val="22"/>
        </w:rPr>
      </w:pPr>
      <w:r>
        <w:rPr>
          <w:rFonts w:ascii="arial" w:hAnsi="arial"/>
          <w:sz w:val="22"/>
        </w:rPr>
        <w:t>(x) “</w:t>
      </w:r>
      <w:r>
        <w:rPr>
          <w:rFonts w:ascii="arial" w:hAnsi="arial"/>
          <w:i/>
          <w:sz w:val="22"/>
        </w:rPr>
        <w:t>Other Stock-Based Award</w:t>
      </w:r>
      <w:r>
        <w:rPr>
          <w:rFonts w:ascii="arial" w:hAnsi="arial"/>
          <w:sz w:val="22"/>
        </w:rPr>
        <w:t xml:space="preserve">” means an award granted to a Participant pursuant to Section 7 of the Plan. </w:t>
      </w:r>
    </w:p>
    <w:p>
      <w:pPr>
        <w:pStyle w:val="TextBody"/>
        <w:bidi w:val="0"/>
        <w:spacing w:before="240" w:after="0"/>
        <w:jc w:val="left"/>
        <w:rPr>
          <w:rFonts w:ascii="arial" w:hAnsi="arial"/>
          <w:sz w:val="22"/>
        </w:rPr>
      </w:pPr>
      <w:r>
        <w:rPr>
          <w:rFonts w:ascii="arial" w:hAnsi="arial"/>
          <w:sz w:val="22"/>
        </w:rPr>
        <w:t>(y) “</w:t>
      </w:r>
      <w:r>
        <w:rPr>
          <w:rFonts w:ascii="arial" w:hAnsi="arial"/>
          <w:i/>
          <w:sz w:val="22"/>
        </w:rPr>
        <w:t>Participant</w:t>
      </w:r>
      <w:r>
        <w:rPr>
          <w:rFonts w:ascii="arial" w:hAnsi="arial"/>
          <w:sz w:val="22"/>
        </w:rPr>
        <w:t xml:space="preserve">” means an employee or other individual service provider of the Company who is eligible to participate in the Plan and to whom one or more Awards have been granted and, following the death of any such Person, his successors, heirs, executors, and administrators, as the case may be. For the avoidance of doubt, an individual who is serving as both an employee or individual consultant or other service provider in addition to his or her service as a member of the Board, such as an individual serving as an Executive Chair of the Board or in another similar position, will be eligible to participate in the Plan and receive Awards hereunder (to the extent determined by the Committee from time to time) in respect of such employment or other provision of services. </w:t>
      </w:r>
    </w:p>
    <w:p>
      <w:pPr>
        <w:pStyle w:val="TextBody"/>
        <w:bidi w:val="0"/>
        <w:spacing w:before="240" w:after="0"/>
        <w:jc w:val="left"/>
        <w:rPr>
          <w:rFonts w:ascii="arial" w:hAnsi="arial"/>
          <w:sz w:val="22"/>
        </w:rPr>
      </w:pPr>
      <w:r>
        <w:rPr>
          <w:rFonts w:ascii="arial" w:hAnsi="arial"/>
          <w:sz w:val="22"/>
        </w:rPr>
        <w:t>(z) “</w:t>
      </w:r>
      <w:r>
        <w:rPr>
          <w:rFonts w:ascii="arial" w:hAnsi="arial"/>
          <w:i/>
          <w:sz w:val="22"/>
        </w:rPr>
        <w:t>Performance Measures</w:t>
      </w:r>
      <w:r>
        <w:rPr>
          <w:rFonts w:ascii="arial" w:hAnsi="arial"/>
          <w:sz w:val="22"/>
        </w:rPr>
        <w:t xml:space="preserve">” means such measures as are described in Section 9. </w:t>
      </w:r>
    </w:p>
    <w:p>
      <w:pPr>
        <w:pStyle w:val="TextBody"/>
        <w:bidi w:val="0"/>
        <w:spacing w:before="240" w:after="0"/>
        <w:jc w:val="left"/>
        <w:rPr>
          <w:rFonts w:ascii="arial" w:hAnsi="arial"/>
          <w:sz w:val="22"/>
        </w:rPr>
      </w:pPr>
      <w:r>
        <w:rPr>
          <w:rFonts w:ascii="arial" w:hAnsi="arial"/>
          <w:sz w:val="22"/>
        </w:rPr>
        <w:t>(aa) “</w:t>
      </w:r>
      <w:r>
        <w:rPr>
          <w:rFonts w:ascii="arial" w:hAnsi="arial"/>
          <w:i/>
          <w:sz w:val="22"/>
        </w:rPr>
        <w:t>Person</w:t>
      </w:r>
      <w:r>
        <w:rPr>
          <w:rFonts w:ascii="arial" w:hAnsi="arial"/>
          <w:sz w:val="22"/>
        </w:rPr>
        <w:t xml:space="preserve">” means a “person” as such term is used in Sections 13(d) and 14(d) of the Exchange Act, including any “group” within the meaning of Section 13(d)(3) of the Exchange Act. </w:t>
      </w:r>
    </w:p>
    <w:p>
      <w:pPr>
        <w:pStyle w:val="TextBody"/>
        <w:bidi w:val="0"/>
        <w:spacing w:before="0" w:after="0"/>
        <w:jc w:val="left"/>
        <w:rPr/>
      </w:pPr>
      <w:r>
        <w:rPr/>
        <w:t>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A-4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(ab) “</w:t>
      </w:r>
      <w:r>
        <w:rPr>
          <w:rFonts w:ascii="arial" w:hAnsi="arial"/>
          <w:i/>
          <w:sz w:val="22"/>
        </w:rPr>
        <w:t>Plan”</w:t>
      </w:r>
      <w:r>
        <w:rPr>
          <w:rFonts w:ascii="arial" w:hAnsi="arial"/>
          <w:sz w:val="22"/>
        </w:rPr>
        <w:t xml:space="preserve"> means this Sabre Corporation 2025 Omnibus Incentive Compensation Plan, as it may be amended from time to time. </w:t>
      </w:r>
    </w:p>
    <w:p>
      <w:pPr>
        <w:pStyle w:val="TextBody"/>
        <w:bidi w:val="0"/>
        <w:spacing w:before="240" w:after="0"/>
        <w:jc w:val="left"/>
        <w:rPr>
          <w:rFonts w:ascii="arial" w:hAnsi="arial"/>
          <w:sz w:val="22"/>
        </w:rPr>
      </w:pPr>
      <w:r>
        <w:rPr>
          <w:rFonts w:ascii="arial" w:hAnsi="arial"/>
          <w:sz w:val="22"/>
        </w:rPr>
        <w:t>(ac) “</w:t>
      </w:r>
      <w:r>
        <w:rPr>
          <w:rFonts w:ascii="arial" w:hAnsi="arial"/>
          <w:i/>
          <w:sz w:val="22"/>
        </w:rPr>
        <w:t xml:space="preserve">Prior Plans” </w:t>
      </w:r>
      <w:r>
        <w:rPr>
          <w:rFonts w:ascii="arial" w:hAnsi="arial"/>
          <w:sz w:val="22"/>
        </w:rPr>
        <w:t xml:space="preserve">mean the Sabre Corporation 2024 Omnibus Incentive Compensation Plan, Sabre Corporation 2023 Omnibus Incentive Compensation Plan, the Sabre Corporation 2021 Omnibus Incentive Compensation Plan, the Sabre Corporation 2019 Omnibus Incentive Compensation Plan, the Sabre Corporation 2016 Omnibus Incentive Compensation Plan, the Sabre Corporation 2014 Omnibus Incentive Compensation Plan, the Sovereign Holdings, Inc. 2012 Management Equity Incentive Plan, the Sovereign Holdings, Inc. 2007 Management Equity Incentive Plan (as amended in 2010), and the Sovereign Holdings, Inc. Stock Incentive Plan. </w:t>
      </w:r>
    </w:p>
    <w:p>
      <w:pPr>
        <w:pStyle w:val="TextBody"/>
        <w:bidi w:val="0"/>
        <w:spacing w:before="240" w:after="0"/>
        <w:jc w:val="left"/>
        <w:rPr>
          <w:rFonts w:ascii="arial" w:hAnsi="arial"/>
          <w:sz w:val="22"/>
        </w:rPr>
      </w:pPr>
      <w:r>
        <w:rPr>
          <w:rFonts w:ascii="arial" w:hAnsi="arial"/>
          <w:sz w:val="22"/>
        </w:rPr>
        <w:t>(ad) “</w:t>
      </w:r>
      <w:r>
        <w:rPr>
          <w:rFonts w:ascii="arial" w:hAnsi="arial"/>
          <w:i/>
          <w:sz w:val="22"/>
        </w:rPr>
        <w:t>Qualifying Termination</w:t>
      </w:r>
      <w:r>
        <w:rPr>
          <w:rFonts w:ascii="arial" w:hAnsi="arial"/>
          <w:sz w:val="22"/>
        </w:rPr>
        <w:t xml:space="preserve">” shall mean, with respect to a Participant, (i) a termination of such Participant’s Employment by the Company, the surviving corporation, or any of the Company’s or the surviving corporation’s then-Affiliated Entities without Cause or by the Participant for Good Reason, or (ii) a termination of such Participant’s Employment in the event of a Participant’s death or Disability, in each of (i) or (ii), following a Change in Control of the Company. It is understood that a Participant shall not have a Qualifying Termination by virtue of ceasing to be Employed by an entity or its subsidiaries undergoing a Change in Control where, following such Change in Control, the Participant remains employed by an entity that was an Affiliated Entity of the entity or its subsidiaries undergoing a Change in Control immediately prior to such Change in Control. </w:t>
      </w:r>
    </w:p>
    <w:p>
      <w:pPr>
        <w:pStyle w:val="TextBody"/>
        <w:bidi w:val="0"/>
        <w:spacing w:before="240" w:after="0"/>
        <w:jc w:val="left"/>
        <w:rPr>
          <w:rFonts w:ascii="arial" w:hAnsi="arial"/>
          <w:sz w:val="22"/>
        </w:rPr>
      </w:pPr>
      <w:r>
        <w:rPr>
          <w:rFonts w:ascii="arial" w:hAnsi="arial"/>
          <w:sz w:val="22"/>
        </w:rPr>
        <w:t>(ae) “</w:t>
      </w:r>
      <w:r>
        <w:rPr>
          <w:rFonts w:ascii="arial" w:hAnsi="arial"/>
          <w:i/>
          <w:sz w:val="22"/>
        </w:rPr>
        <w:t>Sabre Corporation</w:t>
      </w:r>
      <w:r>
        <w:rPr>
          <w:rFonts w:ascii="arial" w:hAnsi="arial"/>
          <w:sz w:val="22"/>
        </w:rPr>
        <w:t xml:space="preserve">” means Sabre Corporation, a Delaware corporation, and any successor thereto. </w:t>
      </w:r>
    </w:p>
    <w:p>
      <w:pPr>
        <w:pStyle w:val="TextBody"/>
        <w:bidi w:val="0"/>
        <w:spacing w:before="240" w:after="0"/>
        <w:jc w:val="left"/>
        <w:rPr>
          <w:rFonts w:ascii="arial" w:hAnsi="arial"/>
          <w:sz w:val="22"/>
        </w:rPr>
      </w:pPr>
      <w:r>
        <w:rPr>
          <w:rFonts w:ascii="arial" w:hAnsi="arial"/>
          <w:sz w:val="22"/>
        </w:rPr>
        <w:t>(af) “</w:t>
      </w:r>
      <w:r>
        <w:rPr>
          <w:rFonts w:ascii="arial" w:hAnsi="arial"/>
          <w:i/>
          <w:sz w:val="22"/>
        </w:rPr>
        <w:t>Securities Act</w:t>
      </w:r>
      <w:r>
        <w:rPr>
          <w:rFonts w:ascii="arial" w:hAnsi="arial"/>
          <w:sz w:val="22"/>
        </w:rPr>
        <w:t xml:space="preserve">” means the Securities Act of 1933, as amended. </w:t>
      </w:r>
    </w:p>
    <w:p>
      <w:pPr>
        <w:pStyle w:val="TextBody"/>
        <w:bidi w:val="0"/>
        <w:spacing w:before="240" w:after="0"/>
        <w:jc w:val="left"/>
        <w:rPr>
          <w:rFonts w:ascii="arial" w:hAnsi="arial"/>
          <w:sz w:val="22"/>
        </w:rPr>
      </w:pPr>
      <w:r>
        <w:rPr>
          <w:rFonts w:ascii="arial" w:hAnsi="arial"/>
          <w:sz w:val="22"/>
        </w:rPr>
        <w:t>(ag) “</w:t>
      </w:r>
      <w:r>
        <w:rPr>
          <w:rFonts w:ascii="arial" w:hAnsi="arial"/>
          <w:i/>
          <w:sz w:val="22"/>
        </w:rPr>
        <w:t>Subsidiary</w:t>
      </w:r>
      <w:r>
        <w:rPr>
          <w:rFonts w:ascii="arial" w:hAnsi="arial"/>
          <w:sz w:val="22"/>
        </w:rPr>
        <w:t xml:space="preserve">” means any “subsidiary” within the meaning of Rule 405 under the Securities Act. </w:t>
      </w:r>
    </w:p>
    <w:p>
      <w:pPr>
        <w:pStyle w:val="TextBody"/>
        <w:bidi w:val="0"/>
        <w:spacing w:before="240" w:after="0"/>
        <w:jc w:val="left"/>
        <w:rPr>
          <w:rFonts w:ascii="arial" w:hAnsi="arial"/>
          <w:b/>
          <w:color w:val="CF0A2C"/>
          <w:sz w:val="28"/>
        </w:rPr>
      </w:pPr>
      <w:r>
        <w:rPr>
          <w:rFonts w:ascii="arial" w:hAnsi="arial"/>
          <w:b/>
          <w:color w:val="CF0A2C"/>
          <w:sz w:val="28"/>
        </w:rPr>
        <w:t xml:space="preserve">3. Stock Subject to the Plan, Share Counting Rules, and Individual Award Limits.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Subject to adjustment as provided in Section 11 and the provisions of this Section 3, the number of shares of Common Stock that may be covered by Awards granted under the Plan shall be the sum of: (i) 20,000,000 shares of Common Stock, (ii) the number of shares remaining available for issuance under the Prior Plans that are not the subject of outstanding Awards as of the Effective Date, and (iii) any shares subject to outstanding Awards under any Prior Plan as of the Effective Date that become available for issuance in accordance with the share counting provisions of such Prior Plans. Shares of Common Stock issued under the Plan may be either authorized and unissued shares or treasury shares, or both, in the sole discretion of the Committee. </w:t>
      </w:r>
    </w:p>
    <w:p>
      <w:pPr>
        <w:pStyle w:val="TextBody"/>
        <w:bidi w:val="0"/>
        <w:spacing w:before="240" w:after="0"/>
        <w:jc w:val="left"/>
        <w:rPr>
          <w:rFonts w:ascii="arial" w:hAnsi="arial"/>
          <w:sz w:val="22"/>
        </w:rPr>
      </w:pPr>
      <w:r>
        <w:rPr>
          <w:rFonts w:ascii="arial" w:hAnsi="arial"/>
          <w:sz w:val="22"/>
        </w:rPr>
        <w:t xml:space="preserve">(b) For purposes of the preceding paragraph, shares of Common Stock covered by Awards shall only be counted as used or issued to the extent they are actually issued and delivered to a Participant (or such Participant’s permitted transferees as described in the Plan) pursuant to the Plan provided, however, that if the exercise price or tax withholding requirements related to any Award granted under the Plan is satisfied through the withholding by the Company of shares of Common Stock that are otherwise then deliverable in respect of such Award or through actual or constructive transfer to the Company of shares of Common Stock already owned, the number of shares of Common Stock withheld or transferred, will be deemed delivered for purposes of determining the number of shares of Common Stock available for issuance or transfer under the Plan. Furthermore, any shares of Common Stock received by a Participant in connection with an exercise of Options that are subsequently repurchased by the Company will be deemed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delivered for purposes of determining the number of shares of Common Stock available for issuance or transfer under the Plan. However, if all or any portion of an Award issued pursuant to the Plan expires, or is forfeited, terminated or cancelled, without the issuance of shares of Common Stock, or is exchanged with the Committee’s permission, prior to the issuance of shares of Common Stock, for an Award not involving shares of Common Stock, the number of shares of Common Stock subject to Awards that have been so forfeited, terminated, cancelled, or have expired, as the case may be, will again be available for issuance or transfer under the Plan. In addition, because shares of Common Stock will count against the number reserved in Section 3(a) upon delivery, and subject to the share counting rules under this Section 3(b), the Committee may determine that Awards may be outstanding that relate to a greater number of shares of Common Stock than the aggregate remaining available under the Plan, so long as Awards will not result in delivery and vesting of shares of Common Stock in excess of the number then available under the Plan. </w:t>
      </w:r>
    </w:p>
    <w:p>
      <w:pPr>
        <w:pStyle w:val="TextBody"/>
        <w:bidi w:val="0"/>
        <w:spacing w:before="240" w:after="0"/>
        <w:jc w:val="left"/>
        <w:rPr>
          <w:rFonts w:ascii="arial" w:hAnsi="arial"/>
          <w:sz w:val="22"/>
        </w:rPr>
      </w:pPr>
      <w:r>
        <w:rPr>
          <w:rFonts w:ascii="arial" w:hAnsi="arial"/>
          <w:sz w:val="22"/>
        </w:rPr>
        <w:t xml:space="preserve">(c) Shares of Common Stock covered by Awards granted pursuant to the Plan in connection with the assumption, replacement, conversion, or adjustment of outstanding equity-based awards in the context of a corporate acquisition or merger (within the meaning of NASDAQ Listing Rule 5635) as provided in Section 11 of the Plan shall not count as used under the Plan for purposes of Section 3. </w:t>
      </w:r>
    </w:p>
    <w:p>
      <w:pPr>
        <w:pStyle w:val="TextBody"/>
        <w:bidi w:val="0"/>
        <w:spacing w:before="240" w:after="0"/>
        <w:jc w:val="left"/>
        <w:rPr>
          <w:rFonts w:ascii="arial" w:hAnsi="arial"/>
          <w:sz w:val="22"/>
        </w:rPr>
      </w:pPr>
      <w:r>
        <w:rPr>
          <w:rFonts w:ascii="arial" w:hAnsi="arial"/>
          <w:sz w:val="22"/>
        </w:rPr>
        <w:t xml:space="preserve">(d) Notwithstanding anything in the Plan to the contrary, and subject to adjustment as provided in Section 11: </w:t>
      </w:r>
    </w:p>
    <w:p>
      <w:pPr>
        <w:pStyle w:val="TextBody"/>
        <w:bidi w:val="0"/>
        <w:spacing w:before="240" w:after="0"/>
        <w:jc w:val="left"/>
        <w:rPr>
          <w:rFonts w:ascii="arial" w:hAnsi="arial"/>
          <w:sz w:val="22"/>
        </w:rPr>
      </w:pPr>
      <w:r>
        <w:rPr>
          <w:rFonts w:ascii="arial" w:hAnsi="arial"/>
          <w:sz w:val="22"/>
        </w:rPr>
        <w:t xml:space="preserve">(i) the number of shares of Common Stock that may be covered by Incentive Stock Options shall not exceed 20,000,000 shares of Common Stock in the aggregate; </w:t>
      </w:r>
    </w:p>
    <w:p>
      <w:pPr>
        <w:pStyle w:val="TextBody"/>
        <w:bidi w:val="0"/>
        <w:spacing w:before="240" w:after="0"/>
        <w:jc w:val="left"/>
        <w:rPr>
          <w:rFonts w:ascii="arial" w:hAnsi="arial"/>
          <w:sz w:val="22"/>
        </w:rPr>
      </w:pPr>
      <w:r>
        <w:rPr>
          <w:rFonts w:ascii="arial" w:hAnsi="arial"/>
          <w:sz w:val="22"/>
        </w:rPr>
        <w:t xml:space="preserve">(ii) the number of shares of Common Stock that may be covered by Awards (other than Options or stock appreciation rights) granted under the Plan to any Participant in a single fiscal year of the Company may not exceed 3,000,000 shares, and the number of shares of Common Stock that may be covered by Options or stock appreciation rights granted under the Plan to any Participant in a single fiscal year of the Company may not exceed 3,000,000 shares; and </w:t>
      </w:r>
    </w:p>
    <w:p>
      <w:pPr>
        <w:pStyle w:val="TextBody"/>
        <w:bidi w:val="0"/>
        <w:spacing w:before="240" w:after="0"/>
        <w:jc w:val="left"/>
        <w:rPr>
          <w:rFonts w:ascii="arial" w:hAnsi="arial"/>
          <w:sz w:val="22"/>
        </w:rPr>
      </w:pPr>
      <w:r>
        <w:rPr>
          <w:rFonts w:ascii="arial" w:hAnsi="arial"/>
          <w:sz w:val="22"/>
        </w:rPr>
        <w:t xml:space="preserve">(iii) the amount payable with respect to any Cash Incentive Award granted under the Plan to any Participant in a single fiscal year of the Company that is subject to performance-based vesting may not exceed $5,000,000. </w:t>
      </w:r>
    </w:p>
    <w:p>
      <w:pPr>
        <w:pStyle w:val="TextBody"/>
        <w:bidi w:val="0"/>
        <w:spacing w:before="360" w:after="0"/>
        <w:jc w:val="left"/>
        <w:rPr>
          <w:rFonts w:ascii="arial" w:hAnsi="arial"/>
          <w:b/>
          <w:color w:val="CF0A2C"/>
          <w:sz w:val="28"/>
        </w:rPr>
      </w:pPr>
      <w:r>
        <w:rPr>
          <w:rFonts w:ascii="arial" w:hAnsi="arial"/>
          <w:b/>
          <w:color w:val="CF0A2C"/>
          <w:sz w:val="28"/>
        </w:rPr>
        <w:t xml:space="preserve">4. Administration of the Plan.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w:t>
      </w:r>
      <w:r>
        <w:rPr>
          <w:rFonts w:ascii="arial" w:hAnsi="arial"/>
          <w:i/>
          <w:sz w:val="22"/>
        </w:rPr>
        <w:t>The Committee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The Plan shall be administered by the Board or a Committee of the Board consisting of two or more persons, each of whom may, from time to time, qualify as a “non-employee director” (within the meaning of Rule 16b-3 promulgated under Section 16 of the Exchange Act) and as “independent” within the meaning of any applicable stock exchange or similar regulatory authority on which the Common Stock is then listed, in each case if and to the extent required by applicable law.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 xml:space="preserve">Grant of Awards </w:t>
      </w:r>
    </w:p>
    <w:p>
      <w:pPr>
        <w:pStyle w:val="TextBody"/>
        <w:bidi w:val="0"/>
        <w:spacing w:before="240" w:after="0"/>
        <w:jc w:val="left"/>
        <w:rPr>
          <w:rFonts w:ascii="arial" w:hAnsi="arial"/>
          <w:sz w:val="22"/>
        </w:rPr>
      </w:pPr>
      <w:r>
        <w:rPr>
          <w:rFonts w:ascii="arial" w:hAnsi="arial"/>
          <w:sz w:val="22"/>
        </w:rPr>
        <w:t xml:space="preserve">(i) The Committee shall, consistent with the terms of the Plan, from time to time designate those individuals who shall be granted Awards under the Plan and the amount, type, and other terms and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A-6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conditions of such Awards, which need not be identical for each Participant. The Committee shall have full discretionary authority to administer the Plan, including discretionary authority to interpret and construe any and all provisions of the Plan and the terms of any Award (and any Award Agreement) granted thereunder and to adopt, amend and rescind from time to time such rules and regulations for the administration of the Plan as the Committee may deem necessary or appropriate. Decisions of the Committee shall be final, binding, and conclusive on all parties. </w:t>
      </w:r>
    </w:p>
    <w:p>
      <w:pPr>
        <w:pStyle w:val="TextBody"/>
        <w:bidi w:val="0"/>
        <w:spacing w:before="240" w:after="0"/>
        <w:jc w:val="left"/>
        <w:rPr>
          <w:rFonts w:ascii="arial" w:hAnsi="arial"/>
          <w:sz w:val="22"/>
        </w:rPr>
      </w:pPr>
      <w:r>
        <w:rPr>
          <w:rFonts w:ascii="arial" w:hAnsi="arial"/>
          <w:sz w:val="22"/>
        </w:rPr>
        <w:t xml:space="preserve">(ii) Awards granted under the Plan may, in the Committee’s discretion, be granted either alone or in addition to, in tandem with, or in substitution or exchange for, any other Award, any award granted under another plan of the Company or any business entity to be acquired by the Company, or any other right of a Participant to receive payment from the Company. Awards granted in addition to or in tandem with other Awards or awards may be granted either as of the same time as, or a different time from, the grant of such other Awards or awards. </w:t>
      </w:r>
    </w:p>
    <w:p>
      <w:pPr>
        <w:pStyle w:val="TextBody"/>
        <w:bidi w:val="0"/>
        <w:spacing w:before="240" w:after="0"/>
        <w:jc w:val="left"/>
        <w:rPr>
          <w:rFonts w:ascii="arial" w:hAnsi="arial"/>
          <w:sz w:val="22"/>
        </w:rPr>
      </w:pPr>
      <w:r>
        <w:rPr>
          <w:rFonts w:ascii="arial" w:hAnsi="arial"/>
          <w:sz w:val="22"/>
        </w:rPr>
        <w:t xml:space="preserve">(iii) On or after the Grant Date of an Award under the Plan, the Committee may (i) accelerate the date on which any such Award becomes vested, exercisable or transferable, as the case may be, (ii) extend the term of any such Award, including, without limitation, extending the period following a termination of a Participant’s Employment during which any such Award may remain outstanding, (iii) waive any conditions to the vesting, exercisability, or transferability, as the case may be, of any such Award, (iv) grant other Awards in addition to, in tandem with, or in substitution or exchange for, any Award, any award granted under another plan of the Company or any business entity to be acquired by the Company, or (v) provide for the accrual and payment of dividends or dividend equivalents with respect to any such Award, provided that in the case of this (v), no dividend equivalents shall be paid on any Award until such time as the underlying Award has vested, and any dividends payable in respect of Awards of restricted stock shall not vest unless and until the restricted stock awards to which such dividends relate have also vested; provided, further, in each of (i) through (v) that the Committee shall not have any such authority and shall not take any such action to the extent that the grant of such authority or the taking of such action would cause any tax to become due under Section 409A of the Code and provided further, that the vesting period for ninety-five percent (95%) of the shares of Common Stock issued pursuant to Options and Other-Stock Based Awards shall be a minimum of one (1) year from the date of grant. Notwithstanding anything herein to the contrary, without the approval of the stockholders of the Company, the Company shall not reprice any stock option (within the meaning of NASDAQ Listing Rule 5635(c) and any other formal or informal guidance issued by the NASDAQ), which for this purpose also means any of the following or any other action that has the same effect: (i) lowering the exercise price of an Option or stock appreciation right after it is granted, (ii) any other action that is treated as a repricing under United States generally accepted accounting principles, or (iii) canceling an Option or stock appreciation right at a time when its exercise price exceeds the Fair Market Value of the underlying shares of Common Stock, in exchange for another Option or stock appreciation right, shares of restricted Common Stock, other Awards, cash or other property; provided, however, that the foregoing transactions shall not be deemed a repricing if pursuant to an adjustment or other action authorized under Section 11. </w:t>
      </w:r>
    </w:p>
    <w:p>
      <w:pPr>
        <w:pStyle w:val="TextBody"/>
        <w:bidi w:val="0"/>
        <w:spacing w:before="240" w:after="0"/>
        <w:jc w:val="left"/>
        <w:rPr>
          <w:rFonts w:ascii="arial" w:hAnsi="arial"/>
          <w:sz w:val="22"/>
        </w:rPr>
      </w:pPr>
      <w:r>
        <w:rPr>
          <w:rFonts w:ascii="arial" w:hAnsi="arial"/>
          <w:sz w:val="22"/>
        </w:rPr>
        <w:t xml:space="preserve">(iv) The Committee may grant dividend equivalents to any Participant based on the dividends declared on shares of Common Stock that are subject to any Award during the period between the Grant Date and the date the Award is exercised, vests, pays out, or expires. Such dividend equivalents may be awarded or paid in the form of cash, shares of Common Stock, restricted stock, or restricted stock units, or a combination, and shall be determined by such formula and at such time and subject to such accrual, forfeiture, or payout restrictions or limitations as determined by the Committee in its sole discretion. </w:t>
      </w:r>
    </w:p>
    <w:p>
      <w:pPr>
        <w:pStyle w:val="TextBody"/>
        <w:bidi w:val="0"/>
        <w:spacing w:before="0" w:after="0"/>
        <w:jc w:val="left"/>
        <w:rPr/>
      </w:pPr>
      <w:r>
        <w:rPr/>
        <w:t>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(v) In addition, the Committee may permit a Participant to defer such Participant’s receipt of the payment of cash or the delivery of shares of Common Stock that would otherwise be due to such Participant in connection with any Award. If any such deferral is required or permitted, the Committee shall, in its sole discretion, establish rules and procedures, in accordance with Section 409A of the Code (to the extent applicable), for such payment or Common Stock delivery deferrals and any notional earnings to be credited on such deferred amounts.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Delegation of Authority</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All of the powers and responsibilities of the Committee under the Plan may be delegated by the Committee, in writing, to any subcommittee thereof, in which case the acts of such subcommittee shall be deemed to be acts of the Committee hereunder. The Committee may also from time to time authorize a subcommittee consisting of one or more members of the Board of Directors (including members who are employees of the Company) or employees of the Company to grant Awards to persons who are not “executive officers” of the Company (within the meaning of Rule 16a-1 under the Exchange Act), subject to such restrictions and limitations as the Committee may specify and to the requirements of Sections 152 and 157 of the Delaware General Corporation Law to the extent applicable. </w:t>
      </w:r>
    </w:p>
    <w:p>
      <w:pPr>
        <w:pStyle w:val="TextBody"/>
        <w:bidi w:val="0"/>
        <w:spacing w:before="240" w:after="0"/>
        <w:jc w:val="left"/>
        <w:rPr>
          <w:rFonts w:ascii="arial" w:hAnsi="arial"/>
          <w:sz w:val="22"/>
        </w:rPr>
      </w:pPr>
      <w:r>
        <w:rPr>
          <w:rFonts w:ascii="arial" w:hAnsi="arial"/>
          <w:sz w:val="22"/>
        </w:rPr>
        <w:t xml:space="preserve">(ii) In addition, the Committee may delegate the administration of the Plan to one or more officers or employees of the Company, and such administrator(s) may have the authority to prepare, execute and distribute Award Agreements or other documents evidencing or relating to Awards granted by the Committee under this Plan, to maintain records relating to Awards, to process or oversee the issuance of Common Stock under Awards, to interpret and administer the terms of Awards, and to take such other actions as may be necessary or appropriate for the administration of the Plan and of Awards under the Plan, provided that in no case shall any such administrator be authorized (i) to grant Awards under the Plan, (ii) to take any action inconsistent with Section 409A of the Code or (iii) to take any action inconsistent with Sections 152 or 157 of the Delaware General Corporation Law (to the extent applicable) and other applicable provisions of the Delaware General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 </w:t>
      </w:r>
    </w:p>
    <w:p>
      <w:pPr>
        <w:pStyle w:val="TextBody"/>
        <w:bidi w:val="0"/>
        <w:spacing w:before="240" w:after="0"/>
        <w:jc w:val="left"/>
        <w:rPr>
          <w:rFonts w:ascii="arial" w:hAnsi="arial"/>
          <w:sz w:val="22"/>
        </w:rPr>
      </w:pPr>
      <w:r>
        <w:rPr>
          <w:rFonts w:ascii="arial" w:hAnsi="arial"/>
          <w:sz w:val="22"/>
        </w:rPr>
        <w:t xml:space="preserve">(d) </w:t>
      </w:r>
      <w:r>
        <w:rPr>
          <w:rFonts w:ascii="arial" w:hAnsi="arial"/>
          <w:i/>
          <w:sz w:val="22"/>
        </w:rPr>
        <w:t>Payments by the Company and Registration of Common Stock</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The Company shall pay any amount payable with respect to an Award in accordance with the terms of such Award, provided that the Committee may, in its discretion, defer the payment of amounts payable with respect to an Award subject to and in accordance with the terms of any Deferred Compensation Plan, to the extent such Deferred Compensation Plan permits deferral of Awards granted hereunder. Payments to be made by the Company upon the exercise or settlement of an Award may be made in such forms as the Committee shall determine, including, without limitation, cash, Common Stock, other Awards or other property, and may be made in a single payment or transfer, in installments, or on a deferred basis. The settlement of any Award may be accelerated, and cash paid in lieu of Common Stock in connection with such settlement, in the Committee’s discretion or upon occurrence of one or more specified events; provided that, with respect to any Award subject to Section 409A of the Code, such acceleration or payment shall comply with Section 409A of the Code.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75"/>
        <w:gridCol w:w="60"/>
        <w:gridCol w:w="39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left"/>
              <w:rPr>
                <w:b/>
                <w:color w:val="666666"/>
              </w:rPr>
            </w:pPr>
            <w:r>
              <w:rPr>
                <w:b/>
                <w:color w:val="666666"/>
              </w:rPr>
              <w:t>A-8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(ii) The Company may, to the extent permitted by applicable law and permissible under Section 409A of the Code, deduct from and set off against any amounts the Company may owe to the Participant from time to time (including amounts payable in connection with any Award, owed as wages, fringe benefits, or other compensation owed to the Participant), such amounts as may be owed by the Participant to the Company, although the Participant shall remain liable for any part of the Participant’s payment obligation not satisfied through such deduction and setoff. By accepting any Award granted hereunder, the Participant agrees to any deduction or setoff under this Section 4. </w:t>
      </w:r>
    </w:p>
    <w:p>
      <w:pPr>
        <w:pStyle w:val="TextBody"/>
        <w:bidi w:val="0"/>
        <w:spacing w:before="240" w:after="0"/>
        <w:jc w:val="left"/>
        <w:rPr>
          <w:rFonts w:ascii="arial" w:hAnsi="arial"/>
          <w:sz w:val="22"/>
        </w:rPr>
      </w:pPr>
      <w:r>
        <w:rPr>
          <w:rFonts w:ascii="arial" w:hAnsi="arial"/>
          <w:sz w:val="22"/>
        </w:rPr>
        <w:t xml:space="preserve">(iii) Sabre Corporation shall be under no obligation to effect the registration pursuant to the Securities Act of any shares of Common Stock to be issued hereunder or to effect similar compliance under any state laws. Notwithstanding anything herein to the contrary, Sabre Corporation shall not be obligated to cause to be issued or delivered any certificates evidencing shares of Common Stock pursuant to the Plan unless and until Sabre Corporation is advised by its counsel that the issuance and delivery of such certificates is in compliance with all applicable laws, regulations of governmental authority and the requirements of any securities exchange on which shares of Common Stock are traded. </w:t>
      </w:r>
    </w:p>
    <w:p>
      <w:pPr>
        <w:pStyle w:val="TextBody"/>
        <w:bidi w:val="0"/>
        <w:spacing w:before="240" w:after="0"/>
        <w:jc w:val="left"/>
        <w:rPr>
          <w:rFonts w:ascii="arial" w:hAnsi="arial"/>
          <w:sz w:val="22"/>
        </w:rPr>
      </w:pPr>
      <w:r>
        <w:rPr>
          <w:rFonts w:ascii="arial" w:hAnsi="arial"/>
          <w:sz w:val="22"/>
        </w:rPr>
        <w:t xml:space="preserve">(iv) Furthermore, the Company may, to the extent deemed necessary or advisable by the Committee, postpone the issuance or delivery of Common Stock or payment of other benefits under any Award until completion of such registration or qualification of such Common Stock or other required action under any federal or state law, rule or regulation, listing or other required action with respect to any stock exchange or automated quotation system upon which the Common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(including that the certificates evidencing shares of Common Stock bear such legends) as it may consider appropriate in connection with the issuance or delivery of Common Stock or payment of other benefits in compliance with applicable laws, rules, and regulations, listing requirements, or other obligations; provided that the Committee shall take no action to the extent that the taking of such action would cause any tax to become due under Section 409A of the Code. The foregoing notwithstanding, in connection with a Change in Control, the Company shall take or cause to be taken no action, and shall undertake or permit to arise no legal or contractual obligation, that results or would result in any postponement of the issuance or delivery of Common Stock or payment of benefits under any Award or the imposition of any other conditions on such issuance, delivery, or payment, to the extent that such postponement or other condition would represent a greater burden on a Participant than existed on the 90th day preceding the Change in Control. </w:t>
      </w:r>
    </w:p>
    <w:p>
      <w:pPr>
        <w:pStyle w:val="TextBody"/>
        <w:bidi w:val="0"/>
        <w:spacing w:before="240" w:after="0"/>
        <w:jc w:val="left"/>
        <w:rPr>
          <w:rFonts w:ascii="arial" w:hAnsi="arial"/>
          <w:sz w:val="22"/>
        </w:rPr>
      </w:pPr>
      <w:r>
        <w:rPr>
          <w:rFonts w:ascii="arial" w:hAnsi="arial"/>
          <w:sz w:val="22"/>
        </w:rPr>
        <w:t xml:space="preserve">(e) </w:t>
      </w:r>
      <w:r>
        <w:rPr>
          <w:rFonts w:ascii="arial" w:hAnsi="arial"/>
          <w:i/>
          <w:sz w:val="22"/>
        </w:rPr>
        <w:t>Limitation on Liability</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The Committee may employ attorneys, consultants, accountants, agents, and other persons, and the Committee, the Company, and its officers, directors, and employees shall be entitled, in good faith, to rely or act upon any advice, opinions, or valuations of any such persons. In addition, the Committee and each member thereof, and any person acting pursuant to authority delegated by the Committee, shall be entitled, in good faith, to rely or act upon any report or other information furnished by any officer, director, or employee of the Company, the Company’s independent auditors, consultants, or any other agents assisting in the administration of the Plan. </w:t>
      </w:r>
    </w:p>
    <w:p>
      <w:pPr>
        <w:pStyle w:val="TextBody"/>
        <w:bidi w:val="0"/>
        <w:spacing w:before="240" w:after="0"/>
        <w:jc w:val="left"/>
        <w:rPr>
          <w:rFonts w:ascii="arial" w:hAnsi="arial"/>
          <w:sz w:val="22"/>
        </w:rPr>
      </w:pPr>
      <w:r>
        <w:rPr>
          <w:rFonts w:ascii="arial" w:hAnsi="arial"/>
          <w:sz w:val="22"/>
        </w:rPr>
        <w:t xml:space="preserve">(ii) No member of the Committee, nor any person acting pursuant to authority delegated by the Committee, nor any officer, director, or employee of the Company acting at the direction or on behalf of the Committee, shall be liable for any action, omission, or determination relating to the Plan, and Sabre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95" w:type="dxa"/>
            <w:tcBorders/>
            <w:vAlign w:val="center"/>
          </w:tcPr>
          <w:p>
            <w:pPr>
              <w:pStyle w:val="TableContents"/>
              <w:bidi w:val="0"/>
              <w:spacing w:before="0" w:after="283"/>
              <w:jc w:val="right"/>
              <w:rPr>
                <w:b/>
                <w:color w:val="666666"/>
              </w:rPr>
            </w:pPr>
            <w:r>
              <w:rPr>
                <w:b/>
                <w:color w:val="666666"/>
              </w:rPr>
              <w:t>A-9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Corporation shall, to the fullest extent permitted by law, indemnify and hold harmless each member of the Committee, each person acting pursuant to authority delegated by the Committee, and each other officer,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employee, or other person acting pursuant to authority delegated by the Committee in bad faith and without reasonable belief that it was in the best interests of the Company. </w:t>
      </w:r>
    </w:p>
    <w:p>
      <w:pPr>
        <w:pStyle w:val="TextBody"/>
        <w:bidi w:val="0"/>
        <w:spacing w:before="360" w:after="0"/>
        <w:jc w:val="left"/>
        <w:rPr>
          <w:rFonts w:ascii="arial" w:hAnsi="arial"/>
          <w:b/>
          <w:color w:val="CF0A2C"/>
          <w:sz w:val="28"/>
        </w:rPr>
      </w:pPr>
      <w:r>
        <w:rPr>
          <w:rFonts w:ascii="arial" w:hAnsi="arial"/>
          <w:b/>
          <w:color w:val="CF0A2C"/>
          <w:sz w:val="28"/>
        </w:rPr>
        <w:t xml:space="preserve">5. Eligibility.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Persons who shall be eligible to receive Awards pursuant to the Plan shall be those employees of the Company whom the Committee shall select from time to time. Eligible persons shall include any Person who has been offered Employment by the Company, provided that such prospective employee may not receive any payment or exercise any right relating to an Award until such person has commenced Employment. Each Award granted under the Plan shall be evidenced by an instrument in writing in form and substance approved by the Committee. </w:t>
      </w:r>
    </w:p>
    <w:p>
      <w:pPr>
        <w:pStyle w:val="TextBody"/>
        <w:bidi w:val="0"/>
        <w:spacing w:before="360" w:after="0"/>
        <w:jc w:val="left"/>
        <w:rPr>
          <w:rFonts w:ascii="arial" w:hAnsi="arial"/>
          <w:b/>
          <w:color w:val="CF0A2C"/>
          <w:sz w:val="28"/>
        </w:rPr>
      </w:pPr>
      <w:r>
        <w:rPr>
          <w:rFonts w:ascii="arial" w:hAnsi="arial"/>
          <w:b/>
          <w:color w:val="CF0A2C"/>
          <w:sz w:val="28"/>
        </w:rPr>
        <w:t xml:space="preserve">6. Options.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Committee may from time to time grant Options, subject to the following terms and conditions: </w:t>
      </w:r>
    </w:p>
    <w:p>
      <w:pPr>
        <w:pStyle w:val="TextBody"/>
        <w:bidi w:val="0"/>
        <w:spacing w:before="240" w:after="0"/>
        <w:jc w:val="left"/>
        <w:rPr>
          <w:rFonts w:ascii="arial" w:hAnsi="arial"/>
          <w:sz w:val="22"/>
        </w:rPr>
      </w:pPr>
      <w:r>
        <w:rPr>
          <w:rFonts w:ascii="arial" w:hAnsi="arial"/>
          <w:sz w:val="22"/>
        </w:rPr>
        <w:t xml:space="preserve">(a) </w:t>
      </w:r>
      <w:r>
        <w:rPr>
          <w:rFonts w:ascii="arial" w:hAnsi="arial"/>
          <w:i/>
          <w:sz w:val="22"/>
        </w:rPr>
        <w:t>Exercise Price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The exercise price per share of Common Stock covered by any Option shall be not less than 100% of the Fair Market Value of a share of Common Stock on the Grant Date. The Award Agreement of each Option shall fix the exercise price and clearly identify such Option as either an Incentive Stock Option or as a Non-Qualified Stock Option.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Term and Exercise of Options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Each Option shall become vested and exercisable on such date or dates, during such period, and for such number of shares of Common Stock as shall be determined by the Committee on or after the date such Option is granted; provided, however, that no Option shall be exercisable after the expiration of ten years from the date such Option is granted; and, provided, further, that each Option shall be subject to earlier termination, expiration, or cancellation as provided in the Plan or in the relevant Award Agreement. </w:t>
      </w:r>
    </w:p>
    <w:p>
      <w:pPr>
        <w:pStyle w:val="TextBody"/>
        <w:bidi w:val="0"/>
        <w:spacing w:before="120" w:after="0"/>
        <w:jc w:val="left"/>
        <w:rPr>
          <w:rFonts w:ascii="arial" w:hAnsi="arial"/>
          <w:sz w:val="22"/>
        </w:rPr>
      </w:pPr>
      <w:r>
        <w:rPr>
          <w:rFonts w:ascii="arial" w:hAnsi="arial"/>
          <w:sz w:val="22"/>
        </w:rPr>
        <w:t xml:space="preserve">(ii) Each Option may be exercised in whole or in part. The partial exercise of an Option shall not cause the expiration, termination, or cancellation of the remaining portion thereof. </w:t>
      </w:r>
    </w:p>
    <w:p>
      <w:pPr>
        <w:pStyle w:val="TextBody"/>
        <w:bidi w:val="0"/>
        <w:spacing w:before="240" w:after="0"/>
        <w:jc w:val="left"/>
        <w:rPr>
          <w:rFonts w:ascii="arial" w:hAnsi="arial"/>
          <w:sz w:val="22"/>
        </w:rPr>
      </w:pPr>
      <w:r>
        <w:rPr>
          <w:rFonts w:ascii="arial" w:hAnsi="arial"/>
          <w:sz w:val="22"/>
        </w:rPr>
        <w:t xml:space="preserve">(iii) An Option shall be exercised by such methods and procedures as the Committee determines from time to time, including, without limitation, through net physical settlement. </w:t>
      </w:r>
    </w:p>
    <w:p>
      <w:pPr>
        <w:pStyle w:val="TextBody"/>
        <w:bidi w:val="0"/>
        <w:spacing w:before="240" w:after="0"/>
        <w:jc w:val="left"/>
        <w:rPr>
          <w:rFonts w:ascii="arial" w:hAnsi="arial"/>
          <w:sz w:val="22"/>
        </w:rPr>
      </w:pPr>
      <w:r>
        <w:rPr>
          <w:rFonts w:ascii="arial" w:hAnsi="arial"/>
          <w:sz w:val="22"/>
        </w:rPr>
        <w:t xml:space="preserve">(iv) Options may not be sold, pledged, assigned, hypothecated, transferred, or disposed of in any manner other than by will or by the laws of descent or distribution and may be exercised, during the lifetime of a Participant, only by the Participant; provided, however, that the Committee may permit Non-Qualified Stock Options to be sold, pledged, assigned, hypothecated, transferred, or disposed of, on a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general or specific basis, subject to such conditions and limitations as the Committee may determine. In addition, the Committee may impose such restrictions on any shares acquired pursuant to the exercise of an Option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 </w:t>
      </w:r>
    </w:p>
    <w:p>
      <w:pPr>
        <w:pStyle w:val="TextBody"/>
        <w:bidi w:val="0"/>
        <w:spacing w:before="240" w:after="0"/>
        <w:jc w:val="left"/>
        <w:rPr>
          <w:rFonts w:ascii="arial" w:hAnsi="arial"/>
          <w:sz w:val="22"/>
        </w:rPr>
      </w:pPr>
      <w:r>
        <w:rPr>
          <w:rFonts w:ascii="arial" w:hAnsi="arial"/>
          <w:sz w:val="22"/>
        </w:rPr>
        <w:t xml:space="preserve">(v) Options granted under the Plan are intended to be exempt from Section 409A of the Code.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Special Rules for Incentive Stock Options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 The aggregate Fair Market Value of shares of Common Stock with respect to which Incentive Stock Options are exercisable for the first time by a Participant during any calendar year under the Plan and any other stock option plan of the Company shall not exceed $100,000. Such Fair Market Value shall be determined as of the Grant Date of such Incentive Stock Option. In the event that the aggregate Fair Market Value of shares of Common Stock with respect to such Incentive Stock Options exceeds $100,000, then Incentive Stock Options granted hereunder to such Participant shall, to the extent and in the order required by regulations promulgated under the Code (or any other authority having the force of regulations), automatically be deemed to be Non-Qualified Stock Options, but all other terms and provisions of such Incentive Stock Options shall remain unchanged. In the absence of such regulations (and authority), or in the event such regulations (or authority) require or permit a designation of the Options which shall cease to constitute Incentive Stock Options, Incentive Stock Options granted hereunder shall, to the extent of such excess and in the order in which they were granted, automatically be deemed to be Non-Qualified Stock Options, but all other terms and provisions of such Incentive Stock Options shall remain unchanged. </w:t>
      </w:r>
    </w:p>
    <w:p>
      <w:pPr>
        <w:pStyle w:val="TextBody"/>
        <w:bidi w:val="0"/>
        <w:spacing w:before="240" w:after="0"/>
        <w:jc w:val="left"/>
        <w:rPr>
          <w:rFonts w:ascii="arial" w:hAnsi="arial"/>
          <w:sz w:val="22"/>
        </w:rPr>
      </w:pPr>
      <w:r>
        <w:rPr>
          <w:rFonts w:ascii="arial" w:hAnsi="arial"/>
          <w:sz w:val="22"/>
        </w:rPr>
        <w:t xml:space="preserve">(ii) Incentive Stock Options may only be granted to individuals who are employees of the Company. No Incentive Stock Option may be granted to an individual if, at the time of the proposed grant, such individual owns stock possessing more than ten percent (10%) of the total combined voting power of all classes of stock of Sabre Corporation or any of its Subsidiaries, unless (i) the exercise price of such Incentive Stock Option is at least one hundred and ten percent (110%) of the Fair Market Value of a share of Common Stock at the time such Incentive Stock Option is granted and (ii) such Incentive Stock Option is not exercisable after the expiration of five years from the date such Incentive Stock Option is granted. </w:t>
      </w:r>
    </w:p>
    <w:p>
      <w:pPr>
        <w:pStyle w:val="TextBody"/>
        <w:bidi w:val="0"/>
        <w:spacing w:before="360" w:after="0"/>
        <w:jc w:val="left"/>
        <w:rPr>
          <w:rFonts w:ascii="arial" w:hAnsi="arial"/>
          <w:b/>
          <w:color w:val="CF0A2C"/>
          <w:sz w:val="28"/>
        </w:rPr>
      </w:pPr>
      <w:r>
        <w:rPr>
          <w:rFonts w:ascii="arial" w:hAnsi="arial"/>
          <w:b/>
          <w:color w:val="CF0A2C"/>
          <w:sz w:val="28"/>
        </w:rPr>
        <w:t xml:space="preserve">7. Other Stock-Based Awards.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Committee may from time to time grant equity, equity-based or equity-related Awards not otherwise described herein in such amounts and subject to such terms and conditions as the Committee shall 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Other Stock-Based Award shall be denominated in, or shall have a value determined by reference to, a number of shares of Common Stock that is specified at the time of the grant of such award. Notwithstanding the foregoing, to the extent any such Other Stock-Based Award is subject to Section 409A of the Code, the Award Agreement of such Other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Stock-Based Award shall contain terms and conditions (including, without limitation and to the extent applicable, deferral and payment provisions) that comply with Section 409A of the Code. </w:t>
      </w:r>
    </w:p>
    <w:p>
      <w:pPr>
        <w:pStyle w:val="TextBody"/>
        <w:bidi w:val="0"/>
        <w:spacing w:before="360" w:after="0"/>
        <w:jc w:val="left"/>
        <w:rPr>
          <w:rFonts w:ascii="arial" w:hAnsi="arial"/>
          <w:b/>
          <w:color w:val="CF0A2C"/>
          <w:sz w:val="28"/>
        </w:rPr>
      </w:pPr>
      <w:r>
        <w:rPr>
          <w:rFonts w:ascii="arial" w:hAnsi="arial"/>
          <w:b/>
          <w:color w:val="CF0A2C"/>
          <w:sz w:val="28"/>
        </w:rPr>
        <w:t xml:space="preserve">8. Cash Incentive Awards.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Committee may grant to any Participant Cash Incentive Awards that are subject to the terms and conditions of the Plan. Cash Incentive Awards granted under the Plan may be settled in cash or in other property, including shares of Common Stock, provided that the term “Cash Incentive Award” shall exclude any Option or Other Stock-Based Award. Without limiting the generality of the foregoing, a Cash Incentive Award may provide for target awards based on allocation among Participants of a bonus or incentive pool. For the avoidance of doubt, nothing herein is intended to limit or shall limit the Company’s ability to grant cash-based awards that are not subject to the Plan. </w:t>
      </w:r>
    </w:p>
    <w:p>
      <w:pPr>
        <w:pStyle w:val="TextBody"/>
        <w:bidi w:val="0"/>
        <w:spacing w:before="360" w:after="0"/>
        <w:jc w:val="left"/>
        <w:rPr>
          <w:rFonts w:ascii="arial" w:hAnsi="arial"/>
          <w:b/>
          <w:color w:val="CF0A2C"/>
          <w:sz w:val="28"/>
        </w:rPr>
      </w:pPr>
      <w:r>
        <w:rPr>
          <w:rFonts w:ascii="arial" w:hAnsi="arial"/>
          <w:b/>
          <w:color w:val="CF0A2C"/>
          <w:sz w:val="28"/>
        </w:rPr>
        <w:t xml:space="preserve">9. Performance-Based Compensation.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The Committee may issue Awards under the Plan, the grant, payment or vesting of which is conditioned upon the satisfaction of Performance Measures. Such Performance Measures may include any one or more of the following, including in combination: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or improvements or attainment of working capital levels or debt reduction, or such other measures as the Committee may determine from time to time. A Performance Measure (i) may relate to the performance of the Participant, Sabre Corporation, a Subsidiary, any business group, business unit or other subdivision of the Company, or any combination of the foregoing, as the Committee deems appropriate and (ii) may be expressed as an amount, as an increase or decrease over a specified period, as a relative comparison to the performance of a group of comparator companies or a published or special index, or any other measure of the selected performance criteria, as the Committee deems appropriate. Performance goals may differ for Awards granted to any one Participant or to different Participants. If the Committee determines that a change in the business, operations, corporate structure or capital structure of the Company, or the manner in which it conducts its business, or other events or circumstances, render previously established Performance Measures unsuitable, the Committee may in its discretion modify such Performance Measures or the related levels of achievement, in whole or in part, as the Committee deems appropriate and equitable. </w:t>
      </w:r>
    </w:p>
    <w:p>
      <w:pPr>
        <w:pStyle w:val="TextBody"/>
        <w:bidi w:val="0"/>
        <w:spacing w:before="240" w:after="0"/>
        <w:jc w:val="left"/>
        <w:rPr>
          <w:rFonts w:ascii="arial" w:hAnsi="arial"/>
          <w:sz w:val="22"/>
        </w:rPr>
      </w:pPr>
      <w:r>
        <w:rPr>
          <w:rFonts w:ascii="arial" w:hAnsi="arial"/>
          <w:sz w:val="22"/>
        </w:rPr>
        <w:t xml:space="preserve">(b) The Committee shall determine the length of the measurement or performance period applicable to each Award whose grant, vesting or payment is subject to the achievement of Performance Measures. Such measurement or performance periods may be overlapping.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(c) Nothing in this Section 9 is intended to limit the Committee’s discretion to adopt conditions with respect to any Award, or to require the Committee to issue Awards. The Committee may, subject to the terms of the Plan, amend previously granted Awards whose grant, vesting or payment is subject to Performance Measures. </w:t>
      </w:r>
    </w:p>
    <w:p>
      <w:pPr>
        <w:pStyle w:val="TextBody"/>
        <w:bidi w:val="0"/>
        <w:spacing w:before="360" w:after="0"/>
        <w:jc w:val="left"/>
        <w:rPr>
          <w:rFonts w:ascii="arial" w:hAnsi="arial"/>
          <w:b/>
          <w:color w:val="CF0A2C"/>
          <w:sz w:val="28"/>
        </w:rPr>
      </w:pPr>
      <w:r>
        <w:rPr>
          <w:rFonts w:ascii="arial" w:hAnsi="arial"/>
          <w:b/>
          <w:color w:val="CF0A2C"/>
          <w:sz w:val="28"/>
        </w:rPr>
        <w:t xml:space="preserve">10. Effect of Separation from Service.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Each Award Agreement shall set forth the effect of the Participant’s termination of Employment on any outstanding Awards. Such provisions shall be determined in the sole discretion of the Committee, need not be uniform among all Awards issued, and may reflect distinctions based on the reasons for the termination of Employment. </w:t>
      </w:r>
    </w:p>
    <w:p>
      <w:pPr>
        <w:pStyle w:val="TextBody"/>
        <w:bidi w:val="0"/>
        <w:spacing w:before="240" w:after="0"/>
        <w:jc w:val="left"/>
        <w:rPr>
          <w:rFonts w:ascii="arial" w:hAnsi="arial"/>
          <w:sz w:val="22"/>
        </w:rPr>
      </w:pPr>
      <w:r>
        <w:rPr>
          <w:rFonts w:ascii="arial" w:hAnsi="arial"/>
          <w:sz w:val="22"/>
        </w:rPr>
        <w:t xml:space="preserve">(b) Except as to any awards constituting stock rights exempt from Section 409A of the Code, termination of Employment shall mean a ‘separation from service’ within the meaning of Section 409A, unless the Participant is retained as a consultant pursuant to a written agreement and such agreement provides otherwise. The Employment of a Participant with the Company shall be deemed to have terminated for all purposes of the Plan if such person is employed by or provides services to a Person that is a Subsidiary of the Company and such Person ceases to be a Subsidiary of the Company, unless the Committee determines otherwise. Subject to Section 409A and unless otherwise determined by the Committee, (i) a Participant who ceases to be an employee of the Company but continues, or simultaneously commences, services as a director on the Board shall not be deemed to have had a termination of Employment for purposes of the Plan and (ii) a Participant who ceases to be an employee of the Company but continues, or simultaneously commences, services as an independent contractor or consultant to the Company shall not be deemed to have had a termination of Employment for purposes of the Plan. Without limiting the generality of the foregoing, the Committee shall determine whether an authorized leave of absence, or absence in military or government service, shall constitute termination of Employment. Furthermore, no payment shall be made with respect to any Awards under the Plan that are subject to Section 409A of the Code as a result of any such authorized leave of absence or absence in military or government service unless such authorized leave or absence constitutes a separation from service for purposes of Section 409A of the Code and the regulations promulgated thereunder. </w:t>
      </w:r>
    </w:p>
    <w:p>
      <w:pPr>
        <w:pStyle w:val="TextBody"/>
        <w:bidi w:val="0"/>
        <w:spacing w:before="360" w:after="0"/>
        <w:jc w:val="left"/>
        <w:rPr>
          <w:rFonts w:ascii="arial" w:hAnsi="arial"/>
          <w:b/>
          <w:color w:val="CF0A2C"/>
          <w:sz w:val="28"/>
        </w:rPr>
      </w:pPr>
      <w:r>
        <w:rPr>
          <w:rFonts w:ascii="arial" w:hAnsi="arial"/>
          <w:b/>
          <w:color w:val="CF0A2C"/>
          <w:sz w:val="28"/>
        </w:rPr>
        <w:t xml:space="preserve">11. Adjustment Upon Certain Changes.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w:t>
      </w:r>
      <w:r>
        <w:rPr>
          <w:rFonts w:ascii="arial" w:hAnsi="arial"/>
          <w:i/>
          <w:sz w:val="22"/>
        </w:rPr>
        <w:t>Shares Available for Grants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change in the number of shares of Common Stock outstanding by reason of any stock dividend or split, recapitalization, merger, consolidation, combination or exchange of shares, or similar corporate change, the maximum aggregate number of shares of Common Stock with respect to which the Committee may grant Awards in any year, and the maximum aggregate number of shares of Common Stock with respect to which the Committee may grant Awards to any individual Participant in any year, shall be appropriately adjusted by the Committee. In the event of any change in the number of shares of Common Stock outstanding by reason of any other similar event or transaction, the Committee shall, to the extent deemed appropriate by the Committee, make such adjustments in the number and class of shares of Common Stock with respect to which Awards may be granted.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(b) </w:t>
      </w:r>
      <w:r>
        <w:rPr>
          <w:rFonts w:ascii="arial" w:hAnsi="arial"/>
          <w:i/>
          <w:sz w:val="22"/>
        </w:rPr>
        <w:t>Increase or Decrease in Issued Shares Without Consideration</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to the extent deemed appropriate by the Committee, appropriately adjust the number of shares of Common Stock subject to each outstanding Award and the exercise price per share of Common Stock of each such Award.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Certain Mergers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that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Award outstanding on the date of such merger or consolidation so that it pertains and applies to the securities which a holder of the number of shares of Common Stock subject to such Award would have received in such merger or consolidation. </w:t>
      </w:r>
    </w:p>
    <w:p>
      <w:pPr>
        <w:pStyle w:val="TextBody"/>
        <w:bidi w:val="0"/>
        <w:spacing w:before="240" w:after="0"/>
        <w:jc w:val="left"/>
        <w:rPr>
          <w:rFonts w:ascii="arial" w:hAnsi="arial"/>
          <w:sz w:val="22"/>
        </w:rPr>
      </w:pPr>
      <w:r>
        <w:rPr>
          <w:rFonts w:ascii="arial" w:hAnsi="arial"/>
          <w:sz w:val="22"/>
        </w:rPr>
        <w:t xml:space="preserve">(d) </w:t>
      </w:r>
      <w:r>
        <w:rPr>
          <w:rFonts w:ascii="arial" w:hAnsi="arial"/>
          <w:i/>
          <w:sz w:val="22"/>
        </w:rPr>
        <w:t xml:space="preserve">Certain Other Transactions </w:t>
      </w:r>
    </w:p>
    <w:p>
      <w:pPr>
        <w:pStyle w:val="TextBody"/>
        <w:bidi w:val="0"/>
        <w:spacing w:before="240" w:after="0"/>
        <w:jc w:val="left"/>
        <w:rPr>
          <w:rFonts w:ascii="arial" w:hAnsi="arial"/>
          <w:sz w:val="22"/>
        </w:rPr>
      </w:pPr>
      <w:r>
        <w:rPr>
          <w:rFonts w:ascii="arial" w:hAnsi="arial"/>
          <w:sz w:val="22"/>
        </w:rPr>
        <w:t xml:space="preserve">In the event of (i) a dissolution or liquidation of Sabre Corporation, (ii) a sale of all or substantially all of the Company’s assets (on a consolidated basis), (iii) a merger, consolidation, or similar transaction involving Sabre Corporation in which Sabre Corporation is not the surviving corporation, or (iv) a merger, consolidation or similar transaction involving Sabre Corporation in the holders of shares of Common Stock receive securities of another corporation and/or other property, including cash, other than shares of the surviving corporation in such transaction, the Committee shall, to the extent deemed appropriate by the Committee, but subject to Section 409A of the Code to the extent applicable, have the power to: </w:t>
      </w:r>
    </w:p>
    <w:p>
      <w:pPr>
        <w:pStyle w:val="TextBody"/>
        <w:bidi w:val="0"/>
        <w:spacing w:before="240" w:after="0"/>
        <w:jc w:val="left"/>
        <w:rPr>
          <w:rFonts w:ascii="arial" w:hAnsi="arial"/>
          <w:sz w:val="22"/>
        </w:rPr>
      </w:pPr>
      <w:r>
        <w:rPr>
          <w:rFonts w:ascii="arial" w:hAnsi="arial"/>
          <w:sz w:val="22"/>
        </w:rPr>
        <w:t xml:space="preserve">(i) cancel, effective immediately prior to the occurrence of such event, each Award (whether or not then exercisable, and including, without limitation, Awards with an exercise price that exceeds the then-current Fair Market Value of the Common Stock),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Option such value shall be equal to the excess, if any, of (A) the value, as determined by the Committee in its reasonable discretion, of the property (including cash) received by the holder of a share of Common Stock as a result of such event over (B) the exercise price of such Option; and </w:t>
      </w:r>
    </w:p>
    <w:p>
      <w:pPr>
        <w:pStyle w:val="TextBody"/>
        <w:bidi w:val="0"/>
        <w:spacing w:before="240" w:after="0"/>
        <w:jc w:val="left"/>
        <w:rPr>
          <w:rFonts w:ascii="arial" w:hAnsi="arial"/>
          <w:sz w:val="22"/>
        </w:rPr>
      </w:pPr>
      <w:r>
        <w:rPr>
          <w:rFonts w:ascii="arial" w:hAnsi="arial"/>
          <w:sz w:val="22"/>
        </w:rPr>
        <w:t xml:space="preserve">(ii) provide for the exchange of each Award (whether or not then exercisable or vested) for an Award with respect to (A) some or all of the property which a holder of the number of shares of Common Stock subject to such Award would have received in such transaction or (B) securities of the acquiror or surviving entity and, incident thereto, make an equitable adjustment as determined by the Committee in the exercise price of the Award, or the number of shares or amount of property subject to the Award or provide for a payment (in cash or other property) to the Participant to whom such Award was granted in partial consideration for the exchange of the Award.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(e) </w:t>
      </w:r>
      <w:r>
        <w:rPr>
          <w:rFonts w:ascii="arial" w:hAnsi="arial"/>
          <w:i/>
          <w:sz w:val="22"/>
        </w:rPr>
        <w:t>Other Changes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change in the capitalization of Sabre Corporation or corporate change other than those specifically referred to in paragraphs (b), (c), or (d), including, without limitation, an extraordinary cash dividend, the Committee shall, to the extent deemed appropriate by the Committee, make such adjustments in the number and class of shares subject to Awards outstanding on the date on which such change occurs and in such other terms of such Awards as the Committee may consider appropriate. </w:t>
      </w:r>
    </w:p>
    <w:p>
      <w:pPr>
        <w:pStyle w:val="TextBody"/>
        <w:bidi w:val="0"/>
        <w:spacing w:before="240" w:after="0"/>
        <w:jc w:val="left"/>
        <w:rPr>
          <w:rFonts w:ascii="arial" w:hAnsi="arial"/>
          <w:sz w:val="22"/>
        </w:rPr>
      </w:pPr>
      <w:r>
        <w:rPr>
          <w:rFonts w:ascii="arial" w:hAnsi="arial"/>
          <w:sz w:val="22"/>
        </w:rPr>
        <w:t xml:space="preserve">(f) </w:t>
      </w:r>
      <w:r>
        <w:rPr>
          <w:rFonts w:ascii="arial" w:hAnsi="arial"/>
          <w:i/>
          <w:sz w:val="22"/>
        </w:rPr>
        <w:t>Cash Incentive Awards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In the event of any transaction or event described in this Section 11, including without limitation any corporate change referred to in paragraph (e) hereof, the Committee may, as the Committee may consider appropriate in respect of such transaction or event, make such adjustments in the terms and conditions of any Cash Incentive Awards. </w:t>
      </w:r>
    </w:p>
    <w:p>
      <w:pPr>
        <w:pStyle w:val="TextBody"/>
        <w:bidi w:val="0"/>
        <w:spacing w:before="240" w:after="0"/>
        <w:jc w:val="left"/>
        <w:rPr>
          <w:rFonts w:ascii="arial" w:hAnsi="arial"/>
          <w:sz w:val="22"/>
        </w:rPr>
      </w:pPr>
      <w:r>
        <w:rPr>
          <w:rFonts w:ascii="arial" w:hAnsi="arial"/>
          <w:sz w:val="22"/>
        </w:rPr>
        <w:t xml:space="preserve">(g) </w:t>
      </w:r>
      <w:r>
        <w:rPr>
          <w:rFonts w:ascii="arial" w:hAnsi="arial"/>
          <w:i/>
          <w:sz w:val="22"/>
        </w:rPr>
        <w:t>No Other Rights</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Except as expressly provided in the Plan or any Award Agreement, no Participant shall have any rights by reason of any subdivision or consolidation of shares of stock of any class, the payment of any dividend or dividend equivalents, any increase or decrease in the number of shares of stock of any class, or any dissolution, liquidation, merger, or consolidation of Sabre Corporation or any other corporation. Except as expressly provided in the Plan, no issuance by Sabre Corporation of shares of stock of any class, or securities convertible into shares of stock of any class, shall affect, and no adjustment by reason thereof shall be made with respect to, the number of shares or amount of other property subject to, or the terms related to, any Award. </w:t>
      </w:r>
    </w:p>
    <w:p>
      <w:pPr>
        <w:pStyle w:val="TextBody"/>
        <w:bidi w:val="0"/>
        <w:spacing w:before="240" w:after="0"/>
        <w:jc w:val="left"/>
        <w:rPr>
          <w:rFonts w:ascii="arial" w:hAnsi="arial"/>
          <w:sz w:val="22"/>
        </w:rPr>
      </w:pPr>
      <w:r>
        <w:rPr>
          <w:rFonts w:ascii="arial" w:hAnsi="arial"/>
          <w:sz w:val="22"/>
        </w:rPr>
        <w:t xml:space="preserve">(h) </w:t>
      </w:r>
      <w:r>
        <w:rPr>
          <w:rFonts w:ascii="arial" w:hAnsi="arial"/>
          <w:i/>
          <w:sz w:val="22"/>
        </w:rPr>
        <w:t>Savings Clause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No provision of this Section 11 shall be given effect to the extent that such provision (i) would cause any tax to become due under Section 409A of the Code or (ii) would result in short-swing profits liability under Section 16 of the Exchange Act or violate the exemptive conditions of Rule 16b-3 of the Exchange Act. </w:t>
      </w:r>
    </w:p>
    <w:p>
      <w:pPr>
        <w:pStyle w:val="TextBody"/>
        <w:bidi w:val="0"/>
        <w:spacing w:before="360" w:after="0"/>
        <w:jc w:val="left"/>
        <w:rPr>
          <w:rFonts w:ascii="arial" w:hAnsi="arial"/>
          <w:b/>
          <w:color w:val="CF0A2C"/>
          <w:sz w:val="28"/>
        </w:rPr>
      </w:pPr>
      <w:r>
        <w:rPr>
          <w:rFonts w:ascii="arial" w:hAnsi="arial"/>
          <w:b/>
          <w:color w:val="CF0A2C"/>
          <w:sz w:val="28"/>
        </w:rPr>
        <w:t xml:space="preserve">12. Change in Control.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Except as otherwise set forth in a Participant’s Award Agreement, in the event (a) a Participant has a Qualifying Termination following a Change in Control of the Company or (b) of a Change in Control in which outstanding Awards are not assumed, continued, or substituted by the surviving corporation: </w:t>
      </w:r>
    </w:p>
    <w:p>
      <w:pPr>
        <w:pStyle w:val="TextBody"/>
        <w:bidi w:val="0"/>
        <w:spacing w:before="240" w:after="0"/>
        <w:jc w:val="left"/>
        <w:rPr>
          <w:rFonts w:ascii="arial" w:hAnsi="arial"/>
          <w:sz w:val="22"/>
        </w:rPr>
      </w:pPr>
      <w:r>
        <w:rPr>
          <w:rFonts w:ascii="arial" w:hAnsi="arial"/>
          <w:sz w:val="22"/>
        </w:rPr>
        <w:t xml:space="preserve">(i) All deferral of settlement, forfeiture conditions and other restrictions applicable to Awards granted under the Plan shall lapse and such Awards shall be deemed fully vested as of the time of the Change in Control without regard to deferral and vesting conditions; and </w:t>
      </w:r>
    </w:p>
    <w:p>
      <w:pPr>
        <w:pStyle w:val="TextBody"/>
        <w:bidi w:val="0"/>
        <w:spacing w:before="240" w:after="0"/>
        <w:jc w:val="left"/>
        <w:rPr>
          <w:rFonts w:ascii="arial" w:hAnsi="arial"/>
          <w:sz w:val="22"/>
        </w:rPr>
      </w:pPr>
      <w:r>
        <w:rPr>
          <w:rFonts w:ascii="arial" w:hAnsi="arial"/>
          <w:sz w:val="22"/>
        </w:rPr>
        <w:t xml:space="preserve">(ii) Any Award carrying a right to exercise that was not previously exercisable and vested shall become fully exercisable and vested as of the time of the Change in Control.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r>
        <w:rPr>
          <w:rFonts w:ascii="arial" w:hAnsi="arial"/>
          <w:b/>
          <w:color w:val="CF0A2C"/>
          <w:sz w:val="28"/>
        </w:rPr>
        <w:t xml:space="preserve">13. Rights under the Plan.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No person shall have any rights as a stockholder with respect to any shares of Common Stock covered by or relating to any Award granted pursuant to the Plan until the date of the issuance of such shares on the books and records of Sabre Corporation. Except as otherwise expressly provided in Section 11 hereof, no adjustment of any Award shall be made for dividends or other rights for which the record date occurs prior to the date such stock certificate is issued. Nothing in this Section 13 is intended, or should be construed, to limit authority of the Committee to cause the Company to make payments based on the dividends that would be payable with respect to any share of Common Stock if it were issued or outstanding, or to grant rights related to such dividends. </w:t>
      </w:r>
    </w:p>
    <w:p>
      <w:pPr>
        <w:pStyle w:val="TextBody"/>
        <w:bidi w:val="0"/>
        <w:spacing w:before="240" w:after="0"/>
        <w:jc w:val="left"/>
        <w:rPr>
          <w:rFonts w:ascii="arial" w:hAnsi="arial"/>
          <w:sz w:val="22"/>
        </w:rPr>
      </w:pPr>
      <w:r>
        <w:rPr>
          <w:rFonts w:ascii="arial" w:hAnsi="arial"/>
          <w:sz w:val="22"/>
        </w:rPr>
        <w:t xml:space="preserve">(b) Nothing in the Plan shall be construed to: (a) limit, impair, or otherwise affect the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to take any action which such entity deems to be necessary or appropriate. Neither the adoption of the Plan nor the grant of any Award shall be construed as creating any limitations on the power of the Board of Directors or Committee to adopt such other compensation arrangements as it may deem desirable for any Participant. </w:t>
      </w:r>
    </w:p>
    <w:p>
      <w:pPr>
        <w:pStyle w:val="TextBody"/>
        <w:bidi w:val="0"/>
        <w:spacing w:before="240" w:after="0"/>
        <w:jc w:val="left"/>
        <w:rPr>
          <w:rFonts w:ascii="arial" w:hAnsi="arial"/>
          <w:sz w:val="22"/>
        </w:rPr>
      </w:pPr>
      <w:r>
        <w:rPr>
          <w:rFonts w:ascii="arial" w:hAnsi="arial"/>
          <w:sz w:val="22"/>
        </w:rPr>
        <w:t xml:space="preserve">(c) 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 Nothing contained in the Plan, and no action taken pursuant to its provisions, shall create or be construed to create a trust of any kind, or a fiduciary relationship between the Company and any Participant, beneficiary, legal representative, or any other person. The Plan is not subject to the Employee Retirement Income Security Act of 1974, as amended. </w:t>
      </w:r>
    </w:p>
    <w:p>
      <w:pPr>
        <w:pStyle w:val="TextBody"/>
        <w:bidi w:val="0"/>
        <w:spacing w:before="360" w:after="0"/>
        <w:jc w:val="left"/>
        <w:rPr>
          <w:rFonts w:ascii="arial" w:hAnsi="arial"/>
          <w:b/>
          <w:color w:val="CF0A2C"/>
          <w:sz w:val="28"/>
        </w:rPr>
      </w:pPr>
      <w:r>
        <w:rPr>
          <w:rFonts w:ascii="arial" w:hAnsi="arial"/>
          <w:b/>
          <w:color w:val="CF0A2C"/>
          <w:sz w:val="28"/>
        </w:rPr>
        <w:t xml:space="preserve">14. No Special Employment Rights; No Right to Award.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Nothing contained in the Plan or any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an Award. </w:t>
      </w:r>
    </w:p>
    <w:p>
      <w:pPr>
        <w:pStyle w:val="TextBody"/>
        <w:bidi w:val="0"/>
        <w:spacing w:before="240" w:after="0"/>
        <w:jc w:val="left"/>
        <w:rPr>
          <w:rFonts w:ascii="arial" w:hAnsi="arial"/>
          <w:sz w:val="22"/>
        </w:rPr>
      </w:pPr>
      <w:r>
        <w:rPr>
          <w:rFonts w:ascii="arial" w:hAnsi="arial"/>
          <w:sz w:val="22"/>
        </w:rPr>
        <w:t xml:space="preserve">(b) No person shall have any claim or right to receive an Award hereunder. The Committee’s granting of an Award to a Participant at any time shall neither require the Committee to grant an Award to such Participant or any other Participant or other person at any time nor preclude the Committee from making subsequent grants to such Participant or any other Participant or other person. </w:t>
      </w:r>
    </w:p>
    <w:p>
      <w:pPr>
        <w:pStyle w:val="TextBody"/>
        <w:bidi w:val="0"/>
        <w:spacing w:before="360" w:after="0"/>
        <w:jc w:val="left"/>
        <w:rPr>
          <w:rFonts w:ascii="arial" w:hAnsi="arial"/>
          <w:b/>
          <w:color w:val="CF0A2C"/>
          <w:sz w:val="28"/>
        </w:rPr>
      </w:pPr>
      <w:r>
        <w:rPr>
          <w:rFonts w:ascii="arial" w:hAnsi="arial"/>
          <w:b/>
          <w:color w:val="CF0A2C"/>
          <w:sz w:val="28"/>
        </w:rPr>
        <w:t xml:space="preserve">15. Tax Provisions &amp; Withholding.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w:t>
      </w:r>
      <w:r>
        <w:rPr>
          <w:rFonts w:ascii="arial" w:hAnsi="arial"/>
          <w:i/>
          <w:sz w:val="22"/>
        </w:rPr>
        <w:t>Cash Remittance</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Whenever shares of Common Stock are to be issued upon the exercise of an Option or the grant or vesting of an Award, and whenever any amount shall become payable in respect of any Award, the Company shall have the right to require the Participant to remit to the Company in cash an amount sufficient to satisfy federal, state, and local withholding tax requirements, if any, attributable to such exercise, grant, vesting, or payment prior to the delivery of any certificate or certificates for such shares or the effectiveness of the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A-16</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lapse of such restrictions or making of such payment. In addition, upon the exercise or settlement of any Award in cash, or any payment with respect to any Award, the Company shall have the right to withhold from any payment required to be made pursuant thereto an amount sufficient to satisfy the federal, state, and local withholding tax requirements, if any, attributable to such exercise, settlement, or payment. The Company can delay the delivery to a Participant of any Common Stock or cash payable to such Participant to determine the amount of withholding to be collected and to collect and process such withholding. </w:t>
      </w:r>
    </w:p>
    <w:p>
      <w:pPr>
        <w:pStyle w:val="TextBody"/>
        <w:bidi w:val="0"/>
        <w:spacing w:before="240" w:after="0"/>
        <w:jc w:val="left"/>
        <w:rPr>
          <w:rFonts w:ascii="arial" w:hAnsi="arial"/>
          <w:sz w:val="22"/>
        </w:rPr>
      </w:pPr>
      <w:r>
        <w:rPr>
          <w:rFonts w:ascii="arial" w:hAnsi="arial"/>
          <w:sz w:val="22"/>
        </w:rPr>
        <w:t xml:space="preserve">(b) </w:t>
      </w:r>
      <w:r>
        <w:rPr>
          <w:rFonts w:ascii="arial" w:hAnsi="arial"/>
          <w:i/>
          <w:sz w:val="22"/>
        </w:rPr>
        <w:t xml:space="preserve">Stock Remittance </w:t>
      </w:r>
    </w:p>
    <w:p>
      <w:pPr>
        <w:pStyle w:val="TextBody"/>
        <w:bidi w:val="0"/>
        <w:spacing w:before="240" w:after="0"/>
        <w:jc w:val="left"/>
        <w:rPr>
          <w:rFonts w:ascii="arial" w:hAnsi="arial"/>
          <w:sz w:val="22"/>
        </w:rPr>
      </w:pPr>
      <w:r>
        <w:rPr>
          <w:rFonts w:ascii="arial" w:hAnsi="arial"/>
          <w:sz w:val="22"/>
        </w:rPr>
        <w:t xml:space="preserve">At the election of the Participant, subject to the approval of the Committee, when shares of Common Stock are to be issued upon the exercise, grant, or vesting of an Award, the Participant may tender to Sabre Corporation a number of shares of Common Stock that have been owned by the Participant for at least six months (or such other period as the Committee may determine) having a Fair Market Value at the tender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 </w:t>
      </w:r>
    </w:p>
    <w:p>
      <w:pPr>
        <w:pStyle w:val="TextBody"/>
        <w:bidi w:val="0"/>
        <w:spacing w:before="240" w:after="0"/>
        <w:jc w:val="left"/>
        <w:rPr>
          <w:rFonts w:ascii="arial" w:hAnsi="arial"/>
          <w:sz w:val="22"/>
        </w:rPr>
      </w:pPr>
      <w:r>
        <w:rPr>
          <w:rFonts w:ascii="arial" w:hAnsi="arial"/>
          <w:sz w:val="22"/>
        </w:rPr>
        <w:t xml:space="preserve">(c) </w:t>
      </w:r>
      <w:r>
        <w:rPr>
          <w:rFonts w:ascii="arial" w:hAnsi="arial"/>
          <w:i/>
          <w:sz w:val="22"/>
        </w:rPr>
        <w:t xml:space="preserve">Stock Withholding </w:t>
      </w:r>
    </w:p>
    <w:p>
      <w:pPr>
        <w:pStyle w:val="TextBody"/>
        <w:bidi w:val="0"/>
        <w:spacing w:before="240" w:after="0"/>
        <w:jc w:val="left"/>
        <w:rPr>
          <w:rFonts w:ascii="arial" w:hAnsi="arial"/>
          <w:sz w:val="22"/>
        </w:rPr>
      </w:pPr>
      <w:r>
        <w:rPr>
          <w:rFonts w:ascii="arial" w:hAnsi="arial"/>
          <w:sz w:val="22"/>
        </w:rPr>
        <w:t xml:space="preserve">At the election of the Participant, subject to the approval of the Committee, when shares of Common Stock are to be issued upon the exercise, grant, or vesting of an Award, the Company shall withhold a number of such shares having a Fair Market Value at the exercise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 </w:t>
      </w:r>
    </w:p>
    <w:p>
      <w:pPr>
        <w:pStyle w:val="TextBody"/>
        <w:bidi w:val="0"/>
        <w:spacing w:before="240" w:after="0"/>
        <w:jc w:val="left"/>
        <w:rPr>
          <w:rFonts w:ascii="arial" w:hAnsi="arial"/>
          <w:sz w:val="22"/>
        </w:rPr>
      </w:pPr>
      <w:r>
        <w:rPr>
          <w:rFonts w:ascii="arial" w:hAnsi="arial"/>
          <w:sz w:val="22"/>
        </w:rPr>
        <w:t xml:space="preserve">(d) </w:t>
      </w:r>
      <w:r>
        <w:rPr>
          <w:rFonts w:ascii="arial" w:hAnsi="arial"/>
          <w:i/>
          <w:sz w:val="22"/>
        </w:rPr>
        <w:t>Consent to and Notification of Section</w:t>
      </w:r>
      <w:r>
        <w:rPr>
          <w:rFonts w:ascii="arial" w:hAnsi="arial"/>
          <w:sz w:val="22"/>
        </w:rPr>
        <w:t> </w:t>
      </w:r>
      <w:r>
        <w:rPr>
          <w:rFonts w:ascii="arial" w:hAnsi="arial"/>
          <w:i/>
          <w:sz w:val="22"/>
        </w:rPr>
        <w:t>83(b) Election</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No election under Section 83(b) of the Code (to include in gross income in the year of transfer the amounts specified in Section 83(b) of the Code) or under a similar provision of the laws of a jurisdiction outside the United States may be made unless expressly permitted by the terms of the Award Agreement or by action of the Committee in writing prior to the making of such election. In any case in which a Participant is permitted to make such an election in connection with an Award, the Participant shall notify the Company of such election within ten days of filing notice of the election with the Internal Revenue Service or other governmental authority, in addition to any filing and notification required pursuant to regulations issued under Section 83(b) of the Code or other applicable provision.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A-17</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(e) </w:t>
      </w:r>
      <w:r>
        <w:rPr>
          <w:rFonts w:ascii="arial" w:hAnsi="arial"/>
          <w:i/>
          <w:sz w:val="22"/>
        </w:rPr>
        <w:t>Notification Upon Disqualifying Disposition Under Section</w:t>
      </w:r>
      <w:r>
        <w:rPr>
          <w:rFonts w:ascii="arial" w:hAnsi="arial"/>
          <w:sz w:val="22"/>
        </w:rPr>
        <w:t> </w:t>
      </w:r>
      <w:r>
        <w:rPr>
          <w:rFonts w:ascii="arial" w:hAnsi="arial"/>
          <w:i/>
          <w:sz w:val="22"/>
        </w:rPr>
        <w:t xml:space="preserve">421(b) </w:t>
      </w:r>
    </w:p>
    <w:p>
      <w:pPr>
        <w:pStyle w:val="TextBody"/>
        <w:bidi w:val="0"/>
        <w:spacing w:before="240" w:after="0"/>
        <w:jc w:val="left"/>
        <w:rPr>
          <w:rFonts w:ascii="arial" w:hAnsi="arial"/>
          <w:sz w:val="22"/>
        </w:rPr>
      </w:pPr>
      <w:r>
        <w:rPr>
          <w:rFonts w:ascii="arial" w:hAnsi="arial"/>
          <w:sz w:val="22"/>
        </w:rPr>
        <w:t xml:space="preserve">If any Participant shall make any disposition of shares of Common Stock delivered pursuant to the exercise of an Incentive Stock Option under the circumstances described in Section 421(b) of the Code (i.e., a disqualifying disposition), such Participant shall notify the Company of such disposition within ten days thereof. </w:t>
      </w:r>
    </w:p>
    <w:p>
      <w:pPr>
        <w:pStyle w:val="TextBody"/>
        <w:bidi w:val="0"/>
        <w:spacing w:before="360" w:after="0"/>
        <w:jc w:val="left"/>
        <w:rPr>
          <w:rFonts w:ascii="arial" w:hAnsi="arial"/>
          <w:b/>
          <w:color w:val="CF0A2C"/>
          <w:sz w:val="28"/>
        </w:rPr>
      </w:pPr>
      <w:r>
        <w:rPr>
          <w:rFonts w:ascii="arial" w:hAnsi="arial"/>
          <w:b/>
          <w:color w:val="CF0A2C"/>
          <w:sz w:val="28"/>
        </w:rPr>
        <w:t xml:space="preserve">16. Amendment or Termination of the Plan.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arial" w:hAnsi="arial"/>
          <w:sz w:val="22"/>
        </w:rPr>
      </w:pPr>
      <w:r>
        <w:rPr>
          <w:rFonts w:ascii="arial" w:hAnsi="arial"/>
          <w:sz w:val="22"/>
        </w:rPr>
        <w:t xml:space="preserve">(a) The Board may at any time suspend or discontinue the Plan or revise or amend it in any respect whatsoever; provided, however, that to the extent that any applicable law, regulation, or rule of a stock exchange requires stockholder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provided that no provision of this Section 16 shall be given effect to the extent that such provision would cause any tax to become due under Section 409A of the Code. </w:t>
      </w:r>
    </w:p>
    <w:p>
      <w:pPr>
        <w:pStyle w:val="TextBody"/>
        <w:bidi w:val="0"/>
        <w:spacing w:before="240" w:after="0"/>
        <w:jc w:val="left"/>
        <w:rPr>
          <w:rFonts w:ascii="arial" w:hAnsi="arial"/>
          <w:sz w:val="22"/>
        </w:rPr>
      </w:pPr>
      <w:r>
        <w:rPr>
          <w:rFonts w:ascii="arial" w:hAnsi="arial"/>
          <w:sz w:val="22"/>
        </w:rPr>
        <w:t xml:space="preserve">(b) Except as expressly provided in the Plan, no action hereunder may, without the consent of a Participant, materially adversely affect the Participant’s rights under any previously granted and outstanding Award. </w:t>
      </w:r>
    </w:p>
    <w:p>
      <w:pPr>
        <w:pStyle w:val="TextBody"/>
        <w:bidi w:val="0"/>
        <w:spacing w:before="240" w:after="0"/>
        <w:jc w:val="left"/>
        <w:rPr>
          <w:rFonts w:ascii="arial" w:hAnsi="arial"/>
          <w:sz w:val="22"/>
        </w:rPr>
      </w:pPr>
      <w:r>
        <w:rPr>
          <w:rFonts w:ascii="arial" w:hAnsi="arial"/>
          <w:sz w:val="22"/>
        </w:rPr>
        <w:t xml:space="preserve">(c) Nothing in the Plan shall limit the right of the Company to pay compensation of any kind outside the terms of the Plan. </w:t>
      </w:r>
    </w:p>
    <w:p>
      <w:pPr>
        <w:pStyle w:val="TextBody"/>
        <w:bidi w:val="0"/>
        <w:spacing w:before="360" w:after="0"/>
        <w:jc w:val="left"/>
        <w:rPr>
          <w:rFonts w:ascii="arial" w:hAnsi="arial"/>
          <w:b/>
          <w:color w:val="CF0A2C"/>
          <w:sz w:val="28"/>
        </w:rPr>
      </w:pPr>
      <w:r>
        <w:rPr>
          <w:rFonts w:ascii="arial" w:hAnsi="arial"/>
          <w:b/>
          <w:color w:val="CF0A2C"/>
          <w:sz w:val="28"/>
        </w:rPr>
        <w:t xml:space="preserve">17. No Obligation to Exercise.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grant to a Participant of an Award shall impose no obligation upon such Participant to exercise such Award. </w:t>
      </w:r>
    </w:p>
    <w:p>
      <w:pPr>
        <w:pStyle w:val="TextBody"/>
        <w:bidi w:val="0"/>
        <w:spacing w:before="360" w:after="0"/>
        <w:jc w:val="left"/>
        <w:rPr>
          <w:rFonts w:ascii="arial" w:hAnsi="arial"/>
          <w:b/>
          <w:color w:val="CF0A2C"/>
          <w:sz w:val="28"/>
        </w:rPr>
      </w:pPr>
      <w:r>
        <w:rPr>
          <w:rFonts w:ascii="arial" w:hAnsi="arial"/>
          <w:b/>
          <w:color w:val="CF0A2C"/>
          <w:sz w:val="28"/>
        </w:rPr>
        <w:t xml:space="preserve">18. Transfer Restrictions.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Upon the death of a Participant, outstanding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Award, or the right to exercise any Award,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acknowledgements made by the Participant in connection with the grant of the Award. </w:t>
      </w:r>
    </w:p>
    <w:p>
      <w:pPr>
        <w:pStyle w:val="TextBody"/>
        <w:bidi w:val="0"/>
        <w:spacing w:before="240" w:after="0"/>
        <w:jc w:val="left"/>
        <w:rPr>
          <w:rFonts w:ascii="arial" w:hAnsi="arial"/>
          <w:sz w:val="22"/>
        </w:rPr>
      </w:pPr>
      <w:r>
        <w:rPr>
          <w:rFonts w:ascii="arial" w:hAnsi="arial"/>
          <w:sz w:val="22"/>
        </w:rPr>
        <w:t xml:space="preserve">(b) Except as provided in the preceding paragraph (regarding transfers upon the death of a Participant) and Section 6 (regarding the transfer of certain Non-Qualified Stock Options), no Award or other right or interest of a Participant under the Plan shall be pledged, hypothecated, or otherwise encumbered or subject to any lien, obligation, or liability of such Participant to any party (other than the Company), or assigned or transferred by such Participant, and such Awards or rights that may be exercisable shall be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A-18</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exercised during the lifetime of the Participant only by the Participant or his or her guardian or legal representative, except that Awards and other rights (other than Incentive Stock Options and Stock Appreciation Rights in tandem therewith) may be transferred to one or more transferees during the lifetime of the Participant, and may be exercised by such transferees in accordance with the terms of such Award, but only if and to the extent such transfers are permitted by the Committee, subject to any terms and conditions which the Committee may impose thereon (which may include limitations the Committee may deem appropriate in order that offers and sales under the Plan will meet applicable requirements of registration forms under the Securities Act specified by the Securities and Exchange Commission). A beneficiary, transferee, or other person claiming any rights under the Plan from or through any Participant shall be subject to all terms and conditions of the Plan and any Award document applicable to such Participant, except as otherwise determined by the Committee, and to any additional terms and conditions deemed necessary or appropriate by the Committee. </w:t>
      </w:r>
    </w:p>
    <w:p>
      <w:pPr>
        <w:pStyle w:val="TextBody"/>
        <w:bidi w:val="0"/>
        <w:spacing w:before="360" w:after="0"/>
        <w:jc w:val="left"/>
        <w:rPr>
          <w:rFonts w:ascii="arial" w:hAnsi="arial"/>
          <w:b/>
          <w:color w:val="CF0A2C"/>
          <w:sz w:val="28"/>
        </w:rPr>
      </w:pPr>
      <w:r>
        <w:rPr>
          <w:rFonts w:ascii="arial" w:hAnsi="arial"/>
          <w:b/>
          <w:color w:val="CF0A2C"/>
          <w:sz w:val="28"/>
        </w:rPr>
        <w:t xml:space="preserve">19. Retirement and Welfare Plans.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Neither Awards made under the Plan nor shares of Common Stock or cash paid pursuant to such Awards will be included as “compensation” for purposes of computing the benefits payable to any Participant under the Company’s retirement plans (both qualified and non-qualified) or welfare benefit plans unless such other plan expressly provides that such compensation shall be taken into account in computing a Participant’s benefit or except as the Committee may otherwise determine in its discretion. </w:t>
      </w:r>
    </w:p>
    <w:p>
      <w:pPr>
        <w:pStyle w:val="TextBody"/>
        <w:bidi w:val="0"/>
        <w:spacing w:before="360" w:after="0"/>
        <w:jc w:val="left"/>
        <w:rPr>
          <w:rFonts w:ascii="arial" w:hAnsi="arial"/>
          <w:b/>
          <w:color w:val="CF0A2C"/>
          <w:sz w:val="28"/>
        </w:rPr>
      </w:pPr>
      <w:r>
        <w:rPr>
          <w:rFonts w:ascii="arial" w:hAnsi="arial"/>
          <w:b/>
          <w:color w:val="CF0A2C"/>
          <w:sz w:val="28"/>
        </w:rPr>
        <w:t xml:space="preserve">20. Certain Limitations on Awards to Ensure Compliance with Section 409A of the Code.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(a) The Company intends that the Plan and each Award granted hereunder that is subject to Section 409A of the Code shall comply with Section 409A of the Code and that the Plan shall be interpreted, operated and administered accordingly. In the event any term and/or condition of an Award granted hereunder would cause the application of an accelerated or additional tax under Section 409A of the Code, such term and/or condition shall be restructured, to the extent possible, in a manner, determined by the Committee, which does not cause such an accelerated or additional tax. Any reservation of rights by the Company hereunder affecting the timing of payment of any Award subject to Section 409A of the Code will only be as broad as is permitted by Section 409A of the Code. Notwithstanding anything herein to the contrary, in no event shall the Company be liable for the payment of or gross up in connection with any taxes and or penalties owed by the Participant pursuant to Section 409A of the Code. For purposes of Section 409A of the Code, each installment payment provided under the Plan shall be treated as a separate payment. </w:t>
      </w:r>
    </w:p>
    <w:p>
      <w:pPr>
        <w:pStyle w:val="TextBody"/>
        <w:bidi w:val="0"/>
        <w:spacing w:before="240" w:after="0"/>
        <w:jc w:val="left"/>
        <w:rPr>
          <w:rFonts w:ascii="arial" w:hAnsi="arial"/>
          <w:sz w:val="22"/>
        </w:rPr>
      </w:pPr>
      <w:r>
        <w:rPr>
          <w:rFonts w:ascii="arial" w:hAnsi="arial"/>
          <w:sz w:val="22"/>
        </w:rPr>
        <w:t xml:space="preserve">(b) Notwithstanding anything herein or in any Award Agreement to the contrary, in the event that a Participant is a “specified employee” (within the meaning of Section 409A(2)(B) of the Code) as of the date of such Participant’s termination of Employment, any Awards subject to Section 409A of the Code payable to such Participant as a result of his or her termination of Employment, shall be paid on the first business day of the first calendar month that begins after the six-month anniversary of the date of the Participant’s termination of Employment, or, if earlier, the date of the Participant’s death.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A-19</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r>
        <w:rPr>
          <w:rFonts w:ascii="arial" w:hAnsi="arial"/>
          <w:b/>
          <w:color w:val="CF0A2C"/>
          <w:sz w:val="28"/>
        </w:rPr>
        <w:t xml:space="preserve">21. Participants Based Outside of the United States.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Notwithstanding any provision of the Plan to the contrary, in order to comply with the laws in other countries in which the Company operates or has employees, the Committee, in its sole discretion, shall have the power and authority to: </w:t>
      </w:r>
    </w:p>
    <w:p>
      <w:pPr>
        <w:pStyle w:val="TextBody"/>
        <w:bidi w:val="0"/>
        <w:spacing w:before="240" w:after="0"/>
        <w:jc w:val="left"/>
        <w:rPr>
          <w:rFonts w:ascii="arial" w:hAnsi="arial"/>
          <w:sz w:val="22"/>
        </w:rPr>
      </w:pPr>
      <w:r>
        <w:rPr>
          <w:rFonts w:ascii="arial" w:hAnsi="arial"/>
          <w:sz w:val="22"/>
        </w:rPr>
        <w:t xml:space="preserve">(a) Determine which Affiliates and Subsidiaries shall be covered by the Plan; </w:t>
      </w:r>
    </w:p>
    <w:p>
      <w:pPr>
        <w:pStyle w:val="TextBody"/>
        <w:bidi w:val="0"/>
        <w:spacing w:before="240" w:after="0"/>
        <w:jc w:val="left"/>
        <w:rPr>
          <w:rFonts w:ascii="arial" w:hAnsi="arial"/>
          <w:sz w:val="22"/>
        </w:rPr>
      </w:pPr>
      <w:r>
        <w:rPr>
          <w:rFonts w:ascii="arial" w:hAnsi="arial"/>
          <w:sz w:val="22"/>
        </w:rPr>
        <w:t xml:space="preserve">(b) Determine which employees outside the United States are eligible to participate in the Plan; </w:t>
      </w:r>
    </w:p>
    <w:p>
      <w:pPr>
        <w:pStyle w:val="TextBody"/>
        <w:bidi w:val="0"/>
        <w:spacing w:before="240" w:after="0"/>
        <w:jc w:val="left"/>
        <w:rPr>
          <w:rFonts w:ascii="arial" w:hAnsi="arial"/>
          <w:sz w:val="22"/>
        </w:rPr>
      </w:pPr>
      <w:r>
        <w:rPr>
          <w:rFonts w:ascii="arial" w:hAnsi="arial"/>
          <w:sz w:val="22"/>
        </w:rPr>
        <w:t xml:space="preserve">(c) Modify the terms and conditions of any Award granted to employees outside the United States to comply with applicable foreign laws; </w:t>
      </w:r>
    </w:p>
    <w:p>
      <w:pPr>
        <w:pStyle w:val="TextBody"/>
        <w:bidi w:val="0"/>
        <w:spacing w:before="240" w:after="0"/>
        <w:jc w:val="left"/>
        <w:rPr>
          <w:rFonts w:ascii="arial" w:hAnsi="arial"/>
          <w:sz w:val="22"/>
        </w:rPr>
      </w:pPr>
      <w:r>
        <w:rPr>
          <w:rFonts w:ascii="arial" w:hAnsi="arial"/>
          <w:sz w:val="22"/>
        </w:rPr>
        <w:t xml:space="preserve">(d) Establish subplans and modify exercise procedures and other terms and procedures, to the extent such actions may be necessary or advisable. Any subplans and modifications to Plan terms and procedures established under this Section 21 by the Committee shall be attached to the Plan document as appendices; and </w:t>
      </w:r>
    </w:p>
    <w:p>
      <w:pPr>
        <w:pStyle w:val="TextBody"/>
        <w:bidi w:val="0"/>
        <w:spacing w:before="240" w:after="0"/>
        <w:jc w:val="left"/>
        <w:rPr>
          <w:rFonts w:ascii="arial" w:hAnsi="arial"/>
          <w:sz w:val="22"/>
        </w:rPr>
      </w:pPr>
      <w:r>
        <w:rPr>
          <w:rFonts w:ascii="arial" w:hAnsi="arial"/>
          <w:sz w:val="22"/>
        </w:rPr>
        <w:t xml:space="preserve">(e) Take any action, before or after an Award is made, that it deems advisable to obtain approval or comply with any necessary local government regulatory exemptions or approvals. </w:t>
      </w:r>
    </w:p>
    <w:p>
      <w:pPr>
        <w:pStyle w:val="TextBody"/>
        <w:bidi w:val="0"/>
        <w:spacing w:before="240" w:after="0"/>
        <w:jc w:val="left"/>
        <w:rPr>
          <w:rFonts w:ascii="arial" w:hAnsi="arial"/>
          <w:sz w:val="22"/>
        </w:rPr>
      </w:pPr>
      <w:r>
        <w:rPr>
          <w:rFonts w:ascii="arial" w:hAnsi="arial"/>
          <w:sz w:val="22"/>
        </w:rPr>
        <w:t xml:space="preserve">Notwithstanding the above, the Committee may not take any actions hereunder, and no Awards shall be granted, that would violate applicable law. </w:t>
      </w:r>
    </w:p>
    <w:p>
      <w:pPr>
        <w:pStyle w:val="TextBody"/>
        <w:bidi w:val="0"/>
        <w:spacing w:before="360" w:after="0"/>
        <w:jc w:val="left"/>
        <w:rPr>
          <w:rFonts w:ascii="arial" w:hAnsi="arial"/>
          <w:b/>
          <w:color w:val="CF0A2C"/>
          <w:sz w:val="28"/>
        </w:rPr>
      </w:pPr>
      <w:r>
        <w:rPr>
          <w:rFonts w:ascii="arial" w:hAnsi="arial"/>
          <w:b/>
          <w:color w:val="CF0A2C"/>
          <w:sz w:val="28"/>
        </w:rPr>
        <w:t xml:space="preserve">22. Legend.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certificates or book entry for shares of Common Stock may include any legend or coding, as applicable, which the Committee deems appropriate to reflect any restrictions on transfer of such shares. </w:t>
      </w:r>
    </w:p>
    <w:p>
      <w:pPr>
        <w:pStyle w:val="TextBody"/>
        <w:bidi w:val="0"/>
        <w:spacing w:before="360" w:after="0"/>
        <w:jc w:val="left"/>
        <w:rPr>
          <w:rFonts w:ascii="arial" w:hAnsi="arial"/>
          <w:b/>
          <w:color w:val="CF0A2C"/>
          <w:sz w:val="28"/>
        </w:rPr>
      </w:pPr>
      <w:r>
        <w:rPr>
          <w:rFonts w:ascii="arial" w:hAnsi="arial"/>
          <w:b/>
          <w:color w:val="CF0A2C"/>
          <w:sz w:val="28"/>
        </w:rPr>
        <w:t xml:space="preserve">23. Severability; Entire Agreement.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If any of the provisions of the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Agreement or other agreements or documents designated by the Committee as setting forth the terms of an Award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 </w:t>
      </w:r>
    </w:p>
    <w:p>
      <w:pPr>
        <w:pStyle w:val="TextBody"/>
        <w:bidi w:val="0"/>
        <w:spacing w:before="360" w:after="0"/>
        <w:jc w:val="left"/>
        <w:rPr>
          <w:rFonts w:ascii="arial" w:hAnsi="arial"/>
          <w:b/>
          <w:color w:val="CF0A2C"/>
          <w:sz w:val="28"/>
        </w:rPr>
      </w:pPr>
      <w:r>
        <w:rPr>
          <w:rFonts w:ascii="arial" w:hAnsi="arial"/>
          <w:b/>
          <w:color w:val="CF0A2C"/>
          <w:sz w:val="28"/>
        </w:rPr>
        <w:t xml:space="preserve">24. Descriptive Headings.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headings in the Plan are for convenience of reference only and shall not limit or otherwise affect the meaning of the terms contained herein.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75"/>
        <w:gridCol w:w="60"/>
        <w:gridCol w:w="515"/>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left"/>
              <w:rPr>
                <w:b/>
                <w:color w:val="666666"/>
              </w:rPr>
            </w:pPr>
            <w:r>
              <w:rPr>
                <w:b/>
                <w:color w:val="666666"/>
              </w:rPr>
              <w:t>A-20</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A 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r>
        <w:rPr>
          <w:rFonts w:ascii="arial" w:hAnsi="arial"/>
          <w:b/>
          <w:color w:val="CF0A2C"/>
          <w:sz w:val="28"/>
        </w:rPr>
        <w:t xml:space="preserve">25. Governing Law.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Plan and the rights of all persons under the Plan shall be construed and administered in accordance with the laws of the State of Delaware without regard to its conflict of law principles. </w:t>
      </w:r>
    </w:p>
    <w:p>
      <w:pPr>
        <w:pStyle w:val="TextBody"/>
        <w:bidi w:val="0"/>
        <w:spacing w:before="360" w:after="0"/>
        <w:jc w:val="left"/>
        <w:rPr>
          <w:rFonts w:ascii="arial" w:hAnsi="arial"/>
          <w:b/>
          <w:color w:val="CF0A2C"/>
          <w:sz w:val="28"/>
        </w:rPr>
      </w:pPr>
      <w:r>
        <w:rPr>
          <w:rFonts w:ascii="arial" w:hAnsi="arial"/>
          <w:b/>
          <w:color w:val="CF0A2C"/>
          <w:sz w:val="28"/>
        </w:rPr>
        <w:t xml:space="preserve">26. Clawback.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Notwithstanding anything herein to the contrary, the Company will be entitled, to the extent permitted or required by applicable law, Company policy including without limitation the Sabre Corporation Clawback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The Participant, by accepting Awards pursuant to the Plan and any Award Agreement, agrees to comply with such applicable law, Company policy (including, without limitation, the Sabre Corporation Clawback Policy) and/or listing exchange requirements, as well as any Company request or demand for such recoupment. </w:t>
      </w:r>
    </w:p>
    <w:p>
      <w:pPr>
        <w:pStyle w:val="TextBody"/>
        <w:bidi w:val="0"/>
        <w:spacing w:before="360" w:after="0"/>
        <w:jc w:val="left"/>
        <w:rPr>
          <w:rFonts w:ascii="arial" w:hAnsi="arial"/>
          <w:b/>
          <w:color w:val="CF0A2C"/>
          <w:sz w:val="28"/>
        </w:rPr>
      </w:pPr>
      <w:r>
        <w:rPr>
          <w:rFonts w:ascii="arial" w:hAnsi="arial"/>
          <w:b/>
          <w:color w:val="CF0A2C"/>
          <w:sz w:val="28"/>
        </w:rPr>
        <w:t xml:space="preserve">27. Effective Date and Term of Plan.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The Plan was initially adopted and shall be effective as of the Effective Date. The Plan shall terminate automatically on the ten (10) year anniversary of the Effective Date and may be terminated on any earlier date as provided in Section 16, but all Awards made on or prior to such date will continue in effect thereafter subject to the terms thereof and of the Plan. </w:t>
      </w:r>
    </w:p>
    <w:p>
      <w:pPr>
        <w:pStyle w:val="TextBody"/>
        <w:bidi w:val="0"/>
        <w:spacing w:before="0" w:after="0"/>
        <w:jc w:val="left"/>
        <w:rPr/>
      </w:pPr>
      <w:r>
        <w:rPr/>
        <w:t> </w:t>
      </w:r>
    </w:p>
    <w:p>
      <w:pPr>
        <w:pStyle w:val="TextBody"/>
        <w:bidi w:val="0"/>
        <w:spacing w:before="0" w:after="0"/>
        <w:jc w:val="left"/>
        <w:rPr/>
      </w:pPr>
      <w:r>
        <w:rPr/>
        <w:t> </w:t>
      </w:r>
    </w:p>
    <w:tbl>
      <w:tblPr>
        <w:tblW w:w="6801"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515" w:type="dxa"/>
            <w:tcBorders/>
            <w:vAlign w:val="center"/>
          </w:tcPr>
          <w:p>
            <w:pPr>
              <w:pStyle w:val="TableContents"/>
              <w:bidi w:val="0"/>
              <w:spacing w:before="0" w:after="283"/>
              <w:jc w:val="right"/>
              <w:rPr>
                <w:b/>
                <w:color w:val="666666"/>
              </w:rPr>
            </w:pPr>
            <w:r>
              <w:rPr>
                <w:b/>
                <w:color w:val="666666"/>
              </w:rPr>
              <w:t>A-21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44"/>
        </w:rPr>
      </w:pPr>
      <w:bookmarkStart w:id="73" w:name="tx888712_73"/>
      <w:bookmarkEnd w:id="73"/>
      <w:r>
        <w:rPr>
          <w:rFonts w:ascii="arial" w:hAnsi="arial"/>
          <w:b/>
          <w:color w:val="CF0A2C"/>
          <w:sz w:val="44"/>
        </w:rPr>
        <w:t xml:space="preserve">APPENDIX B </w:t>
      </w:r>
    </w:p>
    <w:p>
      <w:pPr>
        <w:pStyle w:val="TextBody"/>
        <w:bidi w:val="0"/>
        <w:spacing w:before="480" w:after="0"/>
        <w:jc w:val="left"/>
        <w:rPr>
          <w:rFonts w:ascii="arial" w:hAnsi="arial"/>
          <w:b/>
          <w:color w:val="CF0A2C"/>
          <w:sz w:val="44"/>
        </w:rPr>
      </w:pPr>
      <w:r>
        <w:rPr>
          <w:rFonts w:ascii="arial" w:hAnsi="arial"/>
          <w:b/>
          <w:color w:val="CF0A2C"/>
          <w:sz w:val="44"/>
        </w:rPr>
        <w:t xml:space="preserve">RECONCILIATIONS OF </w:t>
      </w:r>
    </w:p>
    <w:p>
      <w:pPr>
        <w:pStyle w:val="TextBody"/>
        <w:bidi w:val="0"/>
        <w:spacing w:before="0" w:after="0"/>
        <w:jc w:val="left"/>
        <w:rPr>
          <w:rFonts w:ascii="arial" w:hAnsi="arial"/>
          <w:b/>
          <w:color w:val="CF0A2C"/>
          <w:sz w:val="44"/>
        </w:rPr>
      </w:pPr>
      <w:r>
        <w:rPr>
          <w:rFonts w:ascii="arial" w:hAnsi="arial"/>
          <w:b/>
          <w:color w:val="CF0A2C"/>
          <w:sz w:val="44"/>
        </w:rPr>
        <w:t xml:space="preserve">NON-GAAP AND GAAP FINANCIAL MEASURES </w:t>
      </w:r>
    </w:p>
    <w:p>
      <w:pPr>
        <w:pStyle w:val="TextBody"/>
        <w:bidi w:val="0"/>
        <w:spacing w:before="240" w:after="0"/>
        <w:jc w:val="left"/>
        <w:rPr>
          <w:rFonts w:ascii="arial" w:hAnsi="arial"/>
          <w:b/>
          <w:color w:val="CF0A2C"/>
          <w:sz w:val="28"/>
        </w:rPr>
      </w:pPr>
      <w:r>
        <w:rPr>
          <w:rFonts w:ascii="arial" w:hAnsi="arial"/>
          <w:b/>
          <w:color w:val="CF0A2C"/>
          <w:sz w:val="28"/>
        </w:rPr>
        <w:t xml:space="preserve">Non-GAAP Financial Measures </w:t>
      </w:r>
    </w:p>
    <w:p>
      <w:pPr>
        <w:pStyle w:val="TextBody"/>
        <w:bidi w:val="0"/>
        <w:spacing w:before="120" w:after="0"/>
        <w:jc w:val="left"/>
        <w:rPr>
          <w:rFonts w:ascii="arial" w:hAnsi="arial"/>
          <w:sz w:val="22"/>
        </w:rPr>
      </w:pPr>
      <w:r>
        <w:rPr>
          <w:rFonts w:ascii="arial" w:hAnsi="arial"/>
          <w:sz w:val="22"/>
        </w:rPr>
        <w:t xml:space="preserve">We have included both financial measures compiled in accordance with GAAP and certain non-GAAP financial measures, including Adjusted Net Loss from continuing operations (“Adjusted Net Loss”), Adjusted EBITDA, Adjusted EPS, Free Cash Flow and ratios based on these financial measures. </w:t>
      </w:r>
    </w:p>
    <w:p>
      <w:pPr>
        <w:pStyle w:val="TextBody"/>
        <w:bidi w:val="0"/>
        <w:spacing w:before="240" w:after="0"/>
        <w:jc w:val="left"/>
        <w:rPr>
          <w:rFonts w:ascii="arial" w:hAnsi="arial"/>
          <w:sz w:val="22"/>
        </w:rPr>
      </w:pPr>
      <w:r>
        <w:rPr>
          <w:rFonts w:ascii="arial" w:hAnsi="arial"/>
          <w:sz w:val="22"/>
        </w:rPr>
        <w:t xml:space="preserve">We define Adjusted Net Loss as net loss attributable to common stockholders adjusted for income from discontinued operations, net of tax, net (loss) income attributable to noncontrolling interests, preferred stock dividends, impairment and related charges, acquisition-related amortization, restructuring and other costs, loss on extinguishment of debt, net, other, net, acquisition-related costs, litigation costs, net, indirect tax matters, stock-based compensation, and the tax impact of adjustments. </w:t>
      </w:r>
    </w:p>
    <w:p>
      <w:pPr>
        <w:pStyle w:val="TextBody"/>
        <w:bidi w:val="0"/>
        <w:spacing w:before="240" w:after="0"/>
        <w:jc w:val="left"/>
        <w:rPr>
          <w:rFonts w:ascii="arial" w:hAnsi="arial"/>
          <w:sz w:val="22"/>
        </w:rPr>
      </w:pPr>
      <w:r>
        <w:rPr>
          <w:rFonts w:ascii="arial" w:hAnsi="arial"/>
          <w:sz w:val="22"/>
        </w:rPr>
        <w:t xml:space="preserve">We define Adjusted EBITDA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net, acquisition-related costs, litigation costs, net, indirect tax matters, stock-based compensation and the (benefit) provision for income taxes. </w:t>
      </w:r>
    </w:p>
    <w:p>
      <w:pPr>
        <w:pStyle w:val="TextBody"/>
        <w:bidi w:val="0"/>
        <w:spacing w:before="240" w:after="0"/>
        <w:jc w:val="left"/>
        <w:rPr>
          <w:rFonts w:ascii="arial" w:hAnsi="arial"/>
          <w:sz w:val="22"/>
        </w:rPr>
      </w:pPr>
      <w:r>
        <w:rPr>
          <w:rFonts w:ascii="arial" w:hAnsi="arial"/>
          <w:sz w:val="22"/>
        </w:rPr>
        <w:t xml:space="preserve">We define Adjusted EPS as Adjusted Net Loss divided by diluted weighted-average common shares outstanding. </w:t>
      </w:r>
    </w:p>
    <w:p>
      <w:pPr>
        <w:pStyle w:val="TextBody"/>
        <w:bidi w:val="0"/>
        <w:spacing w:before="240" w:after="0"/>
        <w:jc w:val="left"/>
        <w:rPr>
          <w:rFonts w:ascii="arial" w:hAnsi="arial"/>
          <w:sz w:val="22"/>
        </w:rPr>
      </w:pPr>
      <w:r>
        <w:rPr>
          <w:rFonts w:ascii="arial" w:hAnsi="arial"/>
          <w:sz w:val="22"/>
        </w:rPr>
        <w:t xml:space="preserve">We define Free Cash Flow as cash provided by operating activities less cash used in additions to property and equipment. </w:t>
      </w:r>
    </w:p>
    <w:p>
      <w:pPr>
        <w:pStyle w:val="TextBody"/>
        <w:bidi w:val="0"/>
        <w:spacing w:before="240" w:after="0"/>
        <w:jc w:val="left"/>
        <w:rPr>
          <w:rFonts w:ascii="arial" w:hAnsi="arial"/>
          <w:sz w:val="22"/>
        </w:rPr>
      </w:pPr>
      <w:r>
        <w:rPr>
          <w:rFonts w:ascii="arial" w:hAnsi="arial"/>
          <w:sz w:val="22"/>
        </w:rPr>
        <w:t xml:space="preserve">We define Adjusted Net Loss from continuing operations per share as Adjusted Net Loss divided by diluted weighted-average common shares outstanding. </w:t>
      </w:r>
    </w:p>
    <w:p>
      <w:pPr>
        <w:pStyle w:val="TextBody"/>
        <w:bidi w:val="0"/>
        <w:spacing w:before="240" w:after="0"/>
        <w:jc w:val="left"/>
        <w:rPr>
          <w:rFonts w:ascii="arial" w:hAnsi="arial"/>
          <w:sz w:val="22"/>
        </w:rPr>
      </w:pPr>
      <w:r>
        <w:rPr>
          <w:rFonts w:ascii="arial" w:hAnsi="arial"/>
          <w:sz w:val="22"/>
        </w:rPr>
        <w:t xml:space="preserve">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fund our investments in technology transformation, and meet working capital requirements. We also believe that Adjusted Net Loss, Adjusted EBITDA, Adjusted EBITDA Margin and Adjusted EPS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 </w:t>
      </w:r>
    </w:p>
    <w:p>
      <w:pPr>
        <w:pStyle w:val="TextBody"/>
        <w:bidi w:val="0"/>
        <w:spacing w:before="240" w:after="0"/>
        <w:jc w:val="left"/>
        <w:rPr>
          <w:rFonts w:ascii="arial" w:hAnsi="arial"/>
          <w:sz w:val="22"/>
        </w:rPr>
      </w:pPr>
      <w:r>
        <w:rPr>
          <w:rFonts w:ascii="arial" w:hAnsi="arial"/>
          <w:sz w:val="22"/>
        </w:rPr>
        <w:t xml:space="preserve">Adjusted Net Loss, Adjusted EBITDA, Adjusted EBITDA Margin, Adjusted EPS, Free Cash Flow and ratios based on these financial measures are not recognized terms under GAAP. These non-GAAP financial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B-1</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these non-GAAP financial measures exclude certain recurring, non-cash charges such as stock-based compensation expense and amortization of acquired intangible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although depreciation and amortization are non-cash charges, the assets being depreciated and amortized may have to be replaced in the future, and Adjusted EBITDA does not reflect cash requirements for such replacements;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does not reflect amortization of capitalized implementation costs associated with our revenue contracts, which may require future working capital or cash needs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Adjusted Net Loss and Adjusted EBITDA do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does not reflect the interest expense or the cash requirements necessary to service interest or principal payments on our indebtedness;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Adjusted EBITDA does not reflect tax payments that may represent a reduction in cash available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Free Cash Flow removes the impact of accrual-basis accounting on asset accounts and non-debt liability accounts, and does not reflect the cash requirements necessary to service the principal payments on our indebtedness;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2"/>
              </w:rPr>
            </w:pPr>
            <w:r>
              <w:rPr>
                <w:rFonts w:ascii="arial" w:hAnsi="arial"/>
                <w:sz w:val="22"/>
              </w:rPr>
              <w:t xml:space="preserve">other companies, including companies in our industry, may calculate Adjusted Net Loss, Adjusted EBITDA, Adjusted EPS or Free Cash Flow differently, which reduces their usefulness as comparative measures. </w:t>
            </w:r>
          </w:p>
        </w:tc>
      </w:tr>
    </w:tbl>
    <w:p>
      <w:pPr>
        <w:pStyle w:val="TextBody"/>
        <w:bidi w:val="0"/>
        <w:spacing w:before="240" w:after="0"/>
        <w:jc w:val="left"/>
        <w:rPr>
          <w:rFonts w:ascii="arial" w:hAnsi="arial"/>
          <w:sz w:val="22"/>
        </w:rPr>
      </w:pPr>
      <w:r>
        <w:rPr>
          <w:rFonts w:ascii="arial" w:hAnsi="arial"/>
          <w:sz w:val="22"/>
        </w:rPr>
        <w:t xml:space="preserve">We no longer present Adjusted Operating Income (loss) as a non-GAAP measure as it is no longer utilized by management to measure and monitor results for our segments. Management reviews Segment Adjusted EBITDA as the primary measure for our segments’ performance. </w:t>
      </w:r>
    </w:p>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left"/>
              <w:rPr>
                <w:b/>
                <w:color w:val="666666"/>
              </w:rPr>
            </w:pPr>
            <w:r>
              <w:rPr>
                <w:b/>
                <w:color w:val="666666"/>
              </w:rPr>
              <w:t>B-2</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CF0A2C"/>
          <w:sz w:val="28"/>
        </w:rPr>
      </w:pPr>
      <w:r>
        <w:rPr>
          <w:rFonts w:ascii="arial" w:hAnsi="arial"/>
          <w:b/>
          <w:color w:val="CF0A2C"/>
          <w:sz w:val="28"/>
        </w:rPr>
        <w:t xml:space="preserve">Tabular Reconciliations for Non-GAAP Measures </w:t>
      </w:r>
    </w:p>
    <w:p>
      <w:pPr>
        <w:pStyle w:val="TextBody"/>
        <w:bidi w:val="0"/>
        <w:spacing w:before="120" w:after="0"/>
        <w:jc w:val="left"/>
        <w:rPr>
          <w:rFonts w:ascii="arial" w:hAnsi="arial"/>
          <w:b/>
          <w:i/>
          <w:sz w:val="22"/>
          <w:u w:val="single"/>
        </w:rPr>
      </w:pPr>
      <w:r>
        <w:rPr>
          <w:rFonts w:ascii="arial" w:hAnsi="arial"/>
          <w:b/>
          <w:i/>
          <w:sz w:val="22"/>
          <w:u w:val="single"/>
        </w:rPr>
        <w:t xml:space="preserve">(In thousands, except per share amounts; unaudited) </w:t>
      </w:r>
    </w:p>
    <w:p>
      <w:pPr>
        <w:pStyle w:val="TextBody"/>
        <w:bidi w:val="0"/>
        <w:spacing w:before="120" w:after="0"/>
        <w:jc w:val="left"/>
        <w:rPr>
          <w:rFonts w:ascii="arial" w:hAnsi="arial"/>
          <w:i/>
          <w:sz w:val="22"/>
        </w:rPr>
      </w:pPr>
      <w:r>
        <w:rPr>
          <w:rFonts w:ascii="arial" w:hAnsi="arial"/>
          <w:i/>
          <w:sz w:val="22"/>
        </w:rPr>
        <w:t xml:space="preserve">Reconciliation of net loss attributable to common stockholders to Adjusted Net Loss from continuing operations and loss from continuing operations to Adjusted EBITDA: </w:t>
      </w:r>
    </w:p>
    <w:p>
      <w:pPr>
        <w:pStyle w:val="TextBody"/>
        <w:bidi w:val="0"/>
        <w:spacing w:before="0" w:after="0"/>
        <w:jc w:val="left"/>
        <w:rPr/>
      </w:pPr>
      <w:r>
        <w:rPr/>
        <w:t> </w:t>
      </w:r>
    </w:p>
    <w:tbl>
      <w:tblPr>
        <w:tblW w:w="7865" w:type="dxa"/>
        <w:jc w:val="left"/>
        <w:tblInd w:w="0" w:type="dxa"/>
        <w:tblLayout w:type="fixed"/>
        <w:tblCellMar>
          <w:top w:w="0" w:type="dxa"/>
          <w:left w:w="0" w:type="dxa"/>
          <w:bottom w:w="0" w:type="dxa"/>
          <w:right w:w="0" w:type="dxa"/>
        </w:tblCellMar>
      </w:tblPr>
      <w:tblGrid>
        <w:gridCol w:w="5270"/>
        <w:gridCol w:w="120"/>
        <w:gridCol w:w="60"/>
        <w:gridCol w:w="140"/>
        <w:gridCol w:w="875"/>
        <w:gridCol w:w="95"/>
        <w:gridCol w:w="120"/>
        <w:gridCol w:w="60"/>
        <w:gridCol w:w="140"/>
        <w:gridCol w:w="875"/>
        <w:gridCol w:w="110"/>
      </w:tblGrid>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666666" w:val="clear"/>
            <w:vAlign w:val="center"/>
          </w:tcPr>
          <w:p>
            <w:pPr>
              <w:pStyle w:val="TableContents"/>
              <w:bidi w:val="0"/>
              <w:spacing w:before="0" w:after="283"/>
              <w:jc w:val="left"/>
              <w:rPr/>
            </w:pPr>
            <w:r>
              <w:rPr/>
              <w:t> </w:t>
            </w:r>
          </w:p>
        </w:tc>
        <w:tc>
          <w:tcPr>
            <w:tcW w:w="12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475" w:type="dxa"/>
            <w:gridSpan w:val="9"/>
            <w:tcBorders>
              <w:bottom w:val="single" w:sz="12" w:space="0" w:color="FFFFFF"/>
            </w:tcBorders>
            <w:shd w:fill="66666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Year Ended December 31,</w:t>
            </w:r>
          </w:p>
          <w:p>
            <w:pPr>
              <w:pStyle w:val="TableContents"/>
              <w:bidi w:val="0"/>
              <w:spacing w:before="0" w:after="20"/>
              <w:jc w:val="left"/>
              <w:rPr/>
            </w:pPr>
            <w:r>
              <w:rPr/>
              <w:t> </w:t>
            </w:r>
          </w:p>
        </w:tc>
      </w:tr>
      <w:tr>
        <w:trPr/>
        <w:tc>
          <w:tcPr>
            <w:tcW w:w="5270" w:type="dxa"/>
            <w:tcBorders/>
            <w:shd w:fill="666666" w:val="clear"/>
            <w:vAlign w:val="center"/>
          </w:tcPr>
          <w:p>
            <w:pPr>
              <w:pStyle w:val="TableContents"/>
              <w:bidi w:val="0"/>
              <w:spacing w:before="0" w:after="283"/>
              <w:jc w:val="left"/>
              <w:rPr/>
            </w:pPr>
            <w:r>
              <w:rPr/>
              <w:t> </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70"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2024</w:t>
            </w:r>
          </w:p>
          <w:p>
            <w:pPr>
              <w:pStyle w:val="TableContents"/>
              <w:bidi w:val="0"/>
              <w:spacing w:before="0" w:after="20"/>
              <w:jc w:val="left"/>
              <w:rPr/>
            </w:pPr>
            <w:r>
              <w:rPr/>
              <w:t> </w:t>
            </w:r>
          </w:p>
        </w:tc>
        <w:tc>
          <w:tcPr>
            <w:tcW w:w="12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85" w:type="dxa"/>
            <w:gridSpan w:val="4"/>
            <w:tcBorders/>
            <w:shd w:fill="666666"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2023</w:t>
            </w:r>
          </w:p>
          <w:p>
            <w:pPr>
              <w:pStyle w:val="TableContents"/>
              <w:bidi w:val="0"/>
              <w:spacing w:before="0" w:after="20"/>
              <w:jc w:val="left"/>
              <w:rPr/>
            </w:pPr>
            <w:r>
              <w:rPr/>
              <w:t> </w:t>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Net loss attributable to common stockholders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(278,759</w:t>
            </w:r>
          </w:p>
        </w:tc>
        <w:tc>
          <w:tcPr>
            <w:tcW w:w="95" w:type="dxa"/>
            <w:tcBorders/>
            <w:shd w:fill="E5E5E5" w:val="clear"/>
            <w:vAlign w:val="center"/>
          </w:tcPr>
          <w:p>
            <w:pPr>
              <w:pStyle w:val="TableContents"/>
              <w:bidi w:val="0"/>
              <w:spacing w:before="0" w:after="283"/>
              <w:jc w:val="left"/>
              <w:rPr/>
            </w:pPr>
            <w:r>
              <w:rPr/>
              <w: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(541,865</w:t>
            </w:r>
          </w:p>
        </w:tc>
        <w:tc>
          <w:tcPr>
            <w:tcW w:w="110" w:type="dxa"/>
            <w:tcBorders/>
            <w:shd w:fill="E5E5E5" w:val="clear"/>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Income from discontinued operations, net of tax</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(308</w:t>
            </w:r>
          </w:p>
        </w:tc>
        <w:tc>
          <w:tcPr>
            <w:tcW w:w="110" w:type="dxa"/>
            <w:tcBorders/>
            <w:vAlign w:val="center"/>
          </w:tcPr>
          <w:p>
            <w:pPr>
              <w:pStyle w:val="TableContents"/>
              <w:bidi w:val="0"/>
              <w:spacing w:before="0" w:after="283"/>
              <w:jc w:val="left"/>
              <w:rPr/>
            </w:pPr>
            <w:r>
              <w:rPr/>
              <w:t>)</w:t>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Net (loss) income attributable to non-controlling interests(1)</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76</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(332</w:t>
            </w:r>
          </w:p>
        </w:tc>
        <w:tc>
          <w:tcPr>
            <w:tcW w:w="110" w:type="dxa"/>
            <w:tcBorders/>
            <w:shd w:fill="E5E5E5" w:val="clear"/>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Preferred stock dividends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14,257</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Loss from continuing operations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(278,683</w:t>
            </w:r>
          </w:p>
        </w:tc>
        <w:tc>
          <w:tcPr>
            <w:tcW w:w="95" w:type="dxa"/>
            <w:tcBorders/>
            <w:shd w:fill="E5E5E5" w:val="clear"/>
            <w:vAlign w:val="center"/>
          </w:tcPr>
          <w:p>
            <w:pPr>
              <w:pStyle w:val="TableContents"/>
              <w:bidi w:val="0"/>
              <w:spacing w:before="0" w:after="283"/>
              <w:jc w:val="left"/>
              <w:rPr/>
            </w:pPr>
            <w:r>
              <w:rPr/>
              <w: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(528,248</w:t>
            </w:r>
          </w:p>
        </w:tc>
        <w:tc>
          <w:tcPr>
            <w:tcW w:w="110" w:type="dxa"/>
            <w:tcBorders/>
            <w:shd w:fill="E5E5E5" w:val="clear"/>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Adjustments: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Acquisition-related amortization(2a)</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37,891</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40,237</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Restructuring and other costs(3)</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11,653</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72,096</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Loss on extinguishment of debt, net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37,994</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108,577</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Other, net(4)</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21,587</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(13,751</w:t>
            </w:r>
          </w:p>
        </w:tc>
        <w:tc>
          <w:tcPr>
            <w:tcW w:w="110" w:type="dxa"/>
            <w:tcBorders/>
            <w:vAlign w:val="center"/>
          </w:tcPr>
          <w:p>
            <w:pPr>
              <w:pStyle w:val="TableContents"/>
              <w:bidi w:val="0"/>
              <w:spacing w:before="0" w:after="283"/>
              <w:jc w:val="left"/>
              <w:rPr/>
            </w:pPr>
            <w:r>
              <w:rPr/>
              <w:t>)</w:t>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Acquisition-related costs(5)</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3,923</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2,336</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Litigation costs, net(6)</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6,875</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1,387</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Indirect tax matters(7)</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21,732</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11,451</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Stock-based compensation</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54,567</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52,015</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Tax impact of adjustments(8)</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10,072</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74,203</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Adjusted Net Loss from continuing operations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(72,389</w:t>
            </w:r>
          </w:p>
        </w:tc>
        <w:tc>
          <w:tcPr>
            <w:tcW w:w="95" w:type="dxa"/>
            <w:tcBorders/>
            <w:vAlign w:val="center"/>
          </w:tcPr>
          <w:p>
            <w:pPr>
              <w:pStyle w:val="TableContents"/>
              <w:bidi w:val="0"/>
              <w:spacing w:before="0" w:after="283"/>
              <w:jc w:val="left"/>
              <w:rPr/>
            </w:pPr>
            <w:r>
              <w:rPr/>
              <w:t>)</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(179,697</w:t>
            </w:r>
          </w:p>
        </w:tc>
        <w:tc>
          <w:tcPr>
            <w:tcW w:w="110" w:type="dxa"/>
            <w:tcBorders/>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Adjusted Net Loss from continuing operations per share</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(0.19</w:t>
            </w:r>
          </w:p>
        </w:tc>
        <w:tc>
          <w:tcPr>
            <w:tcW w:w="95" w:type="dxa"/>
            <w:tcBorders/>
            <w:shd w:fill="E5E5E5" w:val="clear"/>
            <w:vAlign w:val="center"/>
          </w:tcPr>
          <w:p>
            <w:pPr>
              <w:pStyle w:val="TableContents"/>
              <w:bidi w:val="0"/>
              <w:spacing w:before="0" w:after="283"/>
              <w:jc w:val="left"/>
              <w:rPr/>
            </w:pPr>
            <w:r>
              <w:rPr/>
              <w: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(0.52</w:t>
            </w:r>
          </w:p>
        </w:tc>
        <w:tc>
          <w:tcPr>
            <w:tcW w:w="110" w:type="dxa"/>
            <w:tcBorders/>
            <w:shd w:fill="E5E5E5" w:val="clear"/>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Diluted weighted-average common shares outstanding</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383,733</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346,567</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Loss from continuing operations</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(278,683</w:t>
            </w:r>
          </w:p>
        </w:tc>
        <w:tc>
          <w:tcPr>
            <w:tcW w:w="95" w:type="dxa"/>
            <w:tcBorders/>
            <w:shd w:fill="E5E5E5" w:val="clear"/>
            <w:vAlign w:val="center"/>
          </w:tcPr>
          <w:p>
            <w:pPr>
              <w:pStyle w:val="TableContents"/>
              <w:bidi w:val="0"/>
              <w:spacing w:before="0" w:after="283"/>
              <w:jc w:val="left"/>
              <w:rPr/>
            </w:pPr>
            <w:r>
              <w:rPr/>
              <w: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(528,248</w:t>
            </w:r>
          </w:p>
        </w:tc>
        <w:tc>
          <w:tcPr>
            <w:tcW w:w="110" w:type="dxa"/>
            <w:tcBorders/>
            <w:shd w:fill="E5E5E5" w:val="clear"/>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Adjustments: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Depreciation and amortization of property and equipment(2b)</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73,028</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85,408</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Amortization of capitalized implementation costs(2c)</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18,565</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23,031</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Acquisition-related amortization(2a)</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37,891</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40,237</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Restructuring and other costs(3)</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11,653</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72,096</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Interest expense, net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509,643</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447,878</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Other, net(4)</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21,587</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(13,751</w:t>
            </w:r>
          </w:p>
        </w:tc>
        <w:tc>
          <w:tcPr>
            <w:tcW w:w="110" w:type="dxa"/>
            <w:tcBorders/>
            <w:vAlign w:val="center"/>
          </w:tcPr>
          <w:p>
            <w:pPr>
              <w:pStyle w:val="TableContents"/>
              <w:bidi w:val="0"/>
              <w:spacing w:before="0" w:after="283"/>
              <w:jc w:val="left"/>
              <w:rPr/>
            </w:pPr>
            <w:r>
              <w:rPr/>
              <w:t>)</w:t>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Loss on extinguishment of debt, net</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37,994</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108,577</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Acquisition-related costs(5)</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3,923</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2,336</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Litigation costs, net(6)</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6,875</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1,387</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Indirect tax matters(7)</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21,732</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11,451</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Stock-based compensation</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54,567</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52,015</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arial" w:hAnsi="arial"/>
                <w:sz w:val="20"/>
              </w:rPr>
            </w:pPr>
            <w:r>
              <w:rPr>
                <w:rFonts w:ascii="arial" w:hAnsi="arial"/>
                <w:sz w:val="20"/>
              </w:rPr>
              <w:t>Provision for income taxes</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(1,777</w:t>
            </w:r>
          </w:p>
        </w:tc>
        <w:tc>
          <w:tcPr>
            <w:tcW w:w="95" w:type="dxa"/>
            <w:tcBorders/>
            <w:vAlign w:val="center"/>
          </w:tcPr>
          <w:p>
            <w:pPr>
              <w:pStyle w:val="TableContents"/>
              <w:bidi w:val="0"/>
              <w:spacing w:before="0" w:after="283"/>
              <w:jc w:val="left"/>
              <w:rPr/>
            </w:pPr>
            <w:r>
              <w:rPr/>
              <w:t>)</w:t>
            </w:r>
          </w:p>
        </w:tc>
        <w:tc>
          <w:tcPr>
            <w:tcW w:w="12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34,729</w:t>
            </w:r>
          </w:p>
        </w:tc>
        <w:tc>
          <w:tcPr>
            <w:tcW w:w="11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shd w:fill="E5E5E5" w:val="clear"/>
            <w:vAlign w:val="center"/>
          </w:tcPr>
          <w:p>
            <w:pPr>
              <w:pStyle w:val="TableContents"/>
              <w:bidi w:val="0"/>
              <w:spacing w:before="0" w:after="0"/>
              <w:jc w:val="left"/>
              <w:rPr>
                <w:rFonts w:ascii="arial" w:hAnsi="arial"/>
                <w:sz w:val="20"/>
              </w:rPr>
            </w:pPr>
            <w:r>
              <w:rPr>
                <w:rFonts w:ascii="arial" w:hAnsi="arial"/>
                <w:sz w:val="20"/>
              </w:rPr>
              <w:t>Adjusted EBITDA</w:t>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516,998</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337,146</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712" w:type="dxa"/>
        <w:jc w:val="left"/>
        <w:tblInd w:w="0" w:type="dxa"/>
        <w:tblLayout w:type="fixed"/>
        <w:tblCellMar>
          <w:top w:w="0" w:type="dxa"/>
          <w:left w:w="0" w:type="dxa"/>
          <w:bottom w:w="0" w:type="dxa"/>
          <w:right w:w="0" w:type="dxa"/>
        </w:tblCellMar>
      </w:tblPr>
      <w:tblGrid>
        <w:gridCol w:w="38"/>
        <w:gridCol w:w="23"/>
        <w:gridCol w:w="23"/>
        <w:gridCol w:w="23"/>
        <w:gridCol w:w="23"/>
        <w:gridCol w:w="60"/>
        <w:gridCol w:w="23"/>
        <w:gridCol w:w="23"/>
        <w:gridCol w:w="23"/>
        <w:gridCol w:w="23"/>
        <w:gridCol w:w="23"/>
        <w:gridCol w:w="60"/>
        <w:gridCol w:w="5272"/>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right"/>
              <w:rPr>
                <w:color w:val="CF0A2C"/>
              </w:rPr>
            </w:pPr>
            <w:r>
              <w:rPr>
                <w:color w:val="CF0A2C"/>
              </w:rPr>
              <w:drawing>
                <wp:inline distT="0" distB="0" distL="0" distR="0">
                  <wp:extent cx="506095" cy="12255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B-3</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1370"/>
        <w:gridCol w:w="60"/>
        <w:gridCol w:w="23"/>
        <w:gridCol w:w="60"/>
        <w:gridCol w:w="23"/>
        <w:gridCol w:w="60"/>
        <w:gridCol w:w="23"/>
        <w:gridCol w:w="60"/>
        <w:gridCol w:w="38"/>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2"/>
        </w:rPr>
      </w:pPr>
      <w:r>
        <w:rPr>
          <w:rFonts w:ascii="arial" w:hAnsi="arial"/>
          <w:i/>
          <w:sz w:val="22"/>
        </w:rPr>
        <w:t xml:space="preserve">Reconciliation of Free Cash Flow: </w:t>
      </w:r>
    </w:p>
    <w:p>
      <w:pPr>
        <w:pStyle w:val="TextBody"/>
        <w:bidi w:val="0"/>
        <w:spacing w:before="0" w:after="0"/>
        <w:jc w:val="left"/>
        <w:rPr/>
      </w:pPr>
      <w:r>
        <w:rPr/>
        <w:t> </w:t>
      </w:r>
    </w:p>
    <w:tbl>
      <w:tblPr>
        <w:tblW w:w="6440" w:type="dxa"/>
        <w:jc w:val="left"/>
        <w:tblInd w:w="0" w:type="dxa"/>
        <w:tblLayout w:type="fixed"/>
        <w:tblCellMar>
          <w:top w:w="0" w:type="dxa"/>
          <w:left w:w="0" w:type="dxa"/>
          <w:bottom w:w="0" w:type="dxa"/>
          <w:right w:w="0" w:type="dxa"/>
        </w:tblCellMar>
      </w:tblPr>
      <w:tblGrid>
        <w:gridCol w:w="4085"/>
        <w:gridCol w:w="60"/>
        <w:gridCol w:w="60"/>
        <w:gridCol w:w="140"/>
        <w:gridCol w:w="755"/>
        <w:gridCol w:w="95"/>
        <w:gridCol w:w="60"/>
        <w:gridCol w:w="60"/>
        <w:gridCol w:w="140"/>
        <w:gridCol w:w="875"/>
        <w:gridCol w:w="110"/>
      </w:tblGrid>
      <w:tr>
        <w:trPr/>
        <w:tc>
          <w:tcPr>
            <w:tcW w:w="4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4085" w:type="dxa"/>
            <w:tcBorders/>
            <w:shd w:fill="666666" w:val="cle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295" w:type="dxa"/>
            <w:gridSpan w:val="9"/>
            <w:tcBorders>
              <w:bottom w:val="single" w:sz="12" w:space="0" w:color="FFFFFF"/>
            </w:tcBorders>
            <w:shd w:fill="66666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Year Ended</w:t>
              <w:br/>
              <w:t>December 31,</w:t>
            </w:r>
          </w:p>
          <w:p>
            <w:pPr>
              <w:pStyle w:val="TableContents"/>
              <w:bidi w:val="0"/>
              <w:spacing w:before="0" w:after="20"/>
              <w:jc w:val="left"/>
              <w:rPr/>
            </w:pPr>
            <w:r>
              <w:rPr/>
              <w:t> </w:t>
            </w:r>
          </w:p>
        </w:tc>
      </w:tr>
      <w:tr>
        <w:trPr/>
        <w:tc>
          <w:tcPr>
            <w:tcW w:w="4085"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5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2024</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185"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2023</w:t>
            </w:r>
          </w:p>
          <w:p>
            <w:pPr>
              <w:pStyle w:val="TableContents"/>
              <w:bidi w:val="0"/>
              <w:spacing w:before="0" w:after="20"/>
              <w:jc w:val="left"/>
              <w:rPr/>
            </w:pPr>
            <w:r>
              <w:rPr/>
              <w:t> </w:t>
            </w:r>
          </w:p>
        </w:tc>
      </w:tr>
      <w:tr>
        <w:trPr/>
        <w:tc>
          <w:tcPr>
            <w:tcW w:w="4085" w:type="dxa"/>
            <w:tcBorders/>
            <w:shd w:fill="E5E5E5" w:val="clear"/>
            <w:vAlign w:val="center"/>
          </w:tcPr>
          <w:p>
            <w:pPr>
              <w:pStyle w:val="TableContents"/>
              <w:bidi w:val="0"/>
              <w:spacing w:before="0" w:after="0"/>
              <w:jc w:val="left"/>
              <w:rPr/>
            </w:pPr>
            <w:r>
              <w:rPr/>
              <w:t> </w:t>
            </w:r>
            <w:r>
              <w:rPr>
                <w:rFonts w:ascii="arial" w:hAnsi="arial"/>
                <w:sz w:val="20"/>
              </w:rPr>
              <w:t>Cash provided by operating activities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755" w:type="dxa"/>
            <w:tcBorders/>
            <w:shd w:fill="E5E5E5" w:val="clear"/>
            <w:vAlign w:val="center"/>
          </w:tcPr>
          <w:p>
            <w:pPr>
              <w:pStyle w:val="TableContents"/>
              <w:bidi w:val="0"/>
              <w:spacing w:before="0" w:after="283"/>
              <w:jc w:val="right"/>
              <w:rPr/>
            </w:pPr>
            <w:r>
              <w:rPr/>
              <w:t>70,594</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875" w:type="dxa"/>
            <w:tcBorders/>
            <w:shd w:fill="E5E5E5" w:val="clear"/>
            <w:vAlign w:val="center"/>
          </w:tcPr>
          <w:p>
            <w:pPr>
              <w:pStyle w:val="TableContents"/>
              <w:bidi w:val="0"/>
              <w:spacing w:before="0" w:after="283"/>
              <w:jc w:val="right"/>
              <w:rPr/>
            </w:pPr>
            <w:r>
              <w:rPr/>
              <w:t>56,239</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0"/>
              <w:jc w:val="left"/>
              <w:rPr/>
            </w:pPr>
            <w:r>
              <w:rPr/>
              <w:t> </w:t>
            </w:r>
            <w:r>
              <w:rPr>
                <w:rFonts w:ascii="arial" w:hAnsi="arial"/>
                <w:sz w:val="20"/>
              </w:rPr>
              <w:t>Cash (used in) investing activities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(29,614</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(109,980</w:t>
            </w:r>
          </w:p>
        </w:tc>
        <w:tc>
          <w:tcPr>
            <w:tcW w:w="110" w:type="dxa"/>
            <w:tcBorders/>
            <w:vAlign w:val="center"/>
          </w:tcPr>
          <w:p>
            <w:pPr>
              <w:pStyle w:val="TableContents"/>
              <w:bidi w:val="0"/>
              <w:spacing w:before="0" w:after="283"/>
              <w:jc w:val="left"/>
              <w:rPr/>
            </w:pPr>
            <w:r>
              <w:rPr/>
              <w:t>)</w:t>
            </w:r>
          </w:p>
        </w:tc>
      </w:tr>
      <w:tr>
        <w:trPr/>
        <w:tc>
          <w:tcPr>
            <w:tcW w:w="4085" w:type="dxa"/>
            <w:tcBorders/>
            <w:shd w:fill="E5E5E5" w:val="clear"/>
            <w:vAlign w:val="center"/>
          </w:tcPr>
          <w:p>
            <w:pPr>
              <w:pStyle w:val="TableContents"/>
              <w:bidi w:val="0"/>
              <w:spacing w:before="0" w:after="0"/>
              <w:jc w:val="left"/>
              <w:rPr/>
            </w:pPr>
            <w:r>
              <w:rPr/>
              <w:t> </w:t>
            </w:r>
            <w:r>
              <w:rPr>
                <w:rFonts w:ascii="arial" w:hAnsi="arial"/>
                <w:sz w:val="20"/>
              </w:rPr>
              <w:t>Cash used in (provided by) financing activities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755" w:type="dxa"/>
            <w:tcBorders/>
            <w:shd w:fill="E5E5E5" w:val="clear"/>
            <w:vAlign w:val="center"/>
          </w:tcPr>
          <w:p>
            <w:pPr>
              <w:pStyle w:val="TableContents"/>
              <w:bidi w:val="0"/>
              <w:spacing w:before="0" w:after="283"/>
              <w:jc w:val="right"/>
              <w:rPr/>
            </w:pPr>
            <w:r>
              <w:rPr/>
              <w:t>39,572</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(94,219</w:t>
            </w:r>
          </w:p>
        </w:tc>
        <w:tc>
          <w:tcPr>
            <w:tcW w:w="110" w:type="dxa"/>
            <w:tcBorders/>
            <w:shd w:fill="E5E5E5" w:val="cle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70"/>
        <w:gridCol w:w="60"/>
        <w:gridCol w:w="60"/>
        <w:gridCol w:w="140"/>
        <w:gridCol w:w="755"/>
        <w:gridCol w:w="95"/>
        <w:gridCol w:w="60"/>
        <w:gridCol w:w="60"/>
        <w:gridCol w:w="140"/>
        <w:gridCol w:w="755"/>
        <w:gridCol w:w="110"/>
      </w:tblGrid>
      <w:tr>
        <w:trPr/>
        <w:tc>
          <w:tcPr>
            <w:tcW w:w="7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797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bottom w:val="single" w:sz="12" w:space="0" w:color="FFFFFF"/>
            </w:tcBorders>
            <w:shd w:fill="666666" w:val="clear"/>
            <w:tcMar>
              <w:left w:w="28" w:type="dxa"/>
              <w:bottom w:w="28" w:type="dxa"/>
            </w:tcMar>
            <w:vAlign w:val="center"/>
          </w:tcPr>
          <w:p>
            <w:pPr>
              <w:pStyle w:val="TableContents"/>
              <w:bidi w:val="0"/>
              <w:spacing w:before="0" w:after="283"/>
              <w:jc w:val="left"/>
              <w:rPr/>
            </w:pPr>
            <w:r>
              <w:rPr/>
              <w:t> </w:t>
            </w:r>
          </w:p>
        </w:tc>
        <w:tc>
          <w:tcPr>
            <w:tcW w:w="2175" w:type="dxa"/>
            <w:gridSpan w:val="9"/>
            <w:tcBorders>
              <w:bottom w:val="single" w:sz="12" w:space="0" w:color="FFFFFF"/>
            </w:tcBorders>
            <w:shd w:fill="666666"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Year Ended</w:t>
              <w:br/>
              <w:t>December 31,</w:t>
            </w:r>
          </w:p>
          <w:p>
            <w:pPr>
              <w:pStyle w:val="TableContents"/>
              <w:bidi w:val="0"/>
              <w:spacing w:before="0" w:after="20"/>
              <w:jc w:val="left"/>
              <w:rPr/>
            </w:pPr>
            <w:r>
              <w:rPr/>
              <w:t> </w:t>
            </w:r>
          </w:p>
        </w:tc>
      </w:tr>
      <w:tr>
        <w:trPr/>
        <w:tc>
          <w:tcPr>
            <w:tcW w:w="7970" w:type="dxa"/>
            <w:tcBorders/>
            <w:shd w:fill="666666" w:val="clear"/>
            <w:vAlign w:val="center"/>
          </w:tcPr>
          <w:p>
            <w:pPr>
              <w:pStyle w:val="TableContents"/>
              <w:bidi w:val="0"/>
              <w:spacing w:before="0" w:after="283"/>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50"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2024</w:t>
            </w:r>
          </w:p>
          <w:p>
            <w:pPr>
              <w:pStyle w:val="TableContents"/>
              <w:bidi w:val="0"/>
              <w:spacing w:before="0" w:after="20"/>
              <w:jc w:val="left"/>
              <w:rPr/>
            </w:pPr>
            <w:r>
              <w:rPr/>
              <w:t> </w:t>
            </w:r>
          </w:p>
        </w:tc>
        <w:tc>
          <w:tcPr>
            <w:tcW w:w="60" w:type="dxa"/>
            <w:tcBorders>
              <w:left w:val="single" w:sz="12" w:space="0" w:color="FFFFFF"/>
            </w:tcBorders>
            <w:shd w:fill="666666" w:val="clear"/>
            <w:tcMar>
              <w:left w:w="28" w:type="dxa"/>
            </w:tcMar>
            <w:vAlign w:val="center"/>
          </w:tcPr>
          <w:p>
            <w:pPr>
              <w:pStyle w:val="TableContents"/>
              <w:bidi w:val="0"/>
              <w:spacing w:before="0" w:after="283"/>
              <w:jc w:val="left"/>
              <w:rPr/>
            </w:pPr>
            <w:r>
              <w:rPr/>
              <w:t> </w:t>
            </w:r>
          </w:p>
        </w:tc>
        <w:tc>
          <w:tcPr>
            <w:tcW w:w="1065" w:type="dxa"/>
            <w:gridSpan w:val="4"/>
            <w:tcBorders/>
            <w:shd w:fill="666666"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2023</w:t>
            </w:r>
          </w:p>
          <w:p>
            <w:pPr>
              <w:pStyle w:val="TableContents"/>
              <w:bidi w:val="0"/>
              <w:spacing w:before="0" w:after="20"/>
              <w:jc w:val="left"/>
              <w:rPr/>
            </w:pPr>
            <w:r>
              <w:rPr/>
              <w:t> </w:t>
            </w:r>
          </w:p>
        </w:tc>
      </w:tr>
      <w:tr>
        <w:trPr/>
        <w:tc>
          <w:tcPr>
            <w:tcW w:w="7970" w:type="dxa"/>
            <w:tcBorders/>
            <w:shd w:fill="E5E5E5" w:val="clear"/>
            <w:vAlign w:val="center"/>
          </w:tcPr>
          <w:p>
            <w:pPr>
              <w:pStyle w:val="TableContents"/>
              <w:bidi w:val="0"/>
              <w:spacing w:before="0" w:after="0"/>
              <w:jc w:val="left"/>
              <w:rPr/>
            </w:pPr>
            <w:r>
              <w:rPr/>
              <w:t> </w:t>
            </w:r>
            <w:r>
              <w:rPr>
                <w:rFonts w:ascii="arial" w:hAnsi="arial"/>
                <w:sz w:val="20"/>
              </w:rPr>
              <w:t>Cash provided by operating activities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755" w:type="dxa"/>
            <w:tcBorders/>
            <w:shd w:fill="E5E5E5" w:val="clear"/>
            <w:vAlign w:val="center"/>
          </w:tcPr>
          <w:p>
            <w:pPr>
              <w:pStyle w:val="TableContents"/>
              <w:bidi w:val="0"/>
              <w:spacing w:before="0" w:after="283"/>
              <w:jc w:val="right"/>
              <w:rPr/>
            </w:pPr>
            <w:r>
              <w:rPr/>
              <w:t>70,594</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755" w:type="dxa"/>
            <w:tcBorders/>
            <w:shd w:fill="E5E5E5" w:val="clear"/>
            <w:vAlign w:val="center"/>
          </w:tcPr>
          <w:p>
            <w:pPr>
              <w:pStyle w:val="TableContents"/>
              <w:bidi w:val="0"/>
              <w:spacing w:before="0" w:after="283"/>
              <w:jc w:val="right"/>
              <w:rPr/>
            </w:pPr>
            <w:r>
              <w:rPr/>
              <w:t>56,239</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7970" w:type="dxa"/>
            <w:tcBorders/>
            <w:vAlign w:val="center"/>
          </w:tcPr>
          <w:p>
            <w:pPr>
              <w:pStyle w:val="TableContents"/>
              <w:bidi w:val="0"/>
              <w:spacing w:before="0" w:after="0"/>
              <w:jc w:val="left"/>
              <w:rPr>
                <w:rFonts w:ascii="arial" w:hAnsi="arial"/>
                <w:sz w:val="20"/>
              </w:rPr>
            </w:pPr>
            <w:r>
              <w:rPr>
                <w:rFonts w:ascii="arial" w:hAnsi="arial"/>
                <w:sz w:val="20"/>
              </w:rPr>
              <w:t>Additions to property and equipment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(84,148</w:t>
            </w:r>
          </w:p>
        </w:tc>
        <w:tc>
          <w:tcPr>
            <w:tcW w:w="95" w:type="dxa"/>
            <w:tcBorders/>
            <w:vAlign w:val="center"/>
          </w:tcPr>
          <w:p>
            <w:pPr>
              <w:pStyle w:val="TableContents"/>
              <w:bidi w:val="0"/>
              <w:spacing w:before="0" w:after="283"/>
              <w:jc w:val="left"/>
              <w:rPr/>
            </w:pPr>
            <w:r>
              <w:rPr/>
              <w:t>)</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(87,423</w:t>
            </w:r>
          </w:p>
        </w:tc>
        <w:tc>
          <w:tcPr>
            <w:tcW w:w="110" w:type="dxa"/>
            <w:tcBorders/>
            <w:vAlign w:val="center"/>
          </w:tcPr>
          <w:p>
            <w:pPr>
              <w:pStyle w:val="TableContents"/>
              <w:bidi w:val="0"/>
              <w:spacing w:before="0" w:after="283"/>
              <w:jc w:val="left"/>
              <w:rPr/>
            </w:pPr>
            <w:r>
              <w:rPr/>
              <w:t>)</w:t>
            </w:r>
          </w:p>
        </w:tc>
      </w:tr>
      <w:tr>
        <w:trPr/>
        <w:tc>
          <w:tcPr>
            <w:tcW w:w="7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r>
      <w:tr>
        <w:trPr/>
        <w:tc>
          <w:tcPr>
            <w:tcW w:w="7970" w:type="dxa"/>
            <w:tcBorders/>
            <w:shd w:fill="E5E5E5" w:val="clear"/>
            <w:vAlign w:val="center"/>
          </w:tcPr>
          <w:p>
            <w:pPr>
              <w:pStyle w:val="TableContents"/>
              <w:bidi w:val="0"/>
              <w:spacing w:before="0" w:after="0"/>
              <w:jc w:val="left"/>
              <w:rPr/>
            </w:pPr>
            <w:r>
              <w:rPr/>
              <w:t> </w:t>
            </w:r>
            <w:r>
              <w:rPr>
                <w:rFonts w:ascii="arial" w:hAnsi="arial"/>
                <w:sz w:val="20"/>
              </w:rPr>
              <w:t>Free Cash Flow</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755" w:type="dxa"/>
            <w:tcBorders/>
            <w:shd w:fill="E5E5E5" w:val="clear"/>
            <w:vAlign w:val="center"/>
          </w:tcPr>
          <w:p>
            <w:pPr>
              <w:pStyle w:val="TableContents"/>
              <w:bidi w:val="0"/>
              <w:spacing w:before="0" w:after="283"/>
              <w:jc w:val="right"/>
              <w:rPr/>
            </w:pPr>
            <w:r>
              <w:rPr/>
              <w:t>(13,554</w:t>
            </w:r>
          </w:p>
        </w:tc>
        <w:tc>
          <w:tcPr>
            <w:tcW w:w="95" w:type="dxa"/>
            <w:tcBorders/>
            <w:shd w:fill="E5E5E5" w:val="clear"/>
            <w:vAlign w:val="center"/>
          </w:tcPr>
          <w:p>
            <w:pPr>
              <w:pStyle w:val="TableContents"/>
              <w:bidi w:val="0"/>
              <w:spacing w:before="0" w:after="283"/>
              <w:jc w:val="left"/>
              <w:rPr/>
            </w:pPr>
            <w:r>
              <w:rPr/>
              <w:t>)</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755" w:type="dxa"/>
            <w:tcBorders/>
            <w:shd w:fill="E5E5E5" w:val="clear"/>
            <w:vAlign w:val="center"/>
          </w:tcPr>
          <w:p>
            <w:pPr>
              <w:pStyle w:val="TableContents"/>
              <w:bidi w:val="0"/>
              <w:spacing w:before="0" w:after="283"/>
              <w:jc w:val="right"/>
              <w:rPr/>
            </w:pPr>
            <w:r>
              <w:rPr/>
              <w:t>(31,184</w:t>
            </w:r>
          </w:p>
        </w:tc>
        <w:tc>
          <w:tcPr>
            <w:tcW w:w="110" w:type="dxa"/>
            <w:tcBorders/>
            <w:shd w:fill="E5E5E5" w:val="clear"/>
            <w:vAlign w:val="center"/>
          </w:tcPr>
          <w:p>
            <w:pPr>
              <w:pStyle w:val="TableContents"/>
              <w:bidi w:val="0"/>
              <w:spacing w:before="0" w:after="283"/>
              <w:jc w:val="left"/>
              <w:rPr/>
            </w:pPr>
            <w:r>
              <w:rPr/>
              <w:t>)</w:t>
            </w:r>
          </w:p>
        </w:tc>
      </w:tr>
      <w:tr>
        <w:trPr/>
        <w:tc>
          <w:tcPr>
            <w:tcW w:w="7970" w:type="dxa"/>
            <w:tcBorders/>
            <w:vAlign w:val="center"/>
          </w:tcPr>
          <w:p>
            <w:pPr>
              <w:pStyle w:val="TableContents"/>
              <w:bidi w:val="0"/>
              <w:spacing w:before="0" w:after="0"/>
              <w:jc w:val="left"/>
              <w:rPr/>
            </w:pPr>
            <w:r>
              <w:rPr/>
              <w:t> </w:t>
            </w:r>
            <w:r>
              <w:rPr>
                <w:rFonts w:ascii="arial" w:hAnsi="arial"/>
                <w:sz w:val="20"/>
              </w:rPr>
              <w:t>Add: Cash paid for debt modification costs</w:t>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19,160</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7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7970" w:type="dxa"/>
            <w:tcBorders/>
            <w:shd w:fill="E5E5E5" w:val="clear"/>
            <w:vAlign w:val="center"/>
          </w:tcPr>
          <w:p>
            <w:pPr>
              <w:pStyle w:val="TableContents"/>
              <w:bidi w:val="0"/>
              <w:spacing w:before="0" w:after="0"/>
              <w:jc w:val="left"/>
              <w:rPr>
                <w:rFonts w:ascii="arial" w:hAnsi="arial"/>
                <w:sz w:val="20"/>
              </w:rPr>
            </w:pPr>
            <w:r>
              <w:rPr>
                <w:rFonts w:ascii="arial" w:hAnsi="arial"/>
                <w:sz w:val="20"/>
              </w:rPr>
              <w:t>Free cash flow for 2024 EIP and first tranche of 2024 PSUs and second tranche of 2023 PSUs</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pPr>
            <w:r>
              <w:rPr/>
              <w:t>$</w:t>
            </w:r>
          </w:p>
        </w:tc>
        <w:tc>
          <w:tcPr>
            <w:tcW w:w="755" w:type="dxa"/>
            <w:tcBorders/>
            <w:shd w:fill="E5E5E5" w:val="clear"/>
            <w:vAlign w:val="center"/>
          </w:tcPr>
          <w:p>
            <w:pPr>
              <w:pStyle w:val="TableContents"/>
              <w:bidi w:val="0"/>
              <w:spacing w:before="0" w:after="283"/>
              <w:jc w:val="right"/>
              <w:rPr/>
            </w:pPr>
            <w:r>
              <w:rPr/>
              <w:t>5,606</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0" w:type="dxa"/>
            <w:tcBorders/>
            <w:shd w:fill="E5E5E5" w:val="clear"/>
            <w:vAlign w:val="center"/>
          </w:tcPr>
          <w:p>
            <w:pPr>
              <w:pStyle w:val="TableContents"/>
              <w:bidi w:val="0"/>
              <w:spacing w:before="0" w:after="283"/>
              <w:jc w:val="left"/>
              <w:rPr>
                <w:sz w:val="4"/>
                <w:szCs w:val="4"/>
              </w:rPr>
            </w:pPr>
            <w:r>
              <w:rPr>
                <w:sz w:val="4"/>
                <w:szCs w:val="4"/>
              </w:rPr>
            </w:r>
          </w:p>
        </w:tc>
        <w:tc>
          <w:tcPr>
            <w:tcW w:w="755" w:type="dxa"/>
            <w:tcBorders/>
            <w:shd w:fill="E5E5E5" w:val="clear"/>
            <w:vAlign w:val="center"/>
          </w:tcPr>
          <w:p>
            <w:pPr>
              <w:pStyle w:val="TableContents"/>
              <w:bidi w:val="0"/>
              <w:spacing w:before="0" w:after="283"/>
              <w:jc w:val="left"/>
              <w:rPr>
                <w:sz w:val="4"/>
                <w:szCs w:val="4"/>
              </w:rPr>
            </w:pPr>
            <w:r>
              <w:rPr>
                <w:sz w:val="4"/>
                <w:szCs w:val="4"/>
              </w:rPr>
            </w:r>
          </w:p>
        </w:tc>
        <w:tc>
          <w:tcPr>
            <w:tcW w:w="110"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CF0A2C"/>
          <w:sz w:val="28"/>
        </w:rPr>
      </w:pPr>
      <w:r>
        <w:rPr>
          <w:rFonts w:ascii="arial" w:hAnsi="arial"/>
          <w:b/>
          <w:color w:val="CF0A2C"/>
          <w:sz w:val="28"/>
        </w:rPr>
        <w:t xml:space="preserve">Non-GAAP Footnotes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arial" w:hAnsi="arial"/>
                <w:sz w:val="22"/>
              </w:rPr>
            </w:pPr>
            <w:r>
              <w:rPr>
                <w:rFonts w:ascii="arial" w:hAnsi="arial"/>
                <w:sz w:val="22"/>
              </w:rPr>
              <w:t xml:space="preserve">Net (loss) income attributable to noncontrolling interests represents an adjustment to include earnings allocated to noncontrolling interests held in (i) Sabre Travel Network Middle East of 40%, (ii) Sabre Seyahat Dagitim Sistemleri A.S. of 40%, (iii) Sabre Travel Network Lanka (Pte) Ltd of 40%, (iv) Sabre Bulgaria of 40%, and (v) FERMR Holdings Limited (the direct parent of Conferma Limited) of 19%.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305"/>
        <w:gridCol w:w="4070"/>
      </w:tblGrid>
      <w:tr>
        <w:trPr/>
        <w:tc>
          <w:tcPr>
            <w:tcW w:w="305" w:type="dxa"/>
            <w:tcBorders/>
            <w:vAlign w:val="center"/>
          </w:tcPr>
          <w:p>
            <w:pPr>
              <w:pStyle w:val="TableContents"/>
              <w:bidi w:val="0"/>
              <w:spacing w:before="0" w:after="283"/>
              <w:jc w:val="left"/>
              <w:rPr/>
            </w:pPr>
            <w:r>
              <w:rPr/>
              <w:t>(2)</w:t>
            </w:r>
          </w:p>
        </w:tc>
        <w:tc>
          <w:tcPr>
            <w:tcW w:w="4070" w:type="dxa"/>
            <w:tcBorders/>
            <w:vAlign w:val="center"/>
          </w:tcPr>
          <w:p>
            <w:pPr>
              <w:pStyle w:val="TableContents"/>
              <w:bidi w:val="0"/>
              <w:spacing w:before="0" w:after="0"/>
              <w:jc w:val="left"/>
              <w:rPr>
                <w:rFonts w:ascii="arial" w:hAnsi="arial"/>
                <w:sz w:val="22"/>
              </w:rPr>
            </w:pPr>
            <w:r>
              <w:rPr>
                <w:rFonts w:ascii="arial" w:hAnsi="arial"/>
                <w:sz w:val="22"/>
              </w:rPr>
              <w:t xml:space="preserve">Depreciation and amortization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arial" w:hAnsi="arial"/>
                <w:sz w:val="22"/>
              </w:rPr>
            </w:pPr>
            <w:r>
              <w:rPr>
                <w:rFonts w:ascii="arial" w:hAnsi="arial"/>
                <w:sz w:val="22"/>
              </w:rPr>
              <w:t xml:space="preserve">Acquisition-related amortization represents amortization of intangible assets from the take-private transaction in 2007 as well as intangibles associated with acquisitions since that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arial" w:hAnsi="arial"/>
                <w:sz w:val="22"/>
              </w:rPr>
            </w:pPr>
            <w:r>
              <w:rPr>
                <w:rFonts w:ascii="arial" w:hAnsi="arial"/>
                <w:sz w:val="22"/>
              </w:rPr>
              <w:t xml:space="preserve">Depreciation and amortization of property and equipment includes software developed for internal use as well as amortization of contract acquisition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arial" w:hAnsi="arial"/>
                <w:sz w:val="22"/>
              </w:rPr>
            </w:pPr>
            <w:r>
              <w:rPr>
                <w:rFonts w:ascii="arial" w:hAnsi="arial"/>
                <w:sz w:val="22"/>
              </w:rPr>
              <w:t xml:space="preserve">Amortization of capitalized implementation costs represents amortization of upfront costs to implement new customer contracts under our SaaS and hosted revenue model.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0"/>
              <w:jc w:val="left"/>
              <w:rPr>
                <w:rFonts w:ascii="arial" w:hAnsi="arial"/>
                <w:sz w:val="22"/>
              </w:rPr>
            </w:pPr>
            <w:r>
              <w:rPr>
                <w:rFonts w:ascii="arial" w:hAnsi="arial"/>
                <w:sz w:val="22"/>
              </w:rPr>
              <w:t xml:space="preserve">Restructuring and other costs in 2024 and 2023 primarily represents charges and adjustments to charges associated with our cost reduction plan implemented in the second quarter of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0"/>
              <w:jc w:val="left"/>
              <w:rPr>
                <w:rFonts w:ascii="arial" w:hAnsi="arial"/>
                <w:sz w:val="22"/>
              </w:rPr>
            </w:pPr>
            <w:r>
              <w:rPr>
                <w:rFonts w:ascii="arial" w:hAnsi="arial"/>
                <w:sz w:val="22"/>
              </w:rPr>
              <w:t xml:space="preserve">Other, net includes a $180 million gain on the sale of AirCentre during 2022, $21 million of debt modification costs in 2024, non-operating gains recognized in 2023, and the impacts of realized and unrealized gains and losses from our investments in securities in all periods presented. In addition, 2022 includes pension settlement charges and all periods presented include foreign exchange gains and losses related to the remeasurement of foreign currency denominated balances included in our consolidated balance sheets into the relevant functional currency.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(5)</w:t>
            </w:r>
          </w:p>
        </w:tc>
        <w:tc>
          <w:tcPr>
            <w:tcW w:w="9917" w:type="dxa"/>
            <w:tcBorders/>
            <w:vAlign w:val="center"/>
          </w:tcPr>
          <w:p>
            <w:pPr>
              <w:pStyle w:val="TableContents"/>
              <w:bidi w:val="0"/>
              <w:spacing w:before="0" w:after="0"/>
              <w:jc w:val="left"/>
              <w:rPr>
                <w:rFonts w:ascii="arial" w:hAnsi="arial"/>
                <w:sz w:val="22"/>
              </w:rPr>
            </w:pPr>
            <w:r>
              <w:rPr>
                <w:rFonts w:ascii="arial" w:hAnsi="arial"/>
                <w:sz w:val="22"/>
              </w:rPr>
              <w:t xml:space="preserve">Acquisition-related costs represent fees and expenses incurred associated with acquisition and disposition-related activities. </w:t>
            </w:r>
          </w:p>
        </w:tc>
      </w:tr>
    </w:tbl>
    <w:p>
      <w:pPr>
        <w:pStyle w:val="TextBody"/>
        <w:bidi w:val="0"/>
        <w:spacing w:before="0" w:after="0"/>
        <w:jc w:val="left"/>
        <w:rPr/>
      </w:pPr>
      <w:r>
        <w:rPr/>
        <w:t> </w:t>
      </w:r>
    </w:p>
    <w:tbl>
      <w:tblPr>
        <w:tblW w:w="6666" w:type="dxa"/>
        <w:jc w:val="left"/>
        <w:tblInd w:w="0" w:type="dxa"/>
        <w:tblLayout w:type="fixed"/>
        <w:tblCellMar>
          <w:top w:w="0" w:type="dxa"/>
          <w:left w:w="0" w:type="dxa"/>
          <w:bottom w:w="0" w:type="dxa"/>
          <w:right w:w="0" w:type="dxa"/>
        </w:tblCellMar>
      </w:tblPr>
      <w:tblGrid>
        <w:gridCol w:w="75"/>
        <w:gridCol w:w="60"/>
        <w:gridCol w:w="380"/>
        <w:gridCol w:w="60"/>
        <w:gridCol w:w="60"/>
        <w:gridCol w:w="60"/>
        <w:gridCol w:w="60"/>
        <w:gridCol w:w="80"/>
        <w:gridCol w:w="60"/>
        <w:gridCol w:w="60"/>
        <w:gridCol w:w="5272"/>
        <w:gridCol w:w="120"/>
        <w:gridCol w:w="23"/>
        <w:gridCol w:w="23"/>
        <w:gridCol w:w="23"/>
        <w:gridCol w:w="23"/>
        <w:gridCol w:w="120"/>
        <w:gridCol w:w="23"/>
        <w:gridCol w:w="23"/>
        <w:gridCol w:w="23"/>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left"/>
              <w:rPr>
                <w:b/>
                <w:color w:val="666666"/>
              </w:rPr>
            </w:pPr>
            <w:r>
              <w:rPr>
                <w:b/>
                <w:color w:val="666666"/>
              </w:rPr>
              <w:t>B-4</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60" w:type="dxa"/>
            <w:tcBorders/>
            <w:vAlign w:val="center"/>
          </w:tcPr>
          <w:p>
            <w:pPr>
              <w:pStyle w:val="TableContents"/>
              <w:bidi w:val="0"/>
              <w:spacing w:before="0" w:after="283"/>
              <w:jc w:val="left"/>
              <w:rPr/>
            </w:pPr>
            <w:r>
              <w:rPr/>
              <w:t> </w:t>
            </w:r>
          </w:p>
        </w:tc>
        <w:tc>
          <w:tcPr>
            <w:tcW w:w="5272" w:type="dxa"/>
            <w:tcBorders/>
            <w:vAlign w:val="center"/>
          </w:tcPr>
          <w:p>
            <w:pPr>
              <w:pStyle w:val="TableContents"/>
              <w:bidi w:val="0"/>
              <w:spacing w:before="0" w:after="283"/>
              <w:jc w:val="left"/>
              <w:rPr>
                <w:color w:val="CF0A2C"/>
              </w:rPr>
            </w:pPr>
            <w:r>
              <w:rPr>
                <w:color w:val="CF0A2C"/>
              </w:rPr>
              <w:drawing>
                <wp:inline distT="0" distB="0" distL="0" distR="0">
                  <wp:extent cx="506095" cy="12255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506095"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gridSpan w:val="4"/>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666666" w:val="clear"/>
            <w:vAlign w:val="center"/>
          </w:tcPr>
          <w:p>
            <w:pPr>
              <w:pStyle w:val="TableContents"/>
              <w:bidi w:val="0"/>
              <w:spacing w:before="0" w:after="283"/>
              <w:jc w:val="left"/>
              <w:rPr/>
            </w:pPr>
            <w:r>
              <w:rPr/>
              <w:t> </w:t>
            </w:r>
          </w:p>
        </w:tc>
        <w:tc>
          <w:tcPr>
            <w:tcW w:w="1370" w:type="dxa"/>
            <w:tcBorders/>
            <w:shd w:fill="666666"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APPENDIX B 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(6)</w:t>
            </w:r>
          </w:p>
        </w:tc>
        <w:tc>
          <w:tcPr>
            <w:tcW w:w="9937" w:type="dxa"/>
            <w:tcBorders/>
            <w:vAlign w:val="center"/>
          </w:tcPr>
          <w:p>
            <w:pPr>
              <w:pStyle w:val="TableContents"/>
              <w:bidi w:val="0"/>
              <w:spacing w:before="0" w:after="0"/>
              <w:jc w:val="left"/>
              <w:rPr>
                <w:rFonts w:ascii="arial" w:hAnsi="arial"/>
                <w:sz w:val="22"/>
              </w:rPr>
            </w:pPr>
            <w:r>
              <w:rPr>
                <w:rFonts w:ascii="arial" w:hAnsi="arial"/>
                <w:sz w:val="22"/>
              </w:rPr>
              <w:t xml:space="preserve">Litigation costs, net represent charges associated with antitrust litigation. Non-income tax litigation matters have been reclassified to the Indirect tax matters line for all periods presented.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(7)</w:t>
            </w:r>
          </w:p>
        </w:tc>
        <w:tc>
          <w:tcPr>
            <w:tcW w:w="9938" w:type="dxa"/>
            <w:tcBorders/>
            <w:vAlign w:val="center"/>
          </w:tcPr>
          <w:p>
            <w:pPr>
              <w:pStyle w:val="TableContents"/>
              <w:bidi w:val="0"/>
              <w:spacing w:before="0" w:after="0"/>
              <w:jc w:val="left"/>
              <w:rPr>
                <w:rFonts w:ascii="arial" w:hAnsi="arial"/>
                <w:sz w:val="22"/>
              </w:rPr>
            </w:pPr>
            <w:r>
              <w:rPr>
                <w:rFonts w:ascii="arial" w:hAnsi="arial"/>
                <w:sz w:val="22"/>
              </w:rPr>
              <w:t xml:space="preserve">Indirect tax matters represents charges associated with certain DST related to historical periods, which may ultimately be settled in cash, and certain foreign non-income tax litigation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(8)</w:t>
            </w:r>
          </w:p>
        </w:tc>
        <w:tc>
          <w:tcPr>
            <w:tcW w:w="9955" w:type="dxa"/>
            <w:tcBorders/>
            <w:vAlign w:val="center"/>
          </w:tcPr>
          <w:p>
            <w:pPr>
              <w:pStyle w:val="TableContents"/>
              <w:bidi w:val="0"/>
              <w:spacing w:before="0" w:after="0"/>
              <w:jc w:val="left"/>
              <w:rPr>
                <w:rFonts w:ascii="arial" w:hAnsi="arial"/>
                <w:sz w:val="22"/>
              </w:rPr>
            </w:pPr>
            <w:r>
              <w:rPr>
                <w:rFonts w:ascii="arial" w:hAnsi="arial"/>
                <w:sz w:val="22"/>
              </w:rPr>
              <w:t xml:space="preserve">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 </w:t>
            </w:r>
          </w:p>
        </w:tc>
      </w:tr>
    </w:tbl>
    <w:p>
      <w:pPr>
        <w:pStyle w:val="TextBody"/>
        <w:bidi w:val="0"/>
        <w:spacing w:before="0" w:after="0"/>
        <w:jc w:val="left"/>
        <w:rPr/>
      </w:pPr>
      <w:r>
        <w:rPr/>
        <w:t> </w:t>
      </w:r>
    </w:p>
    <w:tbl>
      <w:tblPr>
        <w:tblW w:w="6665" w:type="dxa"/>
        <w:jc w:val="left"/>
        <w:tblInd w:w="0" w:type="dxa"/>
        <w:tblLayout w:type="fixed"/>
        <w:tblCellMar>
          <w:top w:w="0" w:type="dxa"/>
          <w:left w:w="0" w:type="dxa"/>
          <w:bottom w:w="0" w:type="dxa"/>
          <w:right w:w="0" w:type="dxa"/>
        </w:tblCellMar>
      </w:tblPr>
      <w:tblGrid>
        <w:gridCol w:w="38"/>
        <w:gridCol w:w="23"/>
        <w:gridCol w:w="23"/>
        <w:gridCol w:w="23"/>
        <w:gridCol w:w="60"/>
        <w:gridCol w:w="23"/>
        <w:gridCol w:w="23"/>
        <w:gridCol w:w="23"/>
        <w:gridCol w:w="23"/>
        <w:gridCol w:w="60"/>
        <w:gridCol w:w="5271"/>
        <w:gridCol w:w="120"/>
        <w:gridCol w:w="60"/>
        <w:gridCol w:w="60"/>
        <w:gridCol w:w="80"/>
        <w:gridCol w:w="60"/>
        <w:gridCol w:w="120"/>
        <w:gridCol w:w="60"/>
        <w:gridCol w:w="60"/>
        <w:gridCol w:w="3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1" w:type="dxa"/>
            <w:tcBorders/>
            <w:vAlign w:val="center"/>
          </w:tcPr>
          <w:p>
            <w:pPr>
              <w:pStyle w:val="TableContents"/>
              <w:bidi w:val="0"/>
              <w:spacing w:before="0" w:after="283"/>
              <w:jc w:val="right"/>
              <w:rPr>
                <w:color w:val="CF0A2C"/>
              </w:rPr>
            </w:pPr>
            <w:r>
              <w:rPr>
                <w:color w:val="CF0A2C"/>
              </w:rPr>
              <w:drawing>
                <wp:inline distT="0" distB="0" distL="0" distR="0">
                  <wp:extent cx="505460" cy="12255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505460" cy="122555"/>
                          </a:xfrm>
                          <a:prstGeom prst="rect">
                            <a:avLst/>
                          </a:prstGeom>
                        </pic:spPr>
                      </pic:pic>
                    </a:graphicData>
                  </a:graphic>
                </wp:inline>
              </w:drawing>
            </w:r>
            <w:r>
              <w:rPr>
                <w:color w:val="CF0A2C"/>
              </w:rPr>
              <w:t xml:space="preserve">  </w:t>
            </w:r>
            <w:r>
              <w:rPr>
                <w:b/>
                <w:color w:val="CF0A2C"/>
              </w:rPr>
              <w:t>Sabre Corporation </w:t>
            </w:r>
            <w:r>
              <w:rPr>
                <w:color w:val="CF0A2C"/>
              </w:rPr>
              <w:t>2025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80" w:type="dxa"/>
            <w:tcBorders/>
            <w:vAlign w:val="center"/>
          </w:tcPr>
          <w:p>
            <w:pPr>
              <w:pStyle w:val="TableContents"/>
              <w:bidi w:val="0"/>
              <w:spacing w:before="0" w:after="283"/>
              <w:jc w:val="right"/>
              <w:rPr>
                <w:color w:val="666666"/>
                <w:sz w:val="28"/>
              </w:rPr>
            </w:pPr>
            <w:r>
              <w:rPr>
                <w:color w:val="666666"/>
                <w:sz w:val="28"/>
              </w:rPr>
              <w:t>|</w:t>
            </w:r>
          </w:p>
        </w:tc>
        <w:tc>
          <w:tcPr>
            <w:tcW w:w="60" w:type="dxa"/>
            <w:tcBorders/>
            <w:vAlign w:val="center"/>
          </w:tcPr>
          <w:p>
            <w:pPr>
              <w:pStyle w:val="TableContents"/>
              <w:bidi w:val="0"/>
              <w:spacing w:before="0" w:after="283"/>
              <w:jc w:val="left"/>
              <w:rPr>
                <w:color w:val="666666"/>
              </w:rPr>
            </w:pPr>
            <w:r>
              <w:rPr>
                <w:color w:val="6666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666666"/>
              </w:rPr>
            </w:pPr>
            <w:r>
              <w:rPr>
                <w:color w:val="666666"/>
              </w:rPr>
              <w:t> </w:t>
            </w:r>
          </w:p>
        </w:tc>
        <w:tc>
          <w:tcPr>
            <w:tcW w:w="380" w:type="dxa"/>
            <w:tcBorders/>
            <w:vAlign w:val="center"/>
          </w:tcPr>
          <w:p>
            <w:pPr>
              <w:pStyle w:val="TableContents"/>
              <w:bidi w:val="0"/>
              <w:spacing w:before="0" w:after="283"/>
              <w:jc w:val="right"/>
              <w:rPr>
                <w:b/>
                <w:color w:val="666666"/>
              </w:rPr>
            </w:pPr>
            <w:r>
              <w:rPr>
                <w:b/>
                <w:color w:val="666666"/>
              </w:rPr>
              <w:t>B-5</w:t>
            </w:r>
          </w:p>
        </w:tc>
        <w:tc>
          <w:tcPr>
            <w:tcW w:w="75" w:type="dxa"/>
            <w:tcBorders/>
            <w:vAlign w:val="center"/>
          </w:tcPr>
          <w:p>
            <w:pPr>
              <w:pStyle w:val="TableContents"/>
              <w:bidi w:val="0"/>
              <w:spacing w:before="0" w:after="283"/>
              <w:jc w:val="left"/>
              <w:rPr>
                <w:color w:val="666666"/>
              </w:rPr>
            </w:pPr>
            <w:r>
              <w:rPr>
                <w:color w:val="666666"/>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573520" cy="853440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styleIPC Your vote P.O. BOX 8016, CARY, NC 27512-9903 matters! Have your ballot ready and please use one of the methods below for easy voting: Your control number Have the 12 digit control number located in the box above available when you access the website and follow the instructions. Sabre Corporation Internet: www.proxypush.com/SABR Cast your vote online Annual Meeting of Stockholders Have your Proxy Card ready Follow the simple instructions to record your vote For Stockholders of record as of February 24, 2025 Phone: Wednesday, April 23, 2025 9:30 AM, Central Daylight Time 1-866-206-5104 3150 Sabre Drive, Southlake, Texas 76092 Use any touch-tone telephone Have your Proxy Card ready Follow the simple recorded instructions Mail: Mark, sign and date your Proxy Card Fold and return your Proxy Card in the postage-paid YOUR VOTE IS IMPORTANT! envelope provided PLEASE VOTE BY: 9:30 AM, Central Daylight Time, April 23, 2025. This proxy is being solicited on behalf of the Board of Directors The undersigned hereby appoints Kurt Ekert, Michael Randolfi and Steve Milton (the “Named Proxies”), and each or any of them, as the true and lawful attorneys of the undersigned, with full power of substitution and revocation, and authorizes them, and each of them, to vote all the shares of capital stock of Sabre Corporation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FOR THE ELECTION OF THE DIRECTORS IN ITEM 1 AND FOR THE PROPOSALS IN ITEMS 2, 3 and 4.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2025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573520" cy="853440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 xml:space="preserve">Proposal_Page—VIFL Sabre Corporation Annual Meeting of Stockholders Please make your marks like this: THE BOARD OF DIRECTORS RECOMMENDS A VOTE: FOR PROPOSALS 1, 2, 3 AND 4 BOARD OF DIRECTORS PROPOSAL YOUR VOTE RECOMMENDS 1. Election of Directors (term to expire at 2026 Annual Meeting of Stockholders) FOR AGAINST ABSTAIN 1.01 George Bravante, Jr. FOR #P2# #P2# #P2# 1.02 Hervé Couturier FOR #P3# #P3# #P3# 1.03 Kurt Ekert FOR #P4# #P4# #P4# 1.04 Eric Kelly FOR #P5# #P5# #P5# 1.05 Gail Mandel FOR #P6# #P6# #P6# 1.06 Phyllis Newhouse FOR #P7# #P7# #P7# 1.07 Elaine Paul FOR #P8# #P8# #P8# 1.08 John Scott FOR #P9# #P9# #P9# 1.09 Wendi Sturgis FOR #P10# #P10# #P10# 1.10 Ashan Willy FOR #P11# #P11# #P11# FOR AGAINST ABSTAIN 2. To ratify the appointment of Ernst &amp; Young LLP as our independent auditors for the fiscal year FOR #P12# #P12# #P12# ending December 31, 2025. 3. To approve our 2025 Omnibus Incentive Compensation Plan. FOR #P13# #P13# #P13# 4. To hold an advisory vote on the compensation of our named executive officers. FOR #P14# #P14# #P14# NOTE: properly In come their before discretion, the Annual the proxies Meeting are authorized or any adjournments to vote on any or postponements other business that may Authorized Signatures—Must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1.jpeg"/><Relationship Id="rId11" Type="http://schemas.openxmlformats.org/officeDocument/2006/relationships/image" Target="media/image5.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1.jpeg"/><Relationship Id="rId17" Type="http://schemas.openxmlformats.org/officeDocument/2006/relationships/image" Target="media/image5.jpeg"/><Relationship Id="rId18" Type="http://schemas.openxmlformats.org/officeDocument/2006/relationships/image" Target="media/image5.jpeg"/><Relationship Id="rId19" Type="http://schemas.openxmlformats.org/officeDocument/2006/relationships/image" Target="media/image5.jpeg"/><Relationship Id="rId20" Type="http://schemas.openxmlformats.org/officeDocument/2006/relationships/image" Target="media/image5.jpeg"/><Relationship Id="rId21" Type="http://schemas.openxmlformats.org/officeDocument/2006/relationships/image" Target="media/image5.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5.jpeg"/><Relationship Id="rId28" Type="http://schemas.openxmlformats.org/officeDocument/2006/relationships/image" Target="media/image5.jpeg"/><Relationship Id="rId29" Type="http://schemas.openxmlformats.org/officeDocument/2006/relationships/image" Target="media/image5.jpeg"/><Relationship Id="rId30" Type="http://schemas.openxmlformats.org/officeDocument/2006/relationships/image" Target="media/image5.jpeg"/><Relationship Id="rId31" Type="http://schemas.openxmlformats.org/officeDocument/2006/relationships/image" Target="media/image5.jpeg"/><Relationship Id="rId32" Type="http://schemas.openxmlformats.org/officeDocument/2006/relationships/image" Target="media/image5.jpeg"/><Relationship Id="rId33" Type="http://schemas.openxmlformats.org/officeDocument/2006/relationships/image" Target="media/image5.jpeg"/><Relationship Id="rId34" Type="http://schemas.openxmlformats.org/officeDocument/2006/relationships/image" Target="media/image5.jpeg"/><Relationship Id="rId35" Type="http://schemas.openxmlformats.org/officeDocument/2006/relationships/image" Target="media/image5.jpeg"/><Relationship Id="rId36" Type="http://schemas.openxmlformats.org/officeDocument/2006/relationships/image" Target="media/image5.jpeg"/><Relationship Id="rId37" Type="http://schemas.openxmlformats.org/officeDocument/2006/relationships/image" Target="media/image5.jpeg"/><Relationship Id="rId38" Type="http://schemas.openxmlformats.org/officeDocument/2006/relationships/image" Target="media/image10.jpeg"/><Relationship Id="rId39" Type="http://schemas.openxmlformats.org/officeDocument/2006/relationships/image" Target="media/image5.jpeg"/><Relationship Id="rId40" Type="http://schemas.openxmlformats.org/officeDocument/2006/relationships/image" Target="media/image11.jpeg"/><Relationship Id="rId41" Type="http://schemas.openxmlformats.org/officeDocument/2006/relationships/image" Target="media/image5.jpeg"/><Relationship Id="rId42" Type="http://schemas.openxmlformats.org/officeDocument/2006/relationships/image" Target="media/image12.jpeg"/><Relationship Id="rId43" Type="http://schemas.openxmlformats.org/officeDocument/2006/relationships/image" Target="media/image5.jpeg"/><Relationship Id="rId44" Type="http://schemas.openxmlformats.org/officeDocument/2006/relationships/image" Target="media/image13.jpeg"/><Relationship Id="rId45" Type="http://schemas.openxmlformats.org/officeDocument/2006/relationships/image" Target="media/image5.jpeg"/><Relationship Id="rId46" Type="http://schemas.openxmlformats.org/officeDocument/2006/relationships/image" Target="media/image14.jpeg"/><Relationship Id="rId47" Type="http://schemas.openxmlformats.org/officeDocument/2006/relationships/image" Target="media/image5.jpeg"/><Relationship Id="rId48" Type="http://schemas.openxmlformats.org/officeDocument/2006/relationships/image" Target="media/image15.jpeg"/><Relationship Id="rId49" Type="http://schemas.openxmlformats.org/officeDocument/2006/relationships/image" Target="media/image5.jpeg"/><Relationship Id="rId50" Type="http://schemas.openxmlformats.org/officeDocument/2006/relationships/image" Target="media/image16.jpeg"/><Relationship Id="rId51" Type="http://schemas.openxmlformats.org/officeDocument/2006/relationships/image" Target="media/image5.jpeg"/><Relationship Id="rId52" Type="http://schemas.openxmlformats.org/officeDocument/2006/relationships/image" Target="media/image17.jpeg"/><Relationship Id="rId53" Type="http://schemas.openxmlformats.org/officeDocument/2006/relationships/image" Target="media/image5.jpeg"/><Relationship Id="rId54" Type="http://schemas.openxmlformats.org/officeDocument/2006/relationships/image" Target="media/image18.jpeg"/><Relationship Id="rId55" Type="http://schemas.openxmlformats.org/officeDocument/2006/relationships/image" Target="media/image5.jpeg"/><Relationship Id="rId56" Type="http://schemas.openxmlformats.org/officeDocument/2006/relationships/image" Target="media/image19.jpeg"/><Relationship Id="rId57" Type="http://schemas.openxmlformats.org/officeDocument/2006/relationships/image" Target="media/image5.jpeg"/><Relationship Id="rId58" Type="http://schemas.openxmlformats.org/officeDocument/2006/relationships/image" Target="media/image5.jpeg"/><Relationship Id="rId59" Type="http://schemas.openxmlformats.org/officeDocument/2006/relationships/image" Target="media/image5.jpeg"/><Relationship Id="rId60" Type="http://schemas.openxmlformats.org/officeDocument/2006/relationships/image" Target="media/image5.jpeg"/><Relationship Id="rId61" Type="http://schemas.openxmlformats.org/officeDocument/2006/relationships/image" Target="media/image5.jpeg"/><Relationship Id="rId62" Type="http://schemas.openxmlformats.org/officeDocument/2006/relationships/image" Target="media/image5.jpeg"/><Relationship Id="rId63" Type="http://schemas.openxmlformats.org/officeDocument/2006/relationships/image" Target="media/image5.jpeg"/><Relationship Id="rId64" Type="http://schemas.openxmlformats.org/officeDocument/2006/relationships/image" Target="media/image5.jpeg"/><Relationship Id="rId65" Type="http://schemas.openxmlformats.org/officeDocument/2006/relationships/image" Target="media/image5.jpeg"/><Relationship Id="rId66" Type="http://schemas.openxmlformats.org/officeDocument/2006/relationships/image" Target="media/image5.jpeg"/><Relationship Id="rId67" Type="http://schemas.openxmlformats.org/officeDocument/2006/relationships/image" Target="media/image5.jpeg"/><Relationship Id="rId68" Type="http://schemas.openxmlformats.org/officeDocument/2006/relationships/image" Target="media/image5.jpeg"/><Relationship Id="rId69" Type="http://schemas.openxmlformats.org/officeDocument/2006/relationships/image" Target="media/image5.jpeg"/><Relationship Id="rId70" Type="http://schemas.openxmlformats.org/officeDocument/2006/relationships/image" Target="media/image5.jpeg"/><Relationship Id="rId71" Type="http://schemas.openxmlformats.org/officeDocument/2006/relationships/image" Target="media/image5.jpeg"/><Relationship Id="rId72" Type="http://schemas.openxmlformats.org/officeDocument/2006/relationships/image" Target="media/image5.jpeg"/><Relationship Id="rId73" Type="http://schemas.openxmlformats.org/officeDocument/2006/relationships/image" Target="media/image5.jpeg"/><Relationship Id="rId74" Type="http://schemas.openxmlformats.org/officeDocument/2006/relationships/image" Target="media/image5.jpeg"/><Relationship Id="rId75" Type="http://schemas.openxmlformats.org/officeDocument/2006/relationships/image" Target="media/image5.jpeg"/><Relationship Id="rId76" Type="http://schemas.openxmlformats.org/officeDocument/2006/relationships/image" Target="media/image5.jpeg"/><Relationship Id="rId77" Type="http://schemas.openxmlformats.org/officeDocument/2006/relationships/image" Target="media/image20.jpeg"/><Relationship Id="rId78" Type="http://schemas.openxmlformats.org/officeDocument/2006/relationships/image" Target="media/image5.jpeg"/><Relationship Id="rId79" Type="http://schemas.openxmlformats.org/officeDocument/2006/relationships/image" Target="media/image5.jpeg"/><Relationship Id="rId80" Type="http://schemas.openxmlformats.org/officeDocument/2006/relationships/image" Target="media/image5.jpeg"/><Relationship Id="rId81" Type="http://schemas.openxmlformats.org/officeDocument/2006/relationships/image" Target="media/image5.jpeg"/><Relationship Id="rId82" Type="http://schemas.openxmlformats.org/officeDocument/2006/relationships/image" Target="media/image21.jpeg"/><Relationship Id="rId83" Type="http://schemas.openxmlformats.org/officeDocument/2006/relationships/image" Target="media/image22.jpeg"/><Relationship Id="rId84" Type="http://schemas.openxmlformats.org/officeDocument/2006/relationships/image" Target="media/image5.jpeg"/><Relationship Id="rId85" Type="http://schemas.openxmlformats.org/officeDocument/2006/relationships/image" Target="media/image5.jpeg"/><Relationship Id="rId86" Type="http://schemas.openxmlformats.org/officeDocument/2006/relationships/image" Target="media/image5.jpeg"/><Relationship Id="rId87" Type="http://schemas.openxmlformats.org/officeDocument/2006/relationships/image" Target="media/image5.jpeg"/><Relationship Id="rId88" Type="http://schemas.openxmlformats.org/officeDocument/2006/relationships/image" Target="media/image5.jpeg"/><Relationship Id="rId89" Type="http://schemas.openxmlformats.org/officeDocument/2006/relationships/image" Target="media/image5.jpeg"/><Relationship Id="rId90" Type="http://schemas.openxmlformats.org/officeDocument/2006/relationships/image" Target="media/image5.jpeg"/><Relationship Id="rId91" Type="http://schemas.openxmlformats.org/officeDocument/2006/relationships/image" Target="media/image5.jpeg"/><Relationship Id="rId92" Type="http://schemas.openxmlformats.org/officeDocument/2006/relationships/image" Target="media/image5.jpeg"/><Relationship Id="rId93" Type="http://schemas.openxmlformats.org/officeDocument/2006/relationships/image" Target="media/image23.jpeg"/><Relationship Id="rId94" Type="http://schemas.openxmlformats.org/officeDocument/2006/relationships/image" Target="media/image5.jpeg"/><Relationship Id="rId95" Type="http://schemas.openxmlformats.org/officeDocument/2006/relationships/image" Target="media/image5.jpeg"/><Relationship Id="rId96" Type="http://schemas.openxmlformats.org/officeDocument/2006/relationships/image" Target="media/image24.jpeg"/><Relationship Id="rId97" Type="http://schemas.openxmlformats.org/officeDocument/2006/relationships/image" Target="media/image5.jpeg"/><Relationship Id="rId98" Type="http://schemas.openxmlformats.org/officeDocument/2006/relationships/image" Target="media/image5.jpeg"/><Relationship Id="rId99" Type="http://schemas.openxmlformats.org/officeDocument/2006/relationships/image" Target="media/image5.jpeg"/><Relationship Id="rId100" Type="http://schemas.openxmlformats.org/officeDocument/2006/relationships/image" Target="media/image5.jpeg"/><Relationship Id="rId101" Type="http://schemas.openxmlformats.org/officeDocument/2006/relationships/image" Target="media/image5.jpeg"/><Relationship Id="rId102" Type="http://schemas.openxmlformats.org/officeDocument/2006/relationships/image" Target="media/image5.jpeg"/><Relationship Id="rId103" Type="http://schemas.openxmlformats.org/officeDocument/2006/relationships/image" Target="media/image5.jpeg"/><Relationship Id="rId104" Type="http://schemas.openxmlformats.org/officeDocument/2006/relationships/image" Target="media/image5.jpeg"/><Relationship Id="rId105" Type="http://schemas.openxmlformats.org/officeDocument/2006/relationships/image" Target="media/image5.jpeg"/><Relationship Id="rId106" Type="http://schemas.openxmlformats.org/officeDocument/2006/relationships/image" Target="media/image5.jpeg"/><Relationship Id="rId107" Type="http://schemas.openxmlformats.org/officeDocument/2006/relationships/image" Target="media/image5.jpeg"/><Relationship Id="rId108" Type="http://schemas.openxmlformats.org/officeDocument/2006/relationships/image" Target="media/image5.jpeg"/><Relationship Id="rId109" Type="http://schemas.openxmlformats.org/officeDocument/2006/relationships/image" Target="media/image5.jpeg"/><Relationship Id="rId110" Type="http://schemas.openxmlformats.org/officeDocument/2006/relationships/image" Target="media/image5.jpeg"/><Relationship Id="rId111" Type="http://schemas.openxmlformats.org/officeDocument/2006/relationships/image" Target="media/image5.jpeg"/><Relationship Id="rId112" Type="http://schemas.openxmlformats.org/officeDocument/2006/relationships/image" Target="media/image5.jpeg"/><Relationship Id="rId113" Type="http://schemas.openxmlformats.org/officeDocument/2006/relationships/image" Target="media/image5.jpeg"/><Relationship Id="rId114" Type="http://schemas.openxmlformats.org/officeDocument/2006/relationships/image" Target="media/image5.jpeg"/><Relationship Id="rId115" Type="http://schemas.openxmlformats.org/officeDocument/2006/relationships/image" Target="media/image5.jpeg"/><Relationship Id="rId116" Type="http://schemas.openxmlformats.org/officeDocument/2006/relationships/image" Target="media/image5.jpeg"/><Relationship Id="rId117" Type="http://schemas.openxmlformats.org/officeDocument/2006/relationships/image" Target="media/image5.jpeg"/><Relationship Id="rId118" Type="http://schemas.openxmlformats.org/officeDocument/2006/relationships/image" Target="media/image5.jpeg"/><Relationship Id="rId119" Type="http://schemas.openxmlformats.org/officeDocument/2006/relationships/image" Target="media/image5.jpeg"/><Relationship Id="rId120" Type="http://schemas.openxmlformats.org/officeDocument/2006/relationships/image" Target="media/image25.jpeg"/><Relationship Id="rId121" Type="http://schemas.openxmlformats.org/officeDocument/2006/relationships/image" Target="media/image5.jpeg"/><Relationship Id="rId122" Type="http://schemas.openxmlformats.org/officeDocument/2006/relationships/image" Target="media/image5.jpeg"/><Relationship Id="rId123" Type="http://schemas.openxmlformats.org/officeDocument/2006/relationships/image" Target="media/image5.jpeg"/><Relationship Id="rId124" Type="http://schemas.openxmlformats.org/officeDocument/2006/relationships/image" Target="media/image5.jpeg"/><Relationship Id="rId125" Type="http://schemas.openxmlformats.org/officeDocument/2006/relationships/image" Target="media/image5.jpeg"/><Relationship Id="rId126" Type="http://schemas.openxmlformats.org/officeDocument/2006/relationships/image" Target="media/image4.jpeg"/><Relationship Id="rId127" Type="http://schemas.openxmlformats.org/officeDocument/2006/relationships/image" Target="media/image5.jpeg"/><Relationship Id="rId128" Type="http://schemas.openxmlformats.org/officeDocument/2006/relationships/image" Target="media/image5.jpeg"/><Relationship Id="rId129" Type="http://schemas.openxmlformats.org/officeDocument/2006/relationships/image" Target="media/image5.jpeg"/><Relationship Id="rId130" Type="http://schemas.openxmlformats.org/officeDocument/2006/relationships/image" Target="media/image5.jpeg"/><Relationship Id="rId131" Type="http://schemas.openxmlformats.org/officeDocument/2006/relationships/image" Target="media/image5.jpeg"/><Relationship Id="rId132" Type="http://schemas.openxmlformats.org/officeDocument/2006/relationships/image" Target="media/image5.jpeg"/><Relationship Id="rId133" Type="http://schemas.openxmlformats.org/officeDocument/2006/relationships/image" Target="media/image5.jpeg"/><Relationship Id="rId134" Type="http://schemas.openxmlformats.org/officeDocument/2006/relationships/image" Target="media/image5.jpeg"/><Relationship Id="rId135" Type="http://schemas.openxmlformats.org/officeDocument/2006/relationships/image" Target="media/image5.jpeg"/><Relationship Id="rId136" Type="http://schemas.openxmlformats.org/officeDocument/2006/relationships/image" Target="media/image5.jpeg"/><Relationship Id="rId137" Type="http://schemas.openxmlformats.org/officeDocument/2006/relationships/image" Target="media/image5.jpeg"/><Relationship Id="rId138" Type="http://schemas.openxmlformats.org/officeDocument/2006/relationships/image" Target="media/image5.jpeg"/><Relationship Id="rId139" Type="http://schemas.openxmlformats.org/officeDocument/2006/relationships/image" Target="media/image5.jpeg"/><Relationship Id="rId140" Type="http://schemas.openxmlformats.org/officeDocument/2006/relationships/image" Target="media/image5.jpeg"/><Relationship Id="rId141" Type="http://schemas.openxmlformats.org/officeDocument/2006/relationships/image" Target="media/image5.jpeg"/><Relationship Id="rId142" Type="http://schemas.openxmlformats.org/officeDocument/2006/relationships/image" Target="media/image5.jpeg"/><Relationship Id="rId143" Type="http://schemas.openxmlformats.org/officeDocument/2006/relationships/image" Target="media/image5.jpeg"/><Relationship Id="rId144" Type="http://schemas.openxmlformats.org/officeDocument/2006/relationships/image" Target="media/image5.jpeg"/><Relationship Id="rId145" Type="http://schemas.openxmlformats.org/officeDocument/2006/relationships/image" Target="media/image5.jpeg"/><Relationship Id="rId146" Type="http://schemas.openxmlformats.org/officeDocument/2006/relationships/image" Target="media/image5.jpeg"/><Relationship Id="rId147" Type="http://schemas.openxmlformats.org/officeDocument/2006/relationships/image" Target="media/image5.jpeg"/><Relationship Id="rId148" Type="http://schemas.openxmlformats.org/officeDocument/2006/relationships/image" Target="media/image5.jpeg"/><Relationship Id="rId149" Type="http://schemas.openxmlformats.org/officeDocument/2006/relationships/image" Target="media/image5.jpeg"/><Relationship Id="rId150" Type="http://schemas.openxmlformats.org/officeDocument/2006/relationships/image" Target="media/image5.jpeg"/><Relationship Id="rId151" Type="http://schemas.openxmlformats.org/officeDocument/2006/relationships/image" Target="media/image5.jpeg"/><Relationship Id="rId152" Type="http://schemas.openxmlformats.org/officeDocument/2006/relationships/image" Target="media/image5.jpeg"/><Relationship Id="rId153" Type="http://schemas.openxmlformats.org/officeDocument/2006/relationships/image" Target="media/image5.jpeg"/><Relationship Id="rId154" Type="http://schemas.openxmlformats.org/officeDocument/2006/relationships/image" Target="media/image26.jpeg"/><Relationship Id="rId155" Type="http://schemas.openxmlformats.org/officeDocument/2006/relationships/image" Target="media/image27.jpeg"/><Relationship Id="rId156" Type="http://schemas.openxmlformats.org/officeDocument/2006/relationships/fontTable" Target="fontTable.xml"/><Relationship Id="rId1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126</Pages>
  <Words>56720</Words>
  <Characters>308797</Characters>
  <CharactersWithSpaces>372601</CharactersWithSpaces>
  <Paragraphs>12974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