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903605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Date of Report (Date of earliest event reported): May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519"/>
        <w:spacing w:after="0"/>
        <w:rPr>
          <w:sz w:val="20"/>
          <w:szCs w:val="20"/>
          <w:color w:val="auto"/>
        </w:rPr>
      </w:pPr>
      <w:r>
        <w:rPr>
          <w:rFonts w:ascii="Arial" w:cs="Arial" w:eastAsia="Arial" w:hAnsi="Arial"/>
          <w:sz w:val="43"/>
          <w:szCs w:val="43"/>
          <w:b w:val="1"/>
          <w:bCs w:val="1"/>
          <w:color w:val="auto"/>
        </w:rPr>
        <w:t>SABRE CORPORATION</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tbl>
      <w:tblPr>
        <w:tblLayout w:type="fixed"/>
        <w:tblInd w:w="920" w:type="dxa"/>
        <w:tblCellMar>
          <w:top w:w="0" w:type="dxa"/>
          <w:left w:w="0" w:type="dxa"/>
          <w:bottom w:w="0" w:type="dxa"/>
          <w:right w:w="0" w:type="dxa"/>
        </w:tblCellMar>
      </w:tblPr>
      <w:tr>
        <w:trPr>
          <w:trHeight w:val="234"/>
        </w:trPr>
        <w:tc>
          <w:tcPr>
            <w:tcW w:w="4080" w:type="dxa"/>
            <w:vAlign w:val="bottom"/>
          </w:tcPr>
          <w:p>
            <w:pPr>
              <w:jc w:val="center"/>
              <w:ind w:right="2123"/>
              <w:spacing w:after="0"/>
              <w:rPr>
                <w:sz w:val="20"/>
                <w:szCs w:val="20"/>
                <w:color w:val="auto"/>
              </w:rPr>
            </w:pPr>
            <w:r>
              <w:rPr>
                <w:rFonts w:ascii="Arial" w:cs="Arial" w:eastAsia="Arial" w:hAnsi="Arial"/>
                <w:sz w:val="18"/>
                <w:szCs w:val="18"/>
                <w:b w:val="1"/>
                <w:bCs w:val="1"/>
                <w:color w:val="auto"/>
                <w:w w:val="91"/>
              </w:rPr>
              <w:t>Delaware</w:t>
            </w:r>
          </w:p>
        </w:tc>
        <w:tc>
          <w:tcPr>
            <w:tcW w:w="1600" w:type="dxa"/>
            <w:vAlign w:val="bottom"/>
          </w:tcPr>
          <w:p>
            <w:pPr>
              <w:ind w:left="280"/>
              <w:spacing w:after="0"/>
              <w:rPr>
                <w:sz w:val="20"/>
                <w:szCs w:val="20"/>
                <w:color w:val="auto"/>
              </w:rPr>
            </w:pPr>
            <w:r>
              <w:rPr>
                <w:rFonts w:ascii="Arial" w:cs="Arial" w:eastAsia="Arial" w:hAnsi="Arial"/>
                <w:sz w:val="18"/>
                <w:szCs w:val="18"/>
                <w:b w:val="1"/>
                <w:bCs w:val="1"/>
                <w:color w:val="auto"/>
              </w:rPr>
              <w:t>001-36422</w:t>
            </w:r>
          </w:p>
        </w:tc>
        <w:tc>
          <w:tcPr>
            <w:tcW w:w="3400" w:type="dxa"/>
            <w:vAlign w:val="bottom"/>
          </w:tcPr>
          <w:p>
            <w:pPr>
              <w:jc w:val="center"/>
              <w:ind w:left="2183"/>
              <w:spacing w:after="0"/>
              <w:rPr>
                <w:sz w:val="20"/>
                <w:szCs w:val="20"/>
                <w:color w:val="auto"/>
              </w:rPr>
            </w:pPr>
            <w:r>
              <w:rPr>
                <w:rFonts w:ascii="Arial" w:cs="Arial" w:eastAsia="Arial" w:hAnsi="Arial"/>
                <w:sz w:val="18"/>
                <w:szCs w:val="18"/>
                <w:b w:val="1"/>
                <w:bCs w:val="1"/>
                <w:color w:val="auto"/>
                <w:w w:val="89"/>
              </w:rPr>
              <w:t>20-8647322</w:t>
            </w:r>
          </w:p>
        </w:tc>
      </w:tr>
      <w:tr>
        <w:trPr>
          <w:trHeight w:val="231"/>
        </w:trPr>
        <w:tc>
          <w:tcPr>
            <w:tcW w:w="4080" w:type="dxa"/>
            <w:vAlign w:val="bottom"/>
          </w:tcPr>
          <w:p>
            <w:pPr>
              <w:jc w:val="center"/>
              <w:ind w:right="2123"/>
              <w:spacing w:after="0"/>
              <w:rPr>
                <w:sz w:val="20"/>
                <w:szCs w:val="20"/>
                <w:color w:val="auto"/>
              </w:rPr>
            </w:pPr>
            <w:r>
              <w:rPr>
                <w:rFonts w:ascii="Arial" w:cs="Arial" w:eastAsia="Arial" w:hAnsi="Arial"/>
                <w:sz w:val="14"/>
                <w:szCs w:val="14"/>
                <w:b w:val="1"/>
                <w:bCs w:val="1"/>
                <w:color w:val="auto"/>
                <w:w w:val="93"/>
              </w:rPr>
              <w:t>(State or other jurisdiction of</w:t>
            </w:r>
          </w:p>
        </w:tc>
        <w:tc>
          <w:tcPr>
            <w:tcW w:w="1600" w:type="dxa"/>
            <w:vAlign w:val="bottom"/>
          </w:tcPr>
          <w:p>
            <w:pPr>
              <w:ind w:left="260"/>
              <w:spacing w:after="0"/>
              <w:rPr>
                <w:sz w:val="20"/>
                <w:szCs w:val="20"/>
                <w:color w:val="auto"/>
              </w:rPr>
            </w:pPr>
            <w:r>
              <w:rPr>
                <w:rFonts w:ascii="Arial" w:cs="Arial" w:eastAsia="Arial" w:hAnsi="Arial"/>
                <w:sz w:val="14"/>
                <w:szCs w:val="14"/>
                <w:b w:val="1"/>
                <w:bCs w:val="1"/>
                <w:color w:val="auto"/>
              </w:rPr>
              <w:t>(Commission</w:t>
            </w:r>
          </w:p>
        </w:tc>
        <w:tc>
          <w:tcPr>
            <w:tcW w:w="3400" w:type="dxa"/>
            <w:vAlign w:val="bottom"/>
          </w:tcPr>
          <w:p>
            <w:pPr>
              <w:jc w:val="center"/>
              <w:ind w:left="2183"/>
              <w:spacing w:after="0"/>
              <w:rPr>
                <w:sz w:val="20"/>
                <w:szCs w:val="20"/>
                <w:color w:val="auto"/>
              </w:rPr>
            </w:pPr>
            <w:r>
              <w:rPr>
                <w:rFonts w:ascii="Arial" w:cs="Arial" w:eastAsia="Arial" w:hAnsi="Arial"/>
                <w:sz w:val="14"/>
                <w:szCs w:val="14"/>
                <w:b w:val="1"/>
                <w:bCs w:val="1"/>
                <w:color w:val="auto"/>
                <w:w w:val="98"/>
              </w:rPr>
              <w:t>(IRS Employer</w:t>
            </w:r>
          </w:p>
        </w:tc>
      </w:tr>
      <w:tr>
        <w:trPr>
          <w:trHeight w:val="189"/>
        </w:trPr>
        <w:tc>
          <w:tcPr>
            <w:tcW w:w="4080" w:type="dxa"/>
            <w:vAlign w:val="bottom"/>
          </w:tcPr>
          <w:p>
            <w:pPr>
              <w:jc w:val="center"/>
              <w:ind w:right="2123"/>
              <w:spacing w:after="0"/>
              <w:rPr>
                <w:sz w:val="20"/>
                <w:szCs w:val="20"/>
                <w:color w:val="auto"/>
              </w:rPr>
            </w:pPr>
            <w:r>
              <w:rPr>
                <w:rFonts w:ascii="Arial" w:cs="Arial" w:eastAsia="Arial" w:hAnsi="Arial"/>
                <w:sz w:val="14"/>
                <w:szCs w:val="14"/>
                <w:b w:val="1"/>
                <w:bCs w:val="1"/>
                <w:color w:val="auto"/>
                <w:w w:val="94"/>
              </w:rPr>
              <w:t>incorporation or organization)</w:t>
            </w:r>
          </w:p>
        </w:tc>
        <w:tc>
          <w:tcPr>
            <w:tcW w:w="1600" w:type="dxa"/>
            <w:vAlign w:val="bottom"/>
          </w:tcPr>
          <w:p>
            <w:pPr>
              <w:ind w:left="260"/>
              <w:spacing w:after="0"/>
              <w:rPr>
                <w:sz w:val="20"/>
                <w:szCs w:val="20"/>
                <w:color w:val="auto"/>
              </w:rPr>
            </w:pPr>
            <w:r>
              <w:rPr>
                <w:rFonts w:ascii="Arial" w:cs="Arial" w:eastAsia="Arial" w:hAnsi="Arial"/>
                <w:sz w:val="14"/>
                <w:szCs w:val="14"/>
                <w:b w:val="1"/>
                <w:bCs w:val="1"/>
                <w:color w:val="auto"/>
              </w:rPr>
              <w:t>File Number)</w:t>
            </w:r>
          </w:p>
        </w:tc>
        <w:tc>
          <w:tcPr>
            <w:tcW w:w="3400" w:type="dxa"/>
            <w:vAlign w:val="bottom"/>
          </w:tcPr>
          <w:p>
            <w:pPr>
              <w:jc w:val="center"/>
              <w:ind w:left="2183"/>
              <w:spacing w:after="0"/>
              <w:rPr>
                <w:sz w:val="20"/>
                <w:szCs w:val="20"/>
                <w:color w:val="auto"/>
              </w:rPr>
            </w:pPr>
            <w:r>
              <w:rPr>
                <w:rFonts w:ascii="Arial" w:cs="Arial" w:eastAsia="Arial" w:hAnsi="Arial"/>
                <w:sz w:val="14"/>
                <w:szCs w:val="14"/>
                <w:b w:val="1"/>
                <w:bCs w:val="1"/>
                <w:color w:val="auto"/>
                <w:w w:val="96"/>
              </w:rPr>
              <w:t>Identification No.)</w:t>
            </w:r>
          </w:p>
        </w:tc>
      </w:tr>
      <w:tr>
        <w:trPr>
          <w:trHeight w:val="673"/>
        </w:trPr>
        <w:tc>
          <w:tcPr>
            <w:tcW w:w="4080" w:type="dxa"/>
            <w:vAlign w:val="bottom"/>
          </w:tcPr>
          <w:p>
            <w:pPr>
              <w:jc w:val="center"/>
              <w:ind w:left="1523"/>
              <w:spacing w:after="0"/>
              <w:rPr>
                <w:sz w:val="20"/>
                <w:szCs w:val="20"/>
                <w:color w:val="auto"/>
              </w:rPr>
            </w:pPr>
            <w:r>
              <w:rPr>
                <w:rFonts w:ascii="Arial" w:cs="Arial" w:eastAsia="Arial" w:hAnsi="Arial"/>
                <w:sz w:val="18"/>
                <w:szCs w:val="18"/>
                <w:b w:val="1"/>
                <w:bCs w:val="1"/>
                <w:color w:val="auto"/>
                <w:w w:val="90"/>
              </w:rPr>
              <w:t>3150 Sabre Drive</w:t>
            </w:r>
          </w:p>
        </w:tc>
        <w:tc>
          <w:tcPr>
            <w:tcW w:w="16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11"/>
        </w:trPr>
        <w:tc>
          <w:tcPr>
            <w:tcW w:w="4080" w:type="dxa"/>
            <w:vAlign w:val="bottom"/>
          </w:tcPr>
          <w:p>
            <w:pPr>
              <w:ind w:left="2000"/>
              <w:spacing w:after="0"/>
              <w:rPr>
                <w:sz w:val="20"/>
                <w:szCs w:val="20"/>
                <w:color w:val="auto"/>
              </w:rPr>
            </w:pPr>
            <w:r>
              <w:rPr>
                <w:rFonts w:ascii="Arial" w:cs="Arial" w:eastAsia="Arial" w:hAnsi="Arial"/>
                <w:sz w:val="18"/>
                <w:szCs w:val="18"/>
                <w:b w:val="1"/>
                <w:bCs w:val="1"/>
                <w:color w:val="auto"/>
              </w:rPr>
              <w:t>Southlake, TX</w:t>
            </w:r>
          </w:p>
        </w:tc>
        <w:tc>
          <w:tcPr>
            <w:tcW w:w="1600" w:type="dxa"/>
            <w:vAlign w:val="bottom"/>
          </w:tcPr>
          <w:p>
            <w:pPr>
              <w:spacing w:after="0"/>
              <w:rPr>
                <w:sz w:val="24"/>
                <w:szCs w:val="24"/>
                <w:color w:val="auto"/>
              </w:rPr>
            </w:pPr>
          </w:p>
        </w:tc>
        <w:tc>
          <w:tcPr>
            <w:tcW w:w="3400" w:type="dxa"/>
            <w:vAlign w:val="bottom"/>
          </w:tcPr>
          <w:p>
            <w:pPr>
              <w:jc w:val="right"/>
              <w:ind w:right="223"/>
              <w:spacing w:after="0"/>
              <w:rPr>
                <w:sz w:val="20"/>
                <w:szCs w:val="20"/>
                <w:color w:val="auto"/>
              </w:rPr>
            </w:pPr>
            <w:r>
              <w:rPr>
                <w:rFonts w:ascii="Arial" w:cs="Arial" w:eastAsia="Arial" w:hAnsi="Arial"/>
                <w:sz w:val="18"/>
                <w:szCs w:val="18"/>
                <w:b w:val="1"/>
                <w:bCs w:val="1"/>
                <w:color w:val="auto"/>
              </w:rPr>
              <w:t>76092</w:t>
            </w:r>
          </w:p>
        </w:tc>
      </w:tr>
      <w:tr>
        <w:trPr>
          <w:trHeight w:val="217"/>
        </w:trPr>
        <w:tc>
          <w:tcPr>
            <w:tcW w:w="4080" w:type="dxa"/>
            <w:vAlign w:val="bottom"/>
          </w:tcPr>
          <w:p>
            <w:pPr>
              <w:jc w:val="center"/>
              <w:ind w:left="154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00" w:type="dxa"/>
            <w:vAlign w:val="bottom"/>
          </w:tcPr>
          <w:p>
            <w:pPr>
              <w:spacing w:after="0"/>
              <w:rPr>
                <w:sz w:val="18"/>
                <w:szCs w:val="18"/>
                <w:color w:val="auto"/>
              </w:rPr>
            </w:pPr>
          </w:p>
        </w:tc>
        <w:tc>
          <w:tcPr>
            <w:tcW w:w="3400" w:type="dxa"/>
            <w:vAlign w:val="bottom"/>
          </w:tcPr>
          <w:p>
            <w:pPr>
              <w:jc w:val="center"/>
              <w:ind w:left="2263"/>
              <w:spacing w:after="0"/>
              <w:rPr>
                <w:sz w:val="20"/>
                <w:szCs w:val="20"/>
                <w:color w:val="auto"/>
              </w:rPr>
            </w:pPr>
            <w:r>
              <w:rPr>
                <w:rFonts w:ascii="Arial" w:cs="Arial" w:eastAsia="Arial" w:hAnsi="Arial"/>
                <w:sz w:val="14"/>
                <w:szCs w:val="14"/>
                <w:b w:val="1"/>
                <w:bCs w:val="1"/>
                <w:color w:val="auto"/>
                <w:w w:val="95"/>
              </w:rPr>
              <w:t>(Zip Code)</w:t>
            </w:r>
          </w:p>
        </w:tc>
      </w:tr>
      <w:tr>
        <w:trPr>
          <w:trHeight w:val="421"/>
        </w:trPr>
        <w:tc>
          <w:tcPr>
            <w:tcW w:w="4080" w:type="dxa"/>
            <w:vAlign w:val="bottom"/>
          </w:tcPr>
          <w:p>
            <w:pPr>
              <w:spacing w:after="0"/>
              <w:rPr>
                <w:sz w:val="24"/>
                <w:szCs w:val="24"/>
                <w:color w:val="auto"/>
              </w:rPr>
            </w:pPr>
          </w:p>
        </w:tc>
        <w:tc>
          <w:tcPr>
            <w:tcW w:w="1600" w:type="dxa"/>
            <w:vAlign w:val="bottom"/>
          </w:tcPr>
          <w:p>
            <w:pPr>
              <w:jc w:val="center"/>
              <w:ind w:right="282"/>
              <w:spacing w:after="0"/>
              <w:rPr>
                <w:sz w:val="20"/>
                <w:szCs w:val="20"/>
                <w:color w:val="auto"/>
              </w:rPr>
            </w:pPr>
            <w:r>
              <w:rPr>
                <w:rFonts w:ascii="Arial" w:cs="Arial" w:eastAsia="Arial" w:hAnsi="Arial"/>
                <w:sz w:val="18"/>
                <w:szCs w:val="18"/>
                <w:b w:val="1"/>
                <w:bCs w:val="1"/>
                <w:color w:val="auto"/>
                <w:w w:val="90"/>
              </w:rPr>
              <w:t>(682) 605-1000</w:t>
            </w:r>
          </w:p>
        </w:tc>
        <w:tc>
          <w:tcPr>
            <w:tcW w:w="3400" w:type="dxa"/>
            <w:vAlign w:val="bottom"/>
          </w:tcPr>
          <w:p>
            <w:pPr>
              <w:spacing w:after="0"/>
              <w:rPr>
                <w:sz w:val="24"/>
                <w:szCs w:val="24"/>
                <w:color w:val="auto"/>
              </w:rPr>
            </w:pPr>
          </w:p>
        </w:tc>
      </w:tr>
      <w:tr>
        <w:trPr>
          <w:trHeight w:val="186"/>
        </w:trPr>
        <w:tc>
          <w:tcPr>
            <w:tcW w:w="9080" w:type="dxa"/>
            <w:vAlign w:val="bottom"/>
            <w:gridSpan w:val="3"/>
          </w:tcPr>
          <w:p>
            <w:pPr>
              <w:jc w:val="center"/>
              <w:ind w:left="243"/>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405"/>
        </w:trPr>
        <w:tc>
          <w:tcPr>
            <w:tcW w:w="9080" w:type="dxa"/>
            <w:vAlign w:val="bottom"/>
            <w:gridSpan w:val="3"/>
          </w:tcPr>
          <w:p>
            <w:pPr>
              <w:jc w:val="center"/>
              <w:ind w:left="243"/>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16"/>
        </w:trPr>
        <w:tc>
          <w:tcPr>
            <w:tcW w:w="4080" w:type="dxa"/>
            <w:vAlign w:val="bottom"/>
          </w:tcPr>
          <w:p>
            <w:pPr>
              <w:jc w:val="center"/>
              <w:ind w:right="3"/>
              <w:spacing w:after="0"/>
              <w:rPr>
                <w:sz w:val="20"/>
                <w:szCs w:val="20"/>
                <w:color w:val="auto"/>
              </w:rPr>
            </w:pPr>
            <w:r>
              <w:rPr>
                <w:rFonts w:ascii="Arial" w:cs="Arial" w:eastAsia="Arial" w:hAnsi="Arial"/>
                <w:sz w:val="14"/>
                <w:szCs w:val="14"/>
                <w:b w:val="1"/>
                <w:bCs w:val="1"/>
                <w:color w:val="auto"/>
                <w:w w:val="89"/>
              </w:rPr>
              <w:t>Title of each class</w:t>
            </w:r>
          </w:p>
        </w:tc>
        <w:tc>
          <w:tcPr>
            <w:tcW w:w="1600" w:type="dxa"/>
            <w:vAlign w:val="bottom"/>
          </w:tcPr>
          <w:p>
            <w:pPr>
              <w:jc w:val="center"/>
              <w:ind w:right="242"/>
              <w:spacing w:after="0"/>
              <w:rPr>
                <w:sz w:val="20"/>
                <w:szCs w:val="20"/>
                <w:color w:val="auto"/>
              </w:rPr>
            </w:pPr>
            <w:r>
              <w:rPr>
                <w:rFonts w:ascii="Arial" w:cs="Arial" w:eastAsia="Arial" w:hAnsi="Arial"/>
                <w:sz w:val="14"/>
                <w:szCs w:val="14"/>
                <w:b w:val="1"/>
                <w:bCs w:val="1"/>
                <w:color w:val="auto"/>
                <w:w w:val="94"/>
              </w:rPr>
              <w:t>Trading Symbol</w:t>
            </w:r>
          </w:p>
        </w:tc>
        <w:tc>
          <w:tcPr>
            <w:tcW w:w="3400" w:type="dxa"/>
            <w:vAlign w:val="bottom"/>
          </w:tcPr>
          <w:p>
            <w:pPr>
              <w:jc w:val="center"/>
              <w:ind w:left="3"/>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3"/>
        </w:trPr>
        <w:tc>
          <w:tcPr>
            <w:tcW w:w="4080" w:type="dxa"/>
            <w:vAlign w:val="bottom"/>
          </w:tcPr>
          <w:p>
            <w:pPr>
              <w:jc w:val="center"/>
              <w:ind w:right="3"/>
              <w:spacing w:after="0"/>
              <w:rPr>
                <w:sz w:val="20"/>
                <w:szCs w:val="20"/>
                <w:color w:val="auto"/>
              </w:rPr>
            </w:pPr>
            <w:r>
              <w:rPr>
                <w:rFonts w:ascii="Arial" w:cs="Arial" w:eastAsia="Arial" w:hAnsi="Arial"/>
                <w:sz w:val="14"/>
                <w:szCs w:val="14"/>
                <w:b w:val="1"/>
                <w:bCs w:val="1"/>
                <w:color w:val="auto"/>
                <w:w w:val="92"/>
              </w:rPr>
              <w:t>Common Stock, $.01 par value</w:t>
            </w:r>
          </w:p>
        </w:tc>
        <w:tc>
          <w:tcPr>
            <w:tcW w:w="1600" w:type="dxa"/>
            <w:vAlign w:val="bottom"/>
          </w:tcPr>
          <w:p>
            <w:pPr>
              <w:jc w:val="center"/>
              <w:ind w:right="222"/>
              <w:spacing w:after="0"/>
              <w:rPr>
                <w:sz w:val="20"/>
                <w:szCs w:val="20"/>
                <w:color w:val="auto"/>
              </w:rPr>
            </w:pPr>
            <w:r>
              <w:rPr>
                <w:rFonts w:ascii="Arial" w:cs="Arial" w:eastAsia="Arial" w:hAnsi="Arial"/>
                <w:sz w:val="14"/>
                <w:szCs w:val="14"/>
                <w:b w:val="1"/>
                <w:bCs w:val="1"/>
                <w:color w:val="auto"/>
                <w:w w:val="95"/>
              </w:rPr>
              <w:t>SABR</w:t>
            </w:r>
          </w:p>
        </w:tc>
        <w:tc>
          <w:tcPr>
            <w:tcW w:w="3400" w:type="dxa"/>
            <w:vAlign w:val="bottom"/>
          </w:tcPr>
          <w:p>
            <w:pPr>
              <w:jc w:val="center"/>
              <w:ind w:left="23"/>
              <w:spacing w:after="0"/>
              <w:rPr>
                <w:sz w:val="20"/>
                <w:szCs w:val="20"/>
                <w:color w:val="auto"/>
              </w:rPr>
            </w:pPr>
            <w:r>
              <w:rPr>
                <w:rFonts w:ascii="Arial" w:cs="Arial" w:eastAsia="Arial" w:hAnsi="Arial"/>
                <w:sz w:val="14"/>
                <w:szCs w:val="14"/>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45"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82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ectPr>
          <w:pgSz w:w="11900" w:h="16838" w:orient="portrait"/>
          <w:cols w:equalWidth="0" w:num="1">
            <w:col w:w="10720"/>
          </w:cols>
          <w:pgMar w:left="320" w:top="1440" w:right="859" w:bottom="0" w:gutter="0" w:footer="0" w:header="0"/>
        </w:sectPr>
      </w:pPr>
    </w:p>
    <w:bookmarkStart w:id="1" w:name="page2"/>
    <w:bookmarkEnd w:id="1"/>
    <w:p>
      <w:pPr>
        <w:spacing w:after="0" w:line="260" w:lineRule="exact"/>
        <w:rPr>
          <w:sz w:val="20"/>
          <w:szCs w:val="20"/>
          <w:color w:val="auto"/>
        </w:rPr>
      </w:pPr>
      <w:r>
        <w:rPr>
          <w:rFonts w:ascii="Arial" w:cs="Arial" w:eastAsia="Arial" w:hAnsi="Arial"/>
          <w:sz w:val="18"/>
          <w:szCs w:val="18"/>
          <w:color w:val="auto"/>
        </w:rPr>
        <w:t xml:space="preserve">If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1487805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May 28, 2020, Sabre Corporation provided the following key volume metrics update:</w:t>
      </w:r>
    </w:p>
    <w:p>
      <w:pPr>
        <w:spacing w:after="0" w:line="25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This remains an unprecedented time of disruption in global travel. The COVID-19 pandemic represents a massive challenge to the travel industry. In the first quarter of 2020, we experienced a rapid decline in our airline and hotel bookings, exacerbated by significant cancellations. The environment remains uncertain, with reductions in airline capacity and a volatile macro environment.</w:t>
      </w:r>
    </w:p>
    <w:p>
      <w:pPr>
        <w:spacing w:after="0" w:line="21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April and May month-to-date, our bookings have remained severely depressed. We have seen modest initial signs of recovery, but our gross air bookings remain down approximately 90% year-over-year. Our net air bookings in April and May month-to-date remain negative due to cancellations.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decline in our key volume metrics for the periods indicated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6060440" cy="2425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6044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Calendar shifted air bookings; work-day adjusted CRS transactions.</w:t>
      </w:r>
    </w:p>
    <w:p>
      <w:pPr>
        <w:spacing w:after="0" w:line="2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Given the magnitude and the uncertainty related to the COVID-19 pandemic and its economic effects, on March 20, 2020, Sabre withdrew its February 26, 2020 guidance and has not given further guidance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statements herein are forward-looking statements about trends, future events, uncertainties and our plans and expectations of what may happen in the future. Any statements that are not historical or current facts are forward-looking statements. In many cases, you can identify forward-looking statements by terms such as “believe,” “could,” “likely,” “expect,” “plan,” “commit,” “guidance,” “outlook,” “anticipate,” “will,” “incremental,” “preliminary,” “forecast,” “continue,” “strategy,” “confidence,” “momentum,” “estimate,” “objective,” “project,” “may,” “should,” “would,” “intend,” “potential” or the negative of these terms or other comparable terminology. Forward-looking statements involve known and unknown risks, uncertainties and other factors that may cause the Company’s actual results, performance or achievements to be materially different from any future results, performances or achievements expressed or implied by the forward-looking statements. The potential risks and uncertainties include, among others, the severity, extent and duration of the global COVID-19 pandemic and its impact on our business and results of operations, financial condition and credit ratings, as well as on the travel industry and consumer spending more broadly, the actions taken to contain the disease or treat its impact, the effect of remote working arrangements on our operations and the speed and extent of the recovery across the broader travel ecosystem, dependency on transaction volumes in the global travel industry, particularly air travel transaction volumes, including from airlines' insolvency, suspension of service or aircraft groundings, the timing, implementation and effects of the technology investment and other strategic initiatives, the completion and effects of travel platforms, travel suppliers' usage of alternative distribution models, exposure to pricing pressure in the Travel Network business, changes affecting travel supplier customers, maintenance of the integrity of our systems and infrastructure and the effect of any security breaches, failure to adapt to technological advancements, competition in the travel distribution market and solutions markets, implementation of software solutions, reliance on third parties to provide information technology services and the effects of these services, the finalization of an agreement to implement a full-service property management system, the execution, implementation and effects of new or renewed agreements, dependence on establishing, maintaining and renewing contracts with customers and other counterparties and collecting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line="286" w:lineRule="auto"/>
        <w:rPr>
          <w:sz w:val="20"/>
          <w:szCs w:val="20"/>
          <w:color w:val="auto"/>
        </w:rPr>
      </w:pPr>
      <w:r>
        <w:rPr>
          <w:rFonts w:ascii="Arial" w:cs="Arial" w:eastAsia="Arial" w:hAnsi="Arial"/>
          <w:sz w:val="16"/>
          <w:szCs w:val="16"/>
          <w:color w:val="auto"/>
        </w:rPr>
        <w:t>amounts due to us under these agreements, dependence on relationships with travel buyers, our collection, processing, storage, use and transmission of personal data and risks associated with PCI compliance, our ability to recruit, train and retain employees, including our key executive officers and technical employees, the financial and business results and effects of acquisitions, the effects of any litigation and regulatory reviews and investigations, including with respect to these acquisitions, adverse global and regional economic and political conditions, including, but not limited to, economic conditions in countries or regions with traditionally high levels of exports to China or that have commodities-based economies and the effect of "Brexit" and uncertainty due to related negotiations, risks arising from global operations, reliance on the value of our brands, failure to comply with regulations, use of third-party distributor partners, the effects of the implementation of new accounting standards, and tax-related matters, including the effect of the Tax Cuts and Jobs Act. More information about potential risks and uncertainties that could affect our business and results of operations is included in the “Risk Factors” and “Forward-Looking Statements” sections in our Quarterly Report on Form 10-Q filed with the SEC on May 8, 2020, our Annual Report on Form 10-K filed with the SEC on February 26, 2020 and our other filings with the SEC. Although we believe that the expectations reflected in the forward-looking statements are reasonable, we cannot guarantee future events, outlook, guidance, results, actions, levels of activity, performance or achievements. Readers are cautioned not to place undue reliance on these forward-looking statements. Unless required by law, we undertake no obligation to publicly update or revise any forward-looking statements to reflect circumstances or events after the date they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 w:name="page5"/>
    <w:bookmarkEnd w:id="4"/>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7680" w:type="dxa"/>
            <w:vAlign w:val="bottom"/>
            <w:gridSpan w:val="2"/>
          </w:tcPr>
          <w:p>
            <w:pPr>
              <w:ind w:left="1560"/>
              <w:spacing w:after="0"/>
              <w:rPr>
                <w:sz w:val="20"/>
                <w:szCs w:val="20"/>
                <w:color w:val="auto"/>
              </w:rPr>
            </w:pPr>
            <w:r>
              <w:rPr>
                <w:rFonts w:ascii="Arial" w:cs="Arial" w:eastAsia="Arial" w:hAnsi="Arial"/>
                <w:sz w:val="18"/>
                <w:szCs w:val="18"/>
                <w:color w:val="auto"/>
              </w:rPr>
              <w:t>Sabre Corporation</w:t>
            </w:r>
          </w:p>
        </w:tc>
        <w:tc>
          <w:tcPr>
            <w:tcW w:w="0" w:type="dxa"/>
            <w:vAlign w:val="bottom"/>
          </w:tcPr>
          <w:p>
            <w:pPr>
              <w:spacing w:after="0"/>
              <w:rPr>
                <w:sz w:val="1"/>
                <w:szCs w:val="1"/>
                <w:color w:val="auto"/>
              </w:rPr>
            </w:pPr>
          </w:p>
        </w:tc>
      </w:tr>
      <w:tr>
        <w:trPr>
          <w:trHeight w:val="608"/>
        </w:trPr>
        <w:tc>
          <w:tcPr>
            <w:tcW w:w="3100" w:type="dxa"/>
            <w:vAlign w:val="bottom"/>
          </w:tcPr>
          <w:p>
            <w:pPr>
              <w:spacing w:after="0"/>
              <w:rPr>
                <w:sz w:val="20"/>
                <w:szCs w:val="20"/>
                <w:color w:val="auto"/>
              </w:rPr>
            </w:pPr>
            <w:r>
              <w:rPr>
                <w:rFonts w:ascii="Arial" w:cs="Arial" w:eastAsia="Arial" w:hAnsi="Arial"/>
                <w:sz w:val="18"/>
                <w:szCs w:val="18"/>
                <w:color w:val="auto"/>
              </w:rPr>
              <w:t>Dated: May 28, 2020</w:t>
            </w:r>
          </w:p>
        </w:tc>
        <w:tc>
          <w:tcPr>
            <w:tcW w:w="2480" w:type="dxa"/>
            <w:vAlign w:val="bottom"/>
          </w:tcPr>
          <w:p>
            <w:pPr>
              <w:ind w:left="1560"/>
              <w:spacing w:after="0"/>
              <w:rPr>
                <w:sz w:val="20"/>
                <w:szCs w:val="20"/>
                <w:color w:val="auto"/>
              </w:rPr>
            </w:pPr>
            <w:r>
              <w:rPr>
                <w:rFonts w:ascii="Arial" w:cs="Arial" w:eastAsia="Arial" w:hAnsi="Arial"/>
                <w:sz w:val="18"/>
                <w:szCs w:val="18"/>
                <w:color w:val="auto"/>
              </w:rPr>
              <w:t>By:</w:t>
            </w:r>
          </w:p>
        </w:tc>
        <w:tc>
          <w:tcPr>
            <w:tcW w:w="5200" w:type="dxa"/>
            <w:vAlign w:val="bottom"/>
          </w:tcPr>
          <w:p>
            <w:pPr>
              <w:ind w:left="120"/>
              <w:spacing w:after="0"/>
              <w:rPr>
                <w:sz w:val="20"/>
                <w:szCs w:val="20"/>
                <w:color w:val="auto"/>
              </w:rPr>
            </w:pPr>
            <w:r>
              <w:rPr>
                <w:rFonts w:ascii="Arial" w:cs="Arial" w:eastAsia="Arial" w:hAnsi="Arial"/>
                <w:sz w:val="18"/>
                <w:szCs w:val="18"/>
                <w:color w:val="auto"/>
              </w:rPr>
              <w:t>/s/ Douglas E. Barnett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80" w:type="dxa"/>
            <w:vAlign w:val="bottom"/>
            <w:vMerge w:val="restart"/>
          </w:tcPr>
          <w:p>
            <w:pPr>
              <w:ind w:left="1560"/>
              <w:spacing w:after="0"/>
              <w:rPr>
                <w:sz w:val="20"/>
                <w:szCs w:val="20"/>
                <w:color w:val="auto"/>
              </w:rPr>
            </w:pPr>
            <w:r>
              <w:rPr>
                <w:rFonts w:ascii="Arial" w:cs="Arial" w:eastAsia="Arial" w:hAnsi="Arial"/>
                <w:sz w:val="18"/>
                <w:szCs w:val="18"/>
                <w:color w:val="auto"/>
              </w:rPr>
              <w:t>Name:</w:t>
            </w:r>
          </w:p>
        </w:tc>
        <w:tc>
          <w:tcPr>
            <w:tcW w:w="5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10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Douglas E. Barnett</w:t>
            </w:r>
          </w:p>
        </w:tc>
        <w:tc>
          <w:tcPr>
            <w:tcW w:w="0" w:type="dxa"/>
            <w:vAlign w:val="bottom"/>
          </w:tcPr>
          <w:p>
            <w:pPr>
              <w:spacing w:after="0"/>
              <w:rPr>
                <w:sz w:val="1"/>
                <w:szCs w:val="1"/>
                <w:color w:val="auto"/>
              </w:rPr>
            </w:pPr>
          </w:p>
        </w:tc>
      </w:tr>
      <w:tr>
        <w:trPr>
          <w:trHeight w:val="284"/>
        </w:trPr>
        <w:tc>
          <w:tcPr>
            <w:tcW w:w="310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18"/>
                <w:szCs w:val="18"/>
                <w:color w:val="auto"/>
              </w:rPr>
              <w:t>Title:</w:t>
            </w:r>
          </w:p>
        </w:tc>
        <w:tc>
          <w:tcPr>
            <w:tcW w:w="52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00"/>
      </w:cols>
      <w:pgMar w:left="320" w:top="972"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2020-05-28T07:05:04Z</dcterms:created>
  <dcterms:modified xsi:type="dcterms:W3CDTF">2020-05-28T07:05:04Z</dcterms:modified>
</cp:coreProperties>
</file>